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emf" ContentType="image/x-em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A0C6CD3" w14:textId="77777777" w:rsidR="00B462B0" w:rsidRPr="00770DD7" w:rsidRDefault="00B462B0" w:rsidP="00634365">
      <w:pPr>
        <w:rPr>
          <w:b/>
        </w:rPr>
      </w:pPr>
      <w:r w:rsidRPr="0020744A">
        <w:rPr>
          <w:noProof/>
          <w:lang w:val="fr-FR" w:eastAsia="fr-FR"/>
        </w:rPr>
        <w:drawing>
          <wp:anchor distT="0" distB="0" distL="114300" distR="114300" simplePos="0" relativeHeight="251655168" behindDoc="1" locked="0" layoutInCell="1" allowOverlap="1" wp14:anchorId="1D0F1D38" wp14:editId="67E0BFFD">
            <wp:simplePos x="0" y="0"/>
            <wp:positionH relativeFrom="column">
              <wp:posOffset>-967563</wp:posOffset>
            </wp:positionH>
            <wp:positionV relativeFrom="paragraph">
              <wp:posOffset>-956930</wp:posOffset>
            </wp:positionV>
            <wp:extent cx="9027042" cy="3223158"/>
            <wp:effectExtent l="0" t="0" r="3175" b="0"/>
            <wp:wrapNone/>
            <wp:docPr id="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9043552" cy="3229053"/>
                    </a:xfrm>
                    <a:prstGeom prst="rect">
                      <a:avLst/>
                    </a:prstGeom>
                    <a:noFill/>
                  </pic:spPr>
                </pic:pic>
              </a:graphicData>
            </a:graphic>
            <wp14:sizeRelH relativeFrom="margin">
              <wp14:pctWidth>0</wp14:pctWidth>
            </wp14:sizeRelH>
            <wp14:sizeRelV relativeFrom="margin">
              <wp14:pctHeight>0</wp14:pctHeight>
            </wp14:sizeRelV>
          </wp:anchor>
        </w:drawing>
      </w:r>
      <w:r w:rsidR="001B29B0">
        <w:rPr>
          <w:rFonts w:cs="Arial"/>
          <w:noProof/>
          <w:lang w:val="fr-FR" w:eastAsia="fr-FR"/>
        </w:rPr>
        <mc:AlternateContent>
          <mc:Choice Requires="wps">
            <w:drawing>
              <wp:anchor distT="0" distB="0" distL="114300" distR="114300" simplePos="0" relativeHeight="251658240" behindDoc="0" locked="0" layoutInCell="1" allowOverlap="1" wp14:anchorId="3432342A" wp14:editId="0507EE47">
                <wp:simplePos x="0" y="0"/>
                <wp:positionH relativeFrom="column">
                  <wp:posOffset>4623435</wp:posOffset>
                </wp:positionH>
                <wp:positionV relativeFrom="paragraph">
                  <wp:posOffset>9832340</wp:posOffset>
                </wp:positionV>
                <wp:extent cx="1943100" cy="571500"/>
                <wp:effectExtent l="0" t="0" r="0" b="0"/>
                <wp:wrapNone/>
                <wp:docPr id="13"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5A0CC1" w14:textId="77777777" w:rsidR="00736FE4" w:rsidRPr="000C145F" w:rsidRDefault="00736FE4" w:rsidP="00C94126">
                            <w:pPr>
                              <w:spacing w:line="360" w:lineRule="auto"/>
                              <w:jc w:val="center"/>
                              <w:rPr>
                                <w:rFonts w:ascii="Helvetica" w:hAnsi="Helvetica"/>
                                <w:color w:val="FFFFFF"/>
                                <w:lang w:val="en-US"/>
                              </w:rPr>
                            </w:pPr>
                            <w:r w:rsidRPr="000C145F">
                              <w:rPr>
                                <w:rFonts w:ascii="Helvetica" w:hAnsi="Helvetica"/>
                                <w:color w:val="FFFFFF"/>
                                <w:lang w:val="en-US"/>
                              </w:rPr>
                              <w:t>A project implemented by</w:t>
                            </w:r>
                          </w:p>
                          <w:p w14:paraId="7CA81D61" w14:textId="77777777" w:rsidR="00736FE4" w:rsidRPr="000C145F" w:rsidRDefault="00736FE4" w:rsidP="00C94126">
                            <w:pPr>
                              <w:spacing w:line="360" w:lineRule="auto"/>
                              <w:jc w:val="center"/>
                              <w:rPr>
                                <w:rFonts w:ascii="Helvetica" w:hAnsi="Helvetica"/>
                                <w:color w:val="FFFFFF"/>
                                <w:lang w:val="en-US"/>
                              </w:rPr>
                            </w:pPr>
                            <w:r w:rsidRPr="000C145F">
                              <w:rPr>
                                <w:rFonts w:ascii="Helvetica" w:hAnsi="Helvetica"/>
                                <w:color w:val="FFFFFF"/>
                                <w:lang w:val="en-US"/>
                              </w:rPr>
                              <w:t>AGRECO Consortium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432342A" id="_x0000_t202" coordsize="21600,21600" o:spt="202" path="m0,0l0,21600,21600,21600,21600,0xe">
                <v:stroke joinstyle="miter"/>
                <v:path gradientshapeok="t" o:connecttype="rect"/>
              </v:shapetype>
              <v:shape id="Text Box 4" o:spid="_x0000_s1026" type="#_x0000_t202" style="position:absolute;left:0;text-align:left;margin-left:364.05pt;margin-top:774.2pt;width:153pt;height: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" filled="f" stroked="f">
                <v:textbox inset="0,0,0,0">
                  <w:txbxContent>
                    <w:p w14:paraId="3F5A0CC1" w14:textId="77777777" w:rsidR="00736FE4" w:rsidRPr="000C145F" w:rsidRDefault="00736FE4" w:rsidP="00C94126">
                      <w:pPr>
                        <w:spacing w:line="360" w:lineRule="auto"/>
                        <w:jc w:val="center"/>
                        <w:rPr>
                          <w:rFonts w:ascii="Helvetica" w:hAnsi="Helvetica"/>
                          <w:color w:val="FFFFFF"/>
                          <w:lang w:val="en-US"/>
                        </w:rPr>
                      </w:pPr>
                      <w:r w:rsidRPr="000C145F">
                        <w:rPr>
                          <w:rFonts w:ascii="Helvetica" w:hAnsi="Helvetica"/>
                          <w:color w:val="FFFFFF"/>
                          <w:lang w:val="en-US"/>
                        </w:rPr>
                        <w:t>A project implemented by</w:t>
                      </w:r>
                    </w:p>
                    <w:p w14:paraId="7CA81D61" w14:textId="77777777" w:rsidR="00736FE4" w:rsidRPr="000C145F" w:rsidRDefault="00736FE4" w:rsidP="00C94126">
                      <w:pPr>
                        <w:spacing w:line="360" w:lineRule="auto"/>
                        <w:jc w:val="center"/>
                        <w:rPr>
                          <w:rFonts w:ascii="Helvetica" w:hAnsi="Helvetica"/>
                          <w:color w:val="FFFFFF"/>
                          <w:lang w:val="en-US"/>
                        </w:rPr>
                      </w:pPr>
                      <w:r w:rsidRPr="000C145F">
                        <w:rPr>
                          <w:rFonts w:ascii="Helvetica" w:hAnsi="Helvetica"/>
                          <w:color w:val="FFFFFF"/>
                          <w:lang w:val="en-US"/>
                        </w:rPr>
                        <w:t>AGRECO Consortium</w:t>
                      </w:r>
                    </w:p>
                  </w:txbxContent>
                </v:textbox>
              </v:shape>
            </w:pict>
          </mc:Fallback>
        </mc:AlternateContent>
      </w:r>
      <w:r w:rsidR="001B29B0">
        <w:rPr>
          <w:rFonts w:cs="Arial"/>
          <w:noProof/>
          <w:lang w:val="fr-FR" w:eastAsia="fr-FR"/>
        </w:rPr>
        <mc:AlternateContent>
          <mc:Choice Requires="wps">
            <w:drawing>
              <wp:anchor distT="0" distB="0" distL="114300" distR="114300" simplePos="0" relativeHeight="251659264" behindDoc="0" locked="0" layoutInCell="1" allowOverlap="1" wp14:anchorId="1C4CC40E" wp14:editId="480A11A5">
                <wp:simplePos x="0" y="0"/>
                <wp:positionH relativeFrom="column">
                  <wp:posOffset>1423035</wp:posOffset>
                </wp:positionH>
                <wp:positionV relativeFrom="paragraph">
                  <wp:posOffset>9832340</wp:posOffset>
                </wp:positionV>
                <wp:extent cx="1828800" cy="571500"/>
                <wp:effectExtent l="0" t="0" r="0" b="0"/>
                <wp:wrapNone/>
                <wp:docPr id="1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2D1E33" w14:textId="77777777" w:rsidR="00736FE4" w:rsidRPr="000C145F" w:rsidRDefault="00736FE4" w:rsidP="00C94126">
                            <w:pPr>
                              <w:spacing w:line="360" w:lineRule="auto"/>
                              <w:jc w:val="center"/>
                              <w:rPr>
                                <w:rFonts w:ascii="Helvetica" w:hAnsi="Helvetica"/>
                                <w:color w:val="FFFFFF"/>
                                <w:lang w:val="en-US"/>
                              </w:rPr>
                            </w:pPr>
                            <w:r w:rsidRPr="000C145F">
                              <w:rPr>
                                <w:rFonts w:ascii="Helvetica" w:hAnsi="Helvetica"/>
                                <w:color w:val="FFFFFF"/>
                                <w:lang w:val="en-US"/>
                              </w:rPr>
                              <w:t>This project is funded by</w:t>
                            </w:r>
                          </w:p>
                          <w:p w14:paraId="42EC48DE" w14:textId="77777777" w:rsidR="00736FE4" w:rsidRPr="000C145F" w:rsidRDefault="00736FE4" w:rsidP="00C94126">
                            <w:pPr>
                              <w:spacing w:line="360" w:lineRule="auto"/>
                              <w:jc w:val="center"/>
                              <w:rPr>
                                <w:rFonts w:ascii="Helvetica" w:hAnsi="Helvetica"/>
                                <w:color w:val="FFFFFF"/>
                                <w:lang w:val="en-US"/>
                              </w:rPr>
                            </w:pPr>
                            <w:r w:rsidRPr="000C145F">
                              <w:rPr>
                                <w:rFonts w:ascii="Helvetica" w:hAnsi="Helvetica"/>
                                <w:color w:val="FFFFFF"/>
                                <w:lang w:val="en-US"/>
                              </w:rPr>
                              <w:t>The European Union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4CC40E" id="Text Box 5" o:spid="_x0000_s1027" type="#_x0000_t202" style="position:absolute;left:0;text-align:left;margin-left:112.05pt;margin-top:774.2pt;width:2in;height: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" filled="f" stroked="f">
                <v:textbox inset="0,0,0,0">
                  <w:txbxContent>
                    <w:p w14:paraId="292D1E33" w14:textId="77777777" w:rsidR="00736FE4" w:rsidRPr="000C145F" w:rsidRDefault="00736FE4" w:rsidP="00C94126">
                      <w:pPr>
                        <w:spacing w:line="360" w:lineRule="auto"/>
                        <w:jc w:val="center"/>
                        <w:rPr>
                          <w:rFonts w:ascii="Helvetica" w:hAnsi="Helvetica"/>
                          <w:color w:val="FFFFFF"/>
                          <w:lang w:val="en-US"/>
                        </w:rPr>
                      </w:pPr>
                      <w:r w:rsidRPr="000C145F">
                        <w:rPr>
                          <w:rFonts w:ascii="Helvetica" w:hAnsi="Helvetica"/>
                          <w:color w:val="FFFFFF"/>
                          <w:lang w:val="en-US"/>
                        </w:rPr>
                        <w:t>This project is funded by</w:t>
                      </w:r>
                    </w:p>
                    <w:p w14:paraId="42EC48DE" w14:textId="77777777" w:rsidR="00736FE4" w:rsidRPr="000C145F" w:rsidRDefault="00736FE4" w:rsidP="00C94126">
                      <w:pPr>
                        <w:spacing w:line="360" w:lineRule="auto"/>
                        <w:jc w:val="center"/>
                        <w:rPr>
                          <w:rFonts w:ascii="Helvetica" w:hAnsi="Helvetica"/>
                          <w:color w:val="FFFFFF"/>
                          <w:lang w:val="en-US"/>
                        </w:rPr>
                      </w:pPr>
                      <w:r w:rsidRPr="000C145F">
                        <w:rPr>
                          <w:rFonts w:ascii="Helvetica" w:hAnsi="Helvetica"/>
                          <w:color w:val="FFFFFF"/>
                          <w:lang w:val="en-US"/>
                        </w:rPr>
                        <w:t>The European Union</w:t>
                      </w:r>
                    </w:p>
                  </w:txbxContent>
                </v:textbox>
              </v:shape>
            </w:pict>
          </mc:Fallback>
        </mc:AlternateContent>
      </w:r>
      <w:r w:rsidR="008965DA" w:rsidRPr="00770DD7">
        <w:rPr>
          <w:b/>
        </w:rPr>
        <w:t xml:space="preserve"> </w:t>
      </w:r>
    </w:p>
    <w:p w14:paraId="19B79D0B" w14:textId="77777777" w:rsidR="00B462B0" w:rsidRPr="007D1CED" w:rsidRDefault="00B462B0" w:rsidP="00C94126">
      <w:pPr>
        <w:spacing w:after="0"/>
        <w:ind w:left="-1417"/>
        <w:jc w:val="center"/>
        <w:rPr>
          <w:rFonts w:cs="Times New Roman"/>
          <w:b/>
        </w:rPr>
      </w:pPr>
    </w:p>
    <w:p w14:paraId="34105FED" w14:textId="77777777" w:rsidR="00B462B0" w:rsidRPr="007D1CED" w:rsidRDefault="00B462B0" w:rsidP="00C94126">
      <w:pPr>
        <w:spacing w:after="0"/>
        <w:ind w:hanging="1417"/>
        <w:jc w:val="center"/>
        <w:rPr>
          <w:rFonts w:cs="Times New Roman"/>
          <w:b/>
        </w:rPr>
      </w:pPr>
    </w:p>
    <w:p w14:paraId="733CD206" w14:textId="77777777" w:rsidR="005550B7" w:rsidRPr="007D1CED" w:rsidRDefault="00867C15" w:rsidP="00C94126">
      <w:pPr>
        <w:rPr>
          <w:rFonts w:cs="Times New Roman"/>
          <w:b/>
        </w:rPr>
      </w:pPr>
      <w:r>
        <w:rPr>
          <w:rFonts w:cs="Arial"/>
          <w:noProof/>
          <w:lang w:val="fr-FR" w:eastAsia="fr-FR"/>
        </w:rPr>
        <mc:AlternateContent>
          <mc:Choice Requires="wps">
            <w:drawing>
              <wp:anchor distT="0" distB="0" distL="114300" distR="114300" simplePos="0" relativeHeight="251660288" behindDoc="0" locked="0" layoutInCell="1" allowOverlap="1" wp14:anchorId="4553C87F" wp14:editId="3A3F9D02">
                <wp:simplePos x="0" y="0"/>
                <wp:positionH relativeFrom="column">
                  <wp:posOffset>-860325</wp:posOffset>
                </wp:positionH>
                <wp:positionV relativeFrom="paragraph">
                  <wp:posOffset>847090</wp:posOffset>
                </wp:positionV>
                <wp:extent cx="7424387" cy="986155"/>
                <wp:effectExtent l="0" t="0" r="18415" b="4445"/>
                <wp:wrapNone/>
                <wp:docPr id="11"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24387" cy="986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B8F2CF" w14:textId="77777777" w:rsidR="00736FE4" w:rsidRDefault="00736FE4" w:rsidP="004D6823">
                            <w:pPr>
                              <w:ind w:right="66"/>
                              <w:rPr>
                                <w:rFonts w:ascii="Helvetica" w:hAnsi="Helvetica"/>
                                <w:b/>
                                <w:sz w:val="30"/>
                              </w:rPr>
                            </w:pPr>
                          </w:p>
                          <w:p w14:paraId="3A47A72C" w14:textId="77777777" w:rsidR="00736FE4" w:rsidRPr="00600E5E" w:rsidRDefault="00736FE4" w:rsidP="004D6823">
                            <w:pPr>
                              <w:ind w:right="66"/>
                              <w:jc w:val="center"/>
                              <w:rPr>
                                <w:rFonts w:ascii="Helvetica" w:hAnsi="Helvetica"/>
                                <w:b/>
                                <w:sz w:val="30"/>
                              </w:rPr>
                            </w:pPr>
                            <w:r w:rsidRPr="00600E5E">
                              <w:rPr>
                                <w:rFonts w:ascii="Helvetica" w:hAnsi="Helvetica"/>
                                <w:b/>
                                <w:sz w:val="30"/>
                              </w:rPr>
                              <w:t xml:space="preserve">Délégation de l’Union Européenne </w:t>
                            </w:r>
                            <w:r>
                              <w:rPr>
                                <w:rFonts w:ascii="Helvetica" w:hAnsi="Helvetica"/>
                                <w:b/>
                                <w:sz w:val="30"/>
                              </w:rPr>
                              <w:t>au Mali</w:t>
                            </w:r>
                          </w:p>
                        </w:txbxContent>
                      </wps:txbx>
                      <wps:bodyPr rot="0" vert="horz" wrap="square" lIns="0" tIns="396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53C87F" id="Text Box 7" o:spid="_x0000_s1028" type="#_x0000_t202" style="position:absolute;left:0;text-align:left;margin-left:-67.75pt;margin-top:66.7pt;width:584.6pt;height:77.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" filled="f" stroked="f">
                <v:textbox inset="0,1.1mm,0,0">
                  <w:txbxContent>
                    <w:p w14:paraId="08B8F2CF" w14:textId="77777777" w:rsidR="00736FE4" w:rsidRDefault="00736FE4" w:rsidP="004D6823">
                      <w:pPr>
                        <w:ind w:right="66"/>
                        <w:rPr>
                          <w:rFonts w:ascii="Helvetica" w:hAnsi="Helvetica"/>
                          <w:b/>
                          <w:sz w:val="30"/>
                        </w:rPr>
                      </w:pPr>
                    </w:p>
                    <w:p w14:paraId="3A47A72C" w14:textId="77777777" w:rsidR="00736FE4" w:rsidRPr="00600E5E" w:rsidRDefault="00736FE4" w:rsidP="004D6823">
                      <w:pPr>
                        <w:ind w:right="66"/>
                        <w:jc w:val="center"/>
                        <w:rPr>
                          <w:rFonts w:ascii="Helvetica" w:hAnsi="Helvetica"/>
                          <w:b/>
                          <w:sz w:val="30"/>
                        </w:rPr>
                      </w:pPr>
                      <w:r w:rsidRPr="00600E5E">
                        <w:rPr>
                          <w:rFonts w:ascii="Helvetica" w:hAnsi="Helvetica"/>
                          <w:b/>
                          <w:sz w:val="30"/>
                        </w:rPr>
                        <w:t xml:space="preserve">Délégation de l’Union Européenne </w:t>
                      </w:r>
                      <w:r>
                        <w:rPr>
                          <w:rFonts w:ascii="Helvetica" w:hAnsi="Helvetica"/>
                          <w:b/>
                          <w:sz w:val="30"/>
                        </w:rPr>
                        <w:t>au Mali</w:t>
                      </w:r>
                    </w:p>
                  </w:txbxContent>
                </v:textbox>
              </v:shape>
            </w:pict>
          </mc:Fallback>
        </mc:AlternateContent>
      </w:r>
      <w:r w:rsidRPr="0020744A">
        <w:rPr>
          <w:noProof/>
          <w:lang w:val="fr-FR" w:eastAsia="fr-FR"/>
        </w:rPr>
        <w:drawing>
          <wp:anchor distT="0" distB="0" distL="114300" distR="114300" simplePos="0" relativeHeight="251656192" behindDoc="1" locked="0" layoutInCell="1" allowOverlap="1" wp14:anchorId="35772CA5" wp14:editId="37F88464">
            <wp:simplePos x="0" y="0"/>
            <wp:positionH relativeFrom="column">
              <wp:posOffset>-965200</wp:posOffset>
            </wp:positionH>
            <wp:positionV relativeFrom="paragraph">
              <wp:posOffset>1061085</wp:posOffset>
            </wp:positionV>
            <wp:extent cx="9029700" cy="837565"/>
            <wp:effectExtent l="0" t="0" r="0" b="635"/>
            <wp:wrapNone/>
            <wp:docPr id="10"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srcRect/>
                    <a:stretch>
                      <a:fillRect/>
                    </a:stretch>
                  </pic:blipFill>
                  <pic:spPr bwMode="auto">
                    <a:xfrm>
                      <a:off x="0" y="0"/>
                      <a:ext cx="9029700" cy="837565"/>
                    </a:xfrm>
                    <a:prstGeom prst="rect">
                      <a:avLst/>
                    </a:prstGeom>
                    <a:noFill/>
                  </pic:spPr>
                </pic:pic>
              </a:graphicData>
            </a:graphic>
            <wp14:sizeRelH relativeFrom="margin">
              <wp14:pctWidth>0</wp14:pctWidth>
            </wp14:sizeRelH>
          </wp:anchor>
        </w:drawing>
      </w:r>
      <w:r w:rsidR="00770DD7">
        <w:rPr>
          <w:rFonts w:cs="Arial"/>
          <w:noProof/>
          <w:lang w:val="fr-FR" w:eastAsia="fr-FR"/>
        </w:rPr>
        <mc:AlternateContent>
          <mc:Choice Requires="wps">
            <w:drawing>
              <wp:anchor distT="0" distB="0" distL="114300" distR="114300" simplePos="0" relativeHeight="251657216" behindDoc="0" locked="0" layoutInCell="1" allowOverlap="1" wp14:anchorId="53FBD0FC" wp14:editId="7E8D3985">
                <wp:simplePos x="0" y="0"/>
                <wp:positionH relativeFrom="column">
                  <wp:posOffset>-967105</wp:posOffset>
                </wp:positionH>
                <wp:positionV relativeFrom="paragraph">
                  <wp:posOffset>1623695</wp:posOffset>
                </wp:positionV>
                <wp:extent cx="9026525" cy="8853805"/>
                <wp:effectExtent l="0" t="0" r="0" b="10795"/>
                <wp:wrapNone/>
                <wp:docPr id="54" name="Rectangl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26525" cy="8853805"/>
                        </a:xfrm>
                        <a:prstGeom prst="rect">
                          <a:avLst/>
                        </a:prstGeom>
                        <a:solidFill>
                          <a:srgbClr val="00008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C0D126" w14:textId="77777777" w:rsidR="00736FE4" w:rsidRDefault="00736FE4" w:rsidP="00C94126">
                            <w:pPr>
                              <w:rPr>
                                <w:rFonts w:ascii="Helvetica" w:hAnsi="Helvetica"/>
                                <w:b/>
                                <w:color w:val="FFFFFF"/>
                                <w:sz w:val="60"/>
                              </w:rPr>
                            </w:pPr>
                          </w:p>
                          <w:p w14:paraId="67245D25" w14:textId="77777777" w:rsidR="00736FE4" w:rsidRPr="00822A2C" w:rsidRDefault="00736FE4" w:rsidP="00AF6983">
                            <w:pPr>
                              <w:ind w:left="426" w:right="2727"/>
                              <w:jc w:val="center"/>
                              <w:rPr>
                                <w:rFonts w:ascii="Helvetica" w:hAnsi="Helvetica" w:cs="Helvetica"/>
                                <w:b/>
                                <w:sz w:val="28"/>
                                <w:szCs w:val="28"/>
                                <w:lang w:val="en-GB"/>
                              </w:rPr>
                            </w:pPr>
                            <w:r w:rsidRPr="00822A2C">
                              <w:rPr>
                                <w:rFonts w:ascii="Helvetica" w:hAnsi="Helvetica" w:cs="Helvetica"/>
                                <w:b/>
                                <w:sz w:val="28"/>
                                <w:szCs w:val="28"/>
                                <w:lang w:val="en-GB"/>
                              </w:rPr>
                              <w:t>CONTRAT-CADRE SIEA 2018 – LOT N°</w:t>
                            </w:r>
                            <w:proofErr w:type="gramStart"/>
                            <w:r w:rsidRPr="00822A2C">
                              <w:rPr>
                                <w:rFonts w:ascii="Helvetica" w:hAnsi="Helvetica" w:cs="Helvetica"/>
                                <w:b/>
                                <w:sz w:val="28"/>
                                <w:szCs w:val="28"/>
                                <w:lang w:val="en-GB"/>
                              </w:rPr>
                              <w:t>1 :</w:t>
                            </w:r>
                            <w:proofErr w:type="gramEnd"/>
                            <w:r w:rsidRPr="00822A2C">
                              <w:rPr>
                                <w:rFonts w:ascii="Helvetica" w:hAnsi="Helvetica" w:cs="Helvetica"/>
                                <w:b/>
                                <w:sz w:val="28"/>
                                <w:szCs w:val="28"/>
                                <w:lang w:val="en-GB"/>
                              </w:rPr>
                              <w:t xml:space="preserve"> SUSTAINABLE MANAGEMENT OF NATURAL RESOURCES AND RESILIENCE</w:t>
                            </w:r>
                          </w:p>
                          <w:p w14:paraId="79163313" w14:textId="77777777" w:rsidR="00736FE4" w:rsidRPr="008138E1" w:rsidRDefault="00736FE4" w:rsidP="00AF6983">
                            <w:pPr>
                              <w:ind w:left="426" w:right="2727"/>
                              <w:jc w:val="center"/>
                              <w:rPr>
                                <w:rFonts w:ascii="HelveticaNeueLT Com 55 Roman" w:hAnsi="HelveticaNeueLT Com 55 Roman"/>
                                <w:b/>
                                <w:sz w:val="28"/>
                                <w:szCs w:val="28"/>
                                <w:lang w:val="pt-PT"/>
                              </w:rPr>
                            </w:pPr>
                            <w:proofErr w:type="spellStart"/>
                            <w:r w:rsidRPr="00822A2C">
                              <w:rPr>
                                <w:rFonts w:ascii="HelveticaNeueLT Com 55 Roman" w:hAnsi="HelveticaNeueLT Com 55 Roman"/>
                                <w:b/>
                                <w:sz w:val="28"/>
                                <w:szCs w:val="28"/>
                                <w:lang w:val="pt-PT"/>
                              </w:rPr>
                              <w:t>EuropeAid</w:t>
                            </w:r>
                            <w:proofErr w:type="spellEnd"/>
                            <w:r w:rsidRPr="00822A2C">
                              <w:rPr>
                                <w:rFonts w:ascii="HelveticaNeueLT Com 55 Roman" w:hAnsi="HelveticaNeueLT Com 55 Roman"/>
                                <w:b/>
                                <w:sz w:val="28"/>
                                <w:szCs w:val="28"/>
                                <w:lang w:val="pt-PT"/>
                              </w:rPr>
                              <w:t>/138778/DH/SER/</w:t>
                            </w:r>
                            <w:proofErr w:type="spellStart"/>
                            <w:r w:rsidRPr="00822A2C">
                              <w:rPr>
                                <w:rFonts w:ascii="HelveticaNeueLT Com 55 Roman" w:hAnsi="HelveticaNeueLT Com 55 Roman"/>
                                <w:b/>
                                <w:sz w:val="28"/>
                                <w:szCs w:val="28"/>
                                <w:lang w:val="pt-PT"/>
                              </w:rPr>
                              <w:t>multi</w:t>
                            </w:r>
                            <w:proofErr w:type="spellEnd"/>
                          </w:p>
                          <w:p w14:paraId="63B2498D" w14:textId="77777777" w:rsidR="00736FE4" w:rsidRPr="008138E1" w:rsidRDefault="00736FE4" w:rsidP="00AF6983">
                            <w:pPr>
                              <w:ind w:left="426" w:right="2727"/>
                              <w:jc w:val="center"/>
                              <w:rPr>
                                <w:rFonts w:ascii="Helvetica" w:hAnsi="Helvetica"/>
                                <w:b/>
                                <w:bCs/>
                                <w:color w:val="FFFFFF"/>
                                <w:sz w:val="28"/>
                                <w:szCs w:val="28"/>
                                <w:lang w:val="pt-PT"/>
                              </w:rPr>
                            </w:pPr>
                          </w:p>
                          <w:p w14:paraId="49BC848F" w14:textId="77777777" w:rsidR="00736FE4" w:rsidRPr="008138E1" w:rsidRDefault="00736FE4" w:rsidP="00AF6983">
                            <w:pPr>
                              <w:ind w:left="426" w:right="2727"/>
                              <w:jc w:val="center"/>
                              <w:rPr>
                                <w:rFonts w:ascii="HelveticaNeueLT Com 55 Roman" w:hAnsi="HelveticaNeueLT Com 55 Roman"/>
                                <w:b/>
                                <w:sz w:val="32"/>
                                <w:szCs w:val="32"/>
                                <w:lang w:val="pt-PT"/>
                              </w:rPr>
                            </w:pPr>
                            <w:r w:rsidRPr="008138E1">
                              <w:rPr>
                                <w:rFonts w:ascii="HelveticaNeueLT Com 55 Roman" w:hAnsi="HelveticaNeueLT Com 55 Roman"/>
                                <w:b/>
                                <w:sz w:val="32"/>
                                <w:szCs w:val="32"/>
                                <w:lang w:val="pt-PT"/>
                              </w:rPr>
                              <w:t xml:space="preserve">CONTRACT SPECIFIQUE N° </w:t>
                            </w:r>
                            <w:r w:rsidRPr="00822A2C">
                              <w:rPr>
                                <w:rFonts w:ascii="HelveticaNeueLT Com 55 Roman" w:hAnsi="HelveticaNeueLT Com 55 Roman"/>
                                <w:b/>
                                <w:sz w:val="32"/>
                                <w:szCs w:val="32"/>
                                <w:lang w:val="pt-PT"/>
                              </w:rPr>
                              <w:t>2018/398668</w:t>
                            </w:r>
                          </w:p>
                          <w:p w14:paraId="60362FB9" w14:textId="77777777" w:rsidR="00736FE4" w:rsidRPr="008138E1" w:rsidRDefault="00736FE4" w:rsidP="00AF6983">
                            <w:pPr>
                              <w:ind w:left="426" w:right="2727"/>
                              <w:jc w:val="center"/>
                              <w:rPr>
                                <w:rFonts w:ascii="Helvetica" w:hAnsi="Helvetica"/>
                                <w:b/>
                                <w:color w:val="FFFFFF"/>
                                <w:sz w:val="60"/>
                                <w:lang w:val="pt-PT"/>
                              </w:rPr>
                            </w:pPr>
                          </w:p>
                          <w:p w14:paraId="19D1BAE1" w14:textId="77777777" w:rsidR="00736FE4" w:rsidRPr="0020744A" w:rsidRDefault="00736FE4" w:rsidP="00AF6983">
                            <w:pPr>
                              <w:ind w:left="426" w:right="2727"/>
                              <w:jc w:val="center"/>
                              <w:rPr>
                                <w:rFonts w:ascii="HelveticaNeueLT Com 55 Roman" w:hAnsi="HelveticaNeueLT Com 55 Roman"/>
                                <w:b/>
                                <w:sz w:val="28"/>
                                <w:szCs w:val="28"/>
                                <w:lang w:val="fr-FR"/>
                              </w:rPr>
                            </w:pPr>
                            <w:r>
                              <w:rPr>
                                <w:rFonts w:ascii="HelveticaNeueLT Com 55 Roman" w:hAnsi="HelveticaNeueLT Com 55 Roman"/>
                                <w:b/>
                                <w:sz w:val="28"/>
                                <w:szCs w:val="28"/>
                                <w:lang w:val="fr-FR"/>
                              </w:rPr>
                              <w:t>P</w:t>
                            </w:r>
                            <w:r w:rsidRPr="0020744A">
                              <w:rPr>
                                <w:rFonts w:ascii="HelveticaNeueLT Com 55 Roman" w:hAnsi="HelveticaNeueLT Com 55 Roman"/>
                                <w:b/>
                                <w:sz w:val="28"/>
                                <w:szCs w:val="28"/>
                                <w:lang w:val="fr-FR"/>
                              </w:rPr>
                              <w:t>rofil environnemental du Mali</w:t>
                            </w:r>
                          </w:p>
                          <w:p w14:paraId="1DFB0815" w14:textId="77777777" w:rsidR="00736FE4" w:rsidRPr="0020744A" w:rsidRDefault="00736FE4" w:rsidP="00AF6983">
                            <w:pPr>
                              <w:tabs>
                                <w:tab w:val="left" w:pos="1276"/>
                              </w:tabs>
                              <w:ind w:left="426" w:right="2727"/>
                              <w:jc w:val="center"/>
                              <w:rPr>
                                <w:b/>
                                <w:sz w:val="32"/>
                                <w:szCs w:val="32"/>
                                <w:lang w:val="fr-FR"/>
                              </w:rPr>
                            </w:pPr>
                          </w:p>
                          <w:p w14:paraId="4271C5E6" w14:textId="77777777" w:rsidR="00736FE4" w:rsidRPr="0020744A" w:rsidRDefault="00736FE4" w:rsidP="00AF6983">
                            <w:pPr>
                              <w:tabs>
                                <w:tab w:val="left" w:pos="1276"/>
                              </w:tabs>
                              <w:ind w:left="426" w:right="2727"/>
                              <w:jc w:val="center"/>
                              <w:rPr>
                                <w:b/>
                                <w:sz w:val="32"/>
                                <w:szCs w:val="32"/>
                                <w:lang w:val="fr-FR"/>
                              </w:rPr>
                            </w:pPr>
                          </w:p>
                          <w:p w14:paraId="21C1F235" w14:textId="77777777" w:rsidR="00736FE4" w:rsidRPr="0020744A" w:rsidRDefault="00736FE4" w:rsidP="00AF6983">
                            <w:pPr>
                              <w:tabs>
                                <w:tab w:val="left" w:pos="1276"/>
                              </w:tabs>
                              <w:ind w:left="426" w:right="2727"/>
                              <w:jc w:val="center"/>
                              <w:rPr>
                                <w:rFonts w:ascii="Helvetica Narrow" w:hAnsi="Helvetica Narrow" w:cs="Aharoni"/>
                                <w:b/>
                                <w:i/>
                                <w:sz w:val="32"/>
                                <w:szCs w:val="32"/>
                                <w:lang w:val="fr-FR"/>
                              </w:rPr>
                            </w:pPr>
                          </w:p>
                          <w:p w14:paraId="28759314" w14:textId="77777777" w:rsidR="00736FE4" w:rsidRPr="00024DAE" w:rsidRDefault="00736FE4" w:rsidP="00AF6983">
                            <w:pPr>
                              <w:ind w:left="426" w:right="2727"/>
                              <w:jc w:val="center"/>
                              <w:rPr>
                                <w:rFonts w:ascii="HelveticaNeueLT Com 55 Roman" w:hAnsi="HelveticaNeueLT Com 55 Roman"/>
                                <w:b/>
                                <w:sz w:val="32"/>
                                <w:szCs w:val="32"/>
                                <w:lang w:val="fr-FR"/>
                              </w:rPr>
                            </w:pPr>
                            <w:r w:rsidRPr="00024DAE">
                              <w:rPr>
                                <w:rFonts w:ascii="HelveticaNeueLT Com 55 Roman" w:hAnsi="HelveticaNeueLT Com 55 Roman"/>
                                <w:b/>
                                <w:sz w:val="32"/>
                                <w:szCs w:val="32"/>
                                <w:lang w:val="fr-FR"/>
                              </w:rPr>
                              <w:t>Rapport final</w:t>
                            </w:r>
                          </w:p>
                          <w:p w14:paraId="4198261B" w14:textId="77777777" w:rsidR="00736FE4" w:rsidRPr="00024DAE" w:rsidRDefault="00736FE4" w:rsidP="008E0431">
                            <w:pPr>
                              <w:ind w:left="426" w:right="2727"/>
                              <w:jc w:val="center"/>
                              <w:rPr>
                                <w:rFonts w:ascii="Helvetica" w:hAnsi="Helvetica"/>
                                <w:color w:val="FFFFFF"/>
                                <w:sz w:val="32"/>
                                <w:szCs w:val="32"/>
                                <w:lang w:val="fr-FR"/>
                              </w:rPr>
                            </w:pPr>
                            <w:r w:rsidRPr="00024DAE">
                              <w:rPr>
                                <w:rFonts w:ascii="Helvetica" w:hAnsi="Helvetica"/>
                                <w:color w:val="FFFFFF"/>
                                <w:sz w:val="32"/>
                                <w:szCs w:val="32"/>
                                <w:lang w:val="fr-FR"/>
                              </w:rPr>
                              <w:t>Octobre 2019</w:t>
                            </w:r>
                          </w:p>
                          <w:p w14:paraId="04FAAA5C" w14:textId="77777777" w:rsidR="00024DAE" w:rsidRDefault="00024DAE" w:rsidP="008E0431">
                            <w:pPr>
                              <w:ind w:left="426" w:right="2727"/>
                              <w:jc w:val="center"/>
                              <w:rPr>
                                <w:rFonts w:ascii="Helvetica" w:hAnsi="Helvetica"/>
                                <w:i/>
                                <w:color w:val="FFFFFF"/>
                                <w:sz w:val="32"/>
                                <w:szCs w:val="32"/>
                                <w:lang w:val="fr-FR"/>
                              </w:rPr>
                            </w:pPr>
                          </w:p>
                          <w:p w14:paraId="1F664904" w14:textId="77777777" w:rsidR="00024DAE" w:rsidRPr="0020744A" w:rsidRDefault="00024DAE" w:rsidP="008E0431">
                            <w:pPr>
                              <w:ind w:left="426" w:right="2727"/>
                              <w:jc w:val="center"/>
                              <w:rPr>
                                <w:rFonts w:ascii="Helvetica" w:hAnsi="Helvetica"/>
                                <w:i/>
                                <w:color w:val="FFFFFF"/>
                                <w:sz w:val="32"/>
                                <w:szCs w:val="32"/>
                                <w:lang w:val="fr-FR"/>
                              </w:rPr>
                            </w:pPr>
                          </w:p>
                          <w:p w14:paraId="320BDDC5" w14:textId="77777777" w:rsidR="00736FE4" w:rsidRPr="0020744A" w:rsidRDefault="00736FE4" w:rsidP="00C94126">
                            <w:pPr>
                              <w:spacing w:after="0"/>
                              <w:ind w:left="1440" w:firstLine="720"/>
                              <w:rPr>
                                <w:rFonts w:ascii="Helvetica" w:hAnsi="Helvetica" w:cs="Times New Roman"/>
                                <w:i/>
                                <w:color w:val="FFFFFF"/>
                                <w:sz w:val="28"/>
                                <w:szCs w:val="28"/>
                                <w:lang w:val="fr-FR"/>
                              </w:rPr>
                            </w:pPr>
                            <w:r w:rsidRPr="0020744A">
                              <w:rPr>
                                <w:rFonts w:ascii="Helvetica" w:hAnsi="Helvetica" w:cs="Times New Roman"/>
                                <w:i/>
                                <w:color w:val="FFFFFF"/>
                                <w:sz w:val="28"/>
                                <w:szCs w:val="28"/>
                                <w:lang w:val="fr-FR"/>
                              </w:rPr>
                              <w:tab/>
                            </w:r>
                          </w:p>
                          <w:tbl>
                            <w:tblPr>
                              <w:tblStyle w:val="Grilledutableau"/>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9"/>
                              <w:gridCol w:w="2589"/>
                              <w:gridCol w:w="2166"/>
                              <w:gridCol w:w="1985"/>
                            </w:tblGrid>
                            <w:tr w:rsidR="00024DAE" w14:paraId="2D59618F" w14:textId="77777777" w:rsidTr="00024DAE">
                              <w:tc>
                                <w:tcPr>
                                  <w:tcW w:w="2419" w:type="dxa"/>
                                </w:tcPr>
                                <w:p w14:paraId="0C4794B4" w14:textId="77777777" w:rsidR="00024DAE" w:rsidRDefault="00024DAE" w:rsidP="00024DAE">
                                  <w:pPr>
                                    <w:spacing w:after="0"/>
                                    <w:jc w:val="center"/>
                                    <w:rPr>
                                      <w:rFonts w:ascii="Helvetica" w:hAnsi="Helvetica" w:cs="Times New Roman"/>
                                      <w:i/>
                                      <w:color w:val="FFFFFF"/>
                                      <w:sz w:val="28"/>
                                      <w:szCs w:val="28"/>
                                      <w:lang w:val="fr-FR"/>
                                    </w:rPr>
                                  </w:pPr>
                                  <w:r w:rsidRPr="009112FA">
                                    <w:rPr>
                                      <w:rFonts w:cs="Times New Roman"/>
                                      <w:noProof/>
                                      <w:sz w:val="20"/>
                                      <w:szCs w:val="20"/>
                                      <w:lang w:val="fr-FR" w:eastAsia="fr-FR"/>
                                    </w:rPr>
                                    <w:drawing>
                                      <wp:inline distT="0" distB="0" distL="0" distR="0" wp14:anchorId="6AE5E0D3" wp14:editId="0FEEF5F1">
                                        <wp:extent cx="851535" cy="510921"/>
                                        <wp:effectExtent l="0" t="0" r="12065" b="0"/>
                                        <wp:docPr id="8" name="Picture 55" descr="flag_2col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flag_2colors"/>
                                                <pic:cNvPicPr>
                                                  <a:picLocks noChangeAspect="1" noChangeArrowheads="1"/>
                                                </pic:cNvPicPr>
                                              </pic:nvPicPr>
                                              <pic:blipFill>
                                                <a:blip r:embed="rId10">
                                                  <a:lum bright="-12000"/>
                                                </a:blip>
                                                <a:srcRect/>
                                                <a:stretch>
                                                  <a:fillRect/>
                                                </a:stretch>
                                              </pic:blipFill>
                                              <pic:spPr bwMode="auto">
                                                <a:xfrm>
                                                  <a:off x="0" y="0"/>
                                                  <a:ext cx="857062" cy="514237"/>
                                                </a:xfrm>
                                                <a:prstGeom prst="rect">
                                                  <a:avLst/>
                                                </a:prstGeom>
                                                <a:noFill/>
                                                <a:ln w="9525">
                                                  <a:noFill/>
                                                  <a:miter lim="800000"/>
                                                  <a:headEnd/>
                                                  <a:tailEnd/>
                                                </a:ln>
                                              </pic:spPr>
                                            </pic:pic>
                                          </a:graphicData>
                                        </a:graphic>
                                      </wp:inline>
                                    </w:drawing>
                                  </w:r>
                                </w:p>
                              </w:tc>
                              <w:tc>
                                <w:tcPr>
                                  <w:tcW w:w="2589" w:type="dxa"/>
                                </w:tcPr>
                                <w:p w14:paraId="31207178" w14:textId="77777777" w:rsidR="00024DAE" w:rsidRDefault="00024DAE" w:rsidP="00C94126">
                                  <w:pPr>
                                    <w:spacing w:after="0"/>
                                    <w:rPr>
                                      <w:rFonts w:ascii="Helvetica" w:hAnsi="Helvetica" w:cs="Times New Roman"/>
                                      <w:i/>
                                      <w:color w:val="FFFFFF"/>
                                      <w:sz w:val="28"/>
                                      <w:szCs w:val="28"/>
                                      <w:lang w:val="fr-FR"/>
                                    </w:rPr>
                                  </w:pPr>
                                </w:p>
                              </w:tc>
                              <w:tc>
                                <w:tcPr>
                                  <w:tcW w:w="2166" w:type="dxa"/>
                                </w:tcPr>
                                <w:p w14:paraId="44ADC549" w14:textId="77777777" w:rsidR="00024DAE" w:rsidRPr="009112FA" w:rsidRDefault="00024DAE" w:rsidP="00024DAE">
                                  <w:pPr>
                                    <w:spacing w:after="0"/>
                                    <w:jc w:val="center"/>
                                    <w:rPr>
                                      <w:noProof/>
                                      <w:sz w:val="20"/>
                                      <w:szCs w:val="20"/>
                                      <w:lang w:val="fr-FR" w:eastAsia="fr-FR"/>
                                    </w:rPr>
                                  </w:pPr>
                                  <w:r w:rsidRPr="009112FA">
                                    <w:rPr>
                                      <w:noProof/>
                                      <w:sz w:val="20"/>
                                      <w:szCs w:val="20"/>
                                      <w:lang w:val="fr-FR" w:eastAsia="fr-FR"/>
                                    </w:rPr>
                                    <w:drawing>
                                      <wp:inline distT="0" distB="0" distL="0" distR="0" wp14:anchorId="5D5DD89E" wp14:editId="744C1CD5">
                                        <wp:extent cx="946785" cy="509905"/>
                                        <wp:effectExtent l="0" t="0" r="0" b="0"/>
                                        <wp:docPr id="5" name="Picture 5"/>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968281" cy="521482"/>
                                                </a:xfrm>
                                                <a:prstGeom prst="rect">
                                                  <a:avLst/>
                                                </a:prstGeom>
                                              </pic:spPr>
                                            </pic:pic>
                                          </a:graphicData>
                                        </a:graphic>
                                      </wp:inline>
                                    </w:drawing>
                                  </w:r>
                                </w:p>
                              </w:tc>
                              <w:tc>
                                <w:tcPr>
                                  <w:tcW w:w="1985" w:type="dxa"/>
                                </w:tcPr>
                                <w:p w14:paraId="5976604D" w14:textId="77777777" w:rsidR="00024DAE" w:rsidRDefault="00024DAE" w:rsidP="00024DAE">
                                  <w:pPr>
                                    <w:spacing w:after="0"/>
                                    <w:jc w:val="center"/>
                                    <w:rPr>
                                      <w:rFonts w:ascii="Helvetica" w:hAnsi="Helvetica" w:cs="Times New Roman"/>
                                      <w:i/>
                                      <w:color w:val="FFFFFF"/>
                                      <w:sz w:val="28"/>
                                      <w:szCs w:val="28"/>
                                      <w:lang w:val="fr-FR"/>
                                    </w:rPr>
                                  </w:pPr>
                                  <w:r>
                                    <w:rPr>
                                      <w:noProof/>
                                      <w:sz w:val="20"/>
                                      <w:szCs w:val="20"/>
                                      <w:lang w:val="fr-FR" w:eastAsia="fr-FR"/>
                                    </w:rPr>
                                    <w:drawing>
                                      <wp:inline distT="0" distB="0" distL="0" distR="0" wp14:anchorId="26FB05C0" wp14:editId="07185FA9">
                                        <wp:extent cx="786320" cy="509270"/>
                                        <wp:effectExtent l="0" t="0" r="1270" b="0"/>
                                        <wp:docPr id="63" name="Imag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LOGO V2 ORANGE WEB JPG.jpg"/>
                                                <pic:cNvPicPr/>
                                              </pic:nvPicPr>
                                              <pic:blipFill>
                                                <a:blip r:embed="rId12">
                                                  <a:extLst>
                                                    <a:ext uri="{28A0092B-C50C-407E-A947-70E740481C1C}">
                                                      <a14:useLocalDpi xmlns:a14="http://schemas.microsoft.com/office/drawing/2010/main" val="0"/>
                                                    </a:ext>
                                                  </a:extLst>
                                                </a:blip>
                                                <a:stretch>
                                                  <a:fillRect/>
                                                </a:stretch>
                                              </pic:blipFill>
                                              <pic:spPr>
                                                <a:xfrm>
                                                  <a:off x="0" y="0"/>
                                                  <a:ext cx="822377" cy="532623"/>
                                                </a:xfrm>
                                                <a:prstGeom prst="rect">
                                                  <a:avLst/>
                                                </a:prstGeom>
                                              </pic:spPr>
                                            </pic:pic>
                                          </a:graphicData>
                                        </a:graphic>
                                      </wp:inline>
                                    </w:drawing>
                                  </w:r>
                                </w:p>
                              </w:tc>
                            </w:tr>
                            <w:tr w:rsidR="00024DAE" w14:paraId="39EB5901" w14:textId="77777777" w:rsidTr="00024DAE">
                              <w:tc>
                                <w:tcPr>
                                  <w:tcW w:w="2419" w:type="dxa"/>
                                </w:tcPr>
                                <w:p w14:paraId="590080E4" w14:textId="77777777" w:rsidR="00024DAE" w:rsidRPr="00024DAE" w:rsidRDefault="00024DAE" w:rsidP="00C94126">
                                  <w:pPr>
                                    <w:spacing w:after="0"/>
                                    <w:rPr>
                                      <w:rFonts w:ascii="Helvetica" w:hAnsi="Helvetica" w:cs="Times New Roman"/>
                                      <w:color w:val="FFFFFF"/>
                                      <w:sz w:val="20"/>
                                      <w:szCs w:val="20"/>
                                      <w:lang w:val="fr-FR"/>
                                    </w:rPr>
                                  </w:pPr>
                                  <w:r w:rsidRPr="009112FA">
                                    <w:rPr>
                                      <w:rFonts w:ascii="Helvetica" w:hAnsi="Helvetica" w:cs="Times New Roman"/>
                                      <w:color w:val="FFFFFF"/>
                                      <w:sz w:val="20"/>
                                      <w:szCs w:val="20"/>
                                      <w:lang w:val="fr-FR"/>
                                    </w:rPr>
                                    <w:t>Ce projet a été financé</w:t>
                                  </w:r>
                                  <w:r>
                                    <w:rPr>
                                      <w:rFonts w:ascii="Helvetica" w:hAnsi="Helvetica" w:cs="Times New Roman"/>
                                      <w:color w:val="FFFFFF"/>
                                      <w:sz w:val="20"/>
                                      <w:szCs w:val="20"/>
                                      <w:lang w:val="fr-FR"/>
                                    </w:rPr>
                                    <w:t xml:space="preserve"> </w:t>
                                  </w:r>
                                  <w:r w:rsidRPr="009112FA">
                                    <w:rPr>
                                      <w:rFonts w:ascii="Helvetica" w:hAnsi="Helvetica" w:cs="Times New Roman"/>
                                      <w:color w:val="FFFFFF"/>
                                      <w:sz w:val="20"/>
                                      <w:szCs w:val="20"/>
                                      <w:lang w:val="fr-FR"/>
                                    </w:rPr>
                                    <w:t xml:space="preserve">par l’Union Européenne                                                      </w:t>
                                  </w:r>
                                </w:p>
                              </w:tc>
                              <w:tc>
                                <w:tcPr>
                                  <w:tcW w:w="2589" w:type="dxa"/>
                                </w:tcPr>
                                <w:p w14:paraId="035D91C9" w14:textId="77777777" w:rsidR="00024DAE" w:rsidRDefault="00024DAE" w:rsidP="00C94126">
                                  <w:pPr>
                                    <w:spacing w:after="0"/>
                                    <w:rPr>
                                      <w:rFonts w:ascii="Helvetica" w:hAnsi="Helvetica" w:cs="Times New Roman"/>
                                      <w:i/>
                                      <w:color w:val="FFFFFF"/>
                                      <w:sz w:val="28"/>
                                      <w:szCs w:val="28"/>
                                      <w:lang w:val="fr-FR"/>
                                    </w:rPr>
                                  </w:pPr>
                                </w:p>
                              </w:tc>
                              <w:tc>
                                <w:tcPr>
                                  <w:tcW w:w="4151" w:type="dxa"/>
                                  <w:gridSpan w:val="2"/>
                                </w:tcPr>
                                <w:p w14:paraId="37AE6F29" w14:textId="77777777" w:rsidR="00024DAE" w:rsidRPr="00024DAE" w:rsidRDefault="00024DAE" w:rsidP="00024DAE">
                                  <w:pPr>
                                    <w:spacing w:after="0"/>
                                    <w:jc w:val="center"/>
                                    <w:rPr>
                                      <w:rFonts w:ascii="Helvetica" w:hAnsi="Helvetica" w:cs="Times New Roman"/>
                                      <w:color w:val="FFFFFF"/>
                                      <w:sz w:val="20"/>
                                      <w:szCs w:val="20"/>
                                      <w:lang w:val="fr-FR"/>
                                    </w:rPr>
                                  </w:pPr>
                                  <w:r w:rsidRPr="009112FA">
                                    <w:rPr>
                                      <w:rFonts w:ascii="Helvetica" w:hAnsi="Helvetica" w:cs="Times New Roman"/>
                                      <w:color w:val="FFFFFF"/>
                                      <w:sz w:val="20"/>
                                      <w:szCs w:val="20"/>
                                      <w:lang w:val="fr-FR"/>
                                    </w:rPr>
                                    <w:t>Ce projet a été mis en œuvre par</w:t>
                                  </w:r>
                                  <w:r w:rsidRPr="00024DAE">
                                    <w:rPr>
                                      <w:rFonts w:ascii="Helvetica" w:hAnsi="Helvetica" w:cs="Times New Roman"/>
                                      <w:color w:val="FFFFFF"/>
                                      <w:sz w:val="20"/>
                                      <w:szCs w:val="20"/>
                                      <w:lang w:val="fr-FR"/>
                                    </w:rPr>
                                    <w:t xml:space="preserve"> </w:t>
                                  </w:r>
                                  <w:r>
                                    <w:rPr>
                                      <w:rFonts w:ascii="Helvetica" w:hAnsi="Helvetica" w:cs="Times New Roman"/>
                                      <w:color w:val="FFFFFF"/>
                                      <w:sz w:val="20"/>
                                      <w:szCs w:val="20"/>
                                      <w:lang w:val="fr-FR"/>
                                    </w:rPr>
                                    <w:t>CAPA Consortium</w:t>
                                  </w:r>
                                  <w:r w:rsidRPr="009112FA">
                                    <w:rPr>
                                      <w:rFonts w:ascii="Helvetica" w:hAnsi="Helvetica" w:cs="Times New Roman"/>
                                      <w:color w:val="FFFFFF"/>
                                      <w:sz w:val="20"/>
                                      <w:szCs w:val="20"/>
                                      <w:lang w:val="fr-FR"/>
                                    </w:rPr>
                                    <w:t xml:space="preserve"> </w:t>
                                  </w:r>
                                  <w:r>
                                    <w:rPr>
                                      <w:rFonts w:ascii="Helvetica" w:hAnsi="Helvetica" w:cs="Times New Roman"/>
                                      <w:color w:val="FFFFFF"/>
                                      <w:sz w:val="20"/>
                                      <w:szCs w:val="20"/>
                                      <w:lang w:val="fr-FR"/>
                                    </w:rPr>
                                    <w:t xml:space="preserve">et Expertise </w:t>
                                  </w:r>
                                  <w:proofErr w:type="spellStart"/>
                                  <w:r>
                                    <w:rPr>
                                      <w:rFonts w:ascii="Helvetica" w:hAnsi="Helvetica" w:cs="Times New Roman"/>
                                      <w:color w:val="FFFFFF"/>
                                      <w:sz w:val="20"/>
                                      <w:szCs w:val="20"/>
                                      <w:lang w:val="fr-FR"/>
                                    </w:rPr>
                                    <w:t>Advisors</w:t>
                                  </w:r>
                                  <w:proofErr w:type="spellEnd"/>
                                </w:p>
                              </w:tc>
                            </w:tr>
                          </w:tbl>
                          <w:p w14:paraId="14C23E6D" w14:textId="77777777" w:rsidR="00736FE4" w:rsidRPr="0020744A" w:rsidRDefault="00736FE4" w:rsidP="00C94126">
                            <w:pPr>
                              <w:spacing w:after="0"/>
                              <w:ind w:left="1440" w:firstLine="720"/>
                              <w:rPr>
                                <w:rFonts w:ascii="Helvetica" w:hAnsi="Helvetica" w:cs="Times New Roman"/>
                                <w:i/>
                                <w:color w:val="FFFFFF"/>
                                <w:sz w:val="28"/>
                                <w:szCs w:val="28"/>
                                <w:lang w:val="fr-FR"/>
                              </w:rPr>
                            </w:pPr>
                          </w:p>
                          <w:p w14:paraId="7AE1A4E0" w14:textId="77777777" w:rsidR="00736FE4" w:rsidRPr="0020744A" w:rsidRDefault="00736FE4" w:rsidP="00C94126">
                            <w:pPr>
                              <w:spacing w:after="0"/>
                              <w:ind w:left="1440" w:firstLine="720"/>
                              <w:rPr>
                                <w:rFonts w:ascii="Helvetica" w:hAnsi="Helvetica" w:cs="Times New Roman"/>
                                <w:i/>
                                <w:color w:val="FFFFFF"/>
                                <w:sz w:val="28"/>
                                <w:szCs w:val="28"/>
                                <w:lang w:val="fr-FR"/>
                              </w:rPr>
                            </w:pPr>
                            <w:r w:rsidRPr="0020744A">
                              <w:rPr>
                                <w:rFonts w:ascii="Helvetica" w:hAnsi="Helvetica" w:cs="Times New Roman"/>
                                <w:i/>
                                <w:color w:val="FFFFFF"/>
                                <w:sz w:val="28"/>
                                <w:szCs w:val="28"/>
                                <w:lang w:val="fr-FR"/>
                              </w:rPr>
                              <w:tab/>
                            </w:r>
                          </w:p>
                          <w:p w14:paraId="3D7F17F1" w14:textId="77777777" w:rsidR="00736FE4" w:rsidRPr="009112FA" w:rsidRDefault="00736FE4" w:rsidP="00024DAE">
                            <w:pPr>
                              <w:ind w:left="2160" w:hanging="459"/>
                              <w:rPr>
                                <w:rFonts w:ascii="Helvetica" w:hAnsi="Helvetica" w:cs="Times New Roman"/>
                                <w:color w:val="FFFFFF"/>
                                <w:sz w:val="20"/>
                                <w:szCs w:val="20"/>
                                <w:lang w:val="fr-FR"/>
                              </w:rPr>
                            </w:pPr>
                            <w:r w:rsidRPr="009112FA">
                              <w:rPr>
                                <w:noProof/>
                                <w:sz w:val="20"/>
                                <w:szCs w:val="20"/>
                                <w:lang w:val="fr-FR" w:eastAsia="fr-BE"/>
                              </w:rPr>
                              <w:t xml:space="preserve">                                                                                       </w:t>
                            </w:r>
                            <w:r w:rsidRPr="009112FA">
                              <w:rPr>
                                <w:noProof/>
                                <w:sz w:val="20"/>
                                <w:szCs w:val="20"/>
                                <w:lang w:val="fr-FR" w:eastAsia="de-DE"/>
                              </w:rPr>
                              <w:t xml:space="preserve">           </w:t>
                            </w:r>
                            <w:r w:rsidRPr="009112FA">
                              <w:rPr>
                                <w:noProof/>
                                <w:sz w:val="20"/>
                                <w:szCs w:val="20"/>
                                <w:lang w:val="fr-FR" w:eastAsia="fr-BE"/>
                              </w:rPr>
                              <w:t xml:space="preserve"> </w:t>
                            </w:r>
                            <w:r w:rsidRPr="009112FA">
                              <w:rPr>
                                <w:sz w:val="20"/>
                                <w:szCs w:val="20"/>
                              </w:rPr>
                              <w:t xml:space="preserve">    </w:t>
                            </w:r>
                          </w:p>
                          <w:p w14:paraId="4FC6480D" w14:textId="77777777" w:rsidR="00736FE4" w:rsidRPr="0020744A" w:rsidRDefault="00736FE4" w:rsidP="00C94126">
                            <w:pPr>
                              <w:spacing w:line="360" w:lineRule="auto"/>
                              <w:jc w:val="center"/>
                              <w:rPr>
                                <w:rFonts w:ascii="Helvetica" w:hAnsi="Helvetica" w:cs="Times New Roman"/>
                                <w:color w:val="FFFFFF"/>
                                <w:lang w:val="fr-FR"/>
                              </w:rPr>
                            </w:pPr>
                          </w:p>
                          <w:p w14:paraId="04C6E9DA" w14:textId="77777777" w:rsidR="00736FE4" w:rsidRPr="00E0487B" w:rsidRDefault="00736FE4" w:rsidP="00C94126">
                            <w:pPr>
                              <w:spacing w:line="360" w:lineRule="auto"/>
                              <w:jc w:val="center"/>
                              <w:rPr>
                                <w:rFonts w:ascii="Helvetica" w:hAnsi="Helvetica" w:cs="Times New Roman"/>
                                <w:color w:val="FFFFFF"/>
                              </w:rPr>
                            </w:pPr>
                          </w:p>
                          <w:p w14:paraId="5E05FC7A" w14:textId="77777777" w:rsidR="00736FE4" w:rsidRPr="000C145F" w:rsidRDefault="00736FE4" w:rsidP="00C94126">
                            <w:pPr>
                              <w:spacing w:line="360" w:lineRule="auto"/>
                              <w:jc w:val="center"/>
                              <w:rPr>
                                <w:rFonts w:ascii="Helvetica" w:hAnsi="Helvetica" w:cs="Times New Roman"/>
                                <w:color w:val="FFFFFF"/>
                              </w:rPr>
                            </w:pPr>
                          </w:p>
                          <w:p w14:paraId="26B3BB93" w14:textId="77777777" w:rsidR="00736FE4" w:rsidRPr="000C145F" w:rsidRDefault="00736FE4" w:rsidP="00C94126">
                            <w:pPr>
                              <w:spacing w:line="360" w:lineRule="auto"/>
                              <w:jc w:val="center"/>
                              <w:rPr>
                                <w:rFonts w:ascii="Helvetica" w:hAnsi="Helvetica" w:cs="Times New Roman"/>
                                <w:color w:val="FFFFFF"/>
                              </w:rPr>
                            </w:pPr>
                          </w:p>
                          <w:p w14:paraId="582FB56A" w14:textId="77777777" w:rsidR="00736FE4" w:rsidRPr="000C145F" w:rsidRDefault="00736FE4" w:rsidP="00C94126">
                            <w:pPr>
                              <w:spacing w:line="360" w:lineRule="auto"/>
                              <w:jc w:val="center"/>
                              <w:rPr>
                                <w:rFonts w:ascii="Helvetica" w:hAnsi="Helvetica" w:cs="Times New Roman"/>
                                <w:color w:val="FFFFFF"/>
                              </w:rPr>
                            </w:pPr>
                          </w:p>
                          <w:p w14:paraId="394F9A7F" w14:textId="77777777" w:rsidR="00736FE4" w:rsidRPr="000C145F" w:rsidRDefault="00736FE4" w:rsidP="00C94126">
                            <w:pPr>
                              <w:spacing w:line="360" w:lineRule="auto"/>
                              <w:jc w:val="center"/>
                              <w:rPr>
                                <w:rFonts w:ascii="Helvetica" w:hAnsi="Helvetica" w:cs="Times New Roman"/>
                                <w:color w:val="FFFFFF"/>
                              </w:rPr>
                            </w:pPr>
                          </w:p>
                          <w:p w14:paraId="3DE6BEB2" w14:textId="77777777" w:rsidR="00736FE4" w:rsidRPr="000C145F" w:rsidRDefault="00736FE4" w:rsidP="00C94126">
                            <w:pPr>
                              <w:spacing w:line="360" w:lineRule="auto"/>
                              <w:jc w:val="center"/>
                              <w:rPr>
                                <w:rFonts w:ascii="Helvetica" w:hAnsi="Helvetica" w:cs="Times New Roman"/>
                                <w:color w:val="FFFFFF"/>
                              </w:rPr>
                            </w:pPr>
                          </w:p>
                          <w:p w14:paraId="582E9438" w14:textId="77777777" w:rsidR="00736FE4" w:rsidRPr="000C145F" w:rsidRDefault="00736FE4" w:rsidP="00C94126">
                            <w:pPr>
                              <w:spacing w:line="360" w:lineRule="auto"/>
                              <w:jc w:val="center"/>
                              <w:rPr>
                                <w:rFonts w:ascii="Helvetica" w:hAnsi="Helvetica" w:cs="Times New Roman"/>
                                <w:color w:val="FFFFFF"/>
                              </w:rPr>
                            </w:pPr>
                          </w:p>
                          <w:p w14:paraId="0DF91538" w14:textId="77777777" w:rsidR="00736FE4" w:rsidRPr="000C145F" w:rsidRDefault="00736FE4" w:rsidP="00C94126">
                            <w:pPr>
                              <w:spacing w:line="360" w:lineRule="auto"/>
                              <w:jc w:val="center"/>
                              <w:rPr>
                                <w:rFonts w:ascii="Helvetica" w:hAnsi="Helvetica" w:cs="Times New Roman"/>
                                <w:color w:val="FFFFFF"/>
                              </w:rPr>
                            </w:pPr>
                          </w:p>
                          <w:p w14:paraId="27AFB5E6" w14:textId="77777777" w:rsidR="00736FE4" w:rsidRPr="000C145F" w:rsidRDefault="00736FE4" w:rsidP="00C94126">
                            <w:pPr>
                              <w:spacing w:line="360" w:lineRule="auto"/>
                              <w:ind w:left="720" w:firstLine="720"/>
                              <w:rPr>
                                <w:rFonts w:ascii="Helvetica" w:hAnsi="Helvetica"/>
                                <w:color w:val="FFFFFF"/>
                              </w:rPr>
                            </w:pPr>
                          </w:p>
                          <w:p w14:paraId="1AE20702" w14:textId="77777777" w:rsidR="00736FE4" w:rsidRPr="00580658" w:rsidRDefault="00736FE4" w:rsidP="00C9412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FBD0FC" id="Rectangle 54" o:spid="_x0000_s1029" style="position:absolute;left:0;text-align:left;margin-left:-76.15pt;margin-top:127.85pt;width:710.75pt;height:697.1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" fillcolor="navy" stroked="f">
                <v:textbox>
                  <w:txbxContent>
                    <w:p w14:paraId="13C0D126" w14:textId="77777777" w:rsidR="00736FE4" w:rsidRDefault="00736FE4" w:rsidP="00C94126">
                      <w:pPr>
                        <w:rPr>
                          <w:rFonts w:ascii="Helvetica" w:hAnsi="Helvetica"/>
                          <w:b/>
                          <w:color w:val="FFFFFF"/>
                          <w:sz w:val="60"/>
                        </w:rPr>
                      </w:pPr>
                    </w:p>
                    <w:p w14:paraId="67245D25" w14:textId="77777777" w:rsidR="00736FE4" w:rsidRPr="00822A2C" w:rsidRDefault="00736FE4" w:rsidP="00AF6983">
                      <w:pPr>
                        <w:ind w:left="426" w:right="2727"/>
                        <w:jc w:val="center"/>
                        <w:rPr>
                          <w:rFonts w:ascii="Helvetica" w:hAnsi="Helvetica" w:cs="Helvetica"/>
                          <w:b/>
                          <w:sz w:val="28"/>
                          <w:szCs w:val="28"/>
                          <w:lang w:val="en-GB"/>
                        </w:rPr>
                      </w:pPr>
                      <w:r w:rsidRPr="00822A2C">
                        <w:rPr>
                          <w:rFonts w:ascii="Helvetica" w:hAnsi="Helvetica" w:cs="Helvetica"/>
                          <w:b/>
                          <w:sz w:val="28"/>
                          <w:szCs w:val="28"/>
                          <w:lang w:val="en-GB"/>
                        </w:rPr>
                        <w:t>CONTRAT-CADRE SIEA 2018 – LOT N°</w:t>
                      </w:r>
                      <w:proofErr w:type="gramStart"/>
                      <w:r w:rsidRPr="00822A2C">
                        <w:rPr>
                          <w:rFonts w:ascii="Helvetica" w:hAnsi="Helvetica" w:cs="Helvetica"/>
                          <w:b/>
                          <w:sz w:val="28"/>
                          <w:szCs w:val="28"/>
                          <w:lang w:val="en-GB"/>
                        </w:rPr>
                        <w:t>1 :</w:t>
                      </w:r>
                      <w:proofErr w:type="gramEnd"/>
                      <w:r w:rsidRPr="00822A2C">
                        <w:rPr>
                          <w:rFonts w:ascii="Helvetica" w:hAnsi="Helvetica" w:cs="Helvetica"/>
                          <w:b/>
                          <w:sz w:val="28"/>
                          <w:szCs w:val="28"/>
                          <w:lang w:val="en-GB"/>
                        </w:rPr>
                        <w:t xml:space="preserve"> SUSTAINABLE MANAGEMENT OF NATURAL RESOURCES AND RESILIENCE</w:t>
                      </w:r>
                    </w:p>
                    <w:p w14:paraId="79163313" w14:textId="77777777" w:rsidR="00736FE4" w:rsidRPr="008138E1" w:rsidRDefault="00736FE4" w:rsidP="00AF6983">
                      <w:pPr>
                        <w:ind w:left="426" w:right="2727"/>
                        <w:jc w:val="center"/>
                        <w:rPr>
                          <w:rFonts w:ascii="HelveticaNeueLT Com 55 Roman" w:hAnsi="HelveticaNeueLT Com 55 Roman"/>
                          <w:b/>
                          <w:sz w:val="28"/>
                          <w:szCs w:val="28"/>
                          <w:lang w:val="pt-PT"/>
                        </w:rPr>
                      </w:pPr>
                      <w:proofErr w:type="spellStart"/>
                      <w:r w:rsidRPr="00822A2C">
                        <w:rPr>
                          <w:rFonts w:ascii="HelveticaNeueLT Com 55 Roman" w:hAnsi="HelveticaNeueLT Com 55 Roman"/>
                          <w:b/>
                          <w:sz w:val="28"/>
                          <w:szCs w:val="28"/>
                          <w:lang w:val="pt-PT"/>
                        </w:rPr>
                        <w:t>EuropeAid</w:t>
                      </w:r>
                      <w:proofErr w:type="spellEnd"/>
                      <w:r w:rsidRPr="00822A2C">
                        <w:rPr>
                          <w:rFonts w:ascii="HelveticaNeueLT Com 55 Roman" w:hAnsi="HelveticaNeueLT Com 55 Roman"/>
                          <w:b/>
                          <w:sz w:val="28"/>
                          <w:szCs w:val="28"/>
                          <w:lang w:val="pt-PT"/>
                        </w:rPr>
                        <w:t>/138778/DH/SER/</w:t>
                      </w:r>
                      <w:proofErr w:type="spellStart"/>
                      <w:r w:rsidRPr="00822A2C">
                        <w:rPr>
                          <w:rFonts w:ascii="HelveticaNeueLT Com 55 Roman" w:hAnsi="HelveticaNeueLT Com 55 Roman"/>
                          <w:b/>
                          <w:sz w:val="28"/>
                          <w:szCs w:val="28"/>
                          <w:lang w:val="pt-PT"/>
                        </w:rPr>
                        <w:t>multi</w:t>
                      </w:r>
                      <w:proofErr w:type="spellEnd"/>
                    </w:p>
                    <w:p w14:paraId="63B2498D" w14:textId="77777777" w:rsidR="00736FE4" w:rsidRPr="008138E1" w:rsidRDefault="00736FE4" w:rsidP="00AF6983">
                      <w:pPr>
                        <w:ind w:left="426" w:right="2727"/>
                        <w:jc w:val="center"/>
                        <w:rPr>
                          <w:rFonts w:ascii="Helvetica" w:hAnsi="Helvetica"/>
                          <w:b/>
                          <w:bCs/>
                          <w:color w:val="FFFFFF"/>
                          <w:sz w:val="28"/>
                          <w:szCs w:val="28"/>
                          <w:lang w:val="pt-PT"/>
                        </w:rPr>
                      </w:pPr>
                    </w:p>
                    <w:p w14:paraId="49BC848F" w14:textId="77777777" w:rsidR="00736FE4" w:rsidRPr="008138E1" w:rsidRDefault="00736FE4" w:rsidP="00AF6983">
                      <w:pPr>
                        <w:ind w:left="426" w:right="2727"/>
                        <w:jc w:val="center"/>
                        <w:rPr>
                          <w:rFonts w:ascii="HelveticaNeueLT Com 55 Roman" w:hAnsi="HelveticaNeueLT Com 55 Roman"/>
                          <w:b/>
                          <w:sz w:val="32"/>
                          <w:szCs w:val="32"/>
                          <w:lang w:val="pt-PT"/>
                        </w:rPr>
                      </w:pPr>
                      <w:r w:rsidRPr="008138E1">
                        <w:rPr>
                          <w:rFonts w:ascii="HelveticaNeueLT Com 55 Roman" w:hAnsi="HelveticaNeueLT Com 55 Roman"/>
                          <w:b/>
                          <w:sz w:val="32"/>
                          <w:szCs w:val="32"/>
                          <w:lang w:val="pt-PT"/>
                        </w:rPr>
                        <w:t xml:space="preserve">CONTRACT SPECIFIQUE N° </w:t>
                      </w:r>
                      <w:r w:rsidRPr="00822A2C">
                        <w:rPr>
                          <w:rFonts w:ascii="HelveticaNeueLT Com 55 Roman" w:hAnsi="HelveticaNeueLT Com 55 Roman"/>
                          <w:b/>
                          <w:sz w:val="32"/>
                          <w:szCs w:val="32"/>
                          <w:lang w:val="pt-PT"/>
                        </w:rPr>
                        <w:t>2018/398668</w:t>
                      </w:r>
                    </w:p>
                    <w:p w14:paraId="60362FB9" w14:textId="77777777" w:rsidR="00736FE4" w:rsidRPr="008138E1" w:rsidRDefault="00736FE4" w:rsidP="00AF6983">
                      <w:pPr>
                        <w:ind w:left="426" w:right="2727"/>
                        <w:jc w:val="center"/>
                        <w:rPr>
                          <w:rFonts w:ascii="Helvetica" w:hAnsi="Helvetica"/>
                          <w:b/>
                          <w:color w:val="FFFFFF"/>
                          <w:sz w:val="60"/>
                          <w:lang w:val="pt-PT"/>
                        </w:rPr>
                      </w:pPr>
                    </w:p>
                    <w:p w14:paraId="19D1BAE1" w14:textId="77777777" w:rsidR="00736FE4" w:rsidRPr="0020744A" w:rsidRDefault="00736FE4" w:rsidP="00AF6983">
                      <w:pPr>
                        <w:ind w:left="426" w:right="2727"/>
                        <w:jc w:val="center"/>
                        <w:rPr>
                          <w:rFonts w:ascii="HelveticaNeueLT Com 55 Roman" w:hAnsi="HelveticaNeueLT Com 55 Roman"/>
                          <w:b/>
                          <w:sz w:val="28"/>
                          <w:szCs w:val="28"/>
                          <w:lang w:val="fr-FR"/>
                        </w:rPr>
                      </w:pPr>
                      <w:r>
                        <w:rPr>
                          <w:rFonts w:ascii="HelveticaNeueLT Com 55 Roman" w:hAnsi="HelveticaNeueLT Com 55 Roman"/>
                          <w:b/>
                          <w:sz w:val="28"/>
                          <w:szCs w:val="28"/>
                          <w:lang w:val="fr-FR"/>
                        </w:rPr>
                        <w:t>P</w:t>
                      </w:r>
                      <w:r w:rsidRPr="0020744A">
                        <w:rPr>
                          <w:rFonts w:ascii="HelveticaNeueLT Com 55 Roman" w:hAnsi="HelveticaNeueLT Com 55 Roman"/>
                          <w:b/>
                          <w:sz w:val="28"/>
                          <w:szCs w:val="28"/>
                          <w:lang w:val="fr-FR"/>
                        </w:rPr>
                        <w:t>rofil environnemental du Mali</w:t>
                      </w:r>
                    </w:p>
                    <w:p w14:paraId="1DFB0815" w14:textId="77777777" w:rsidR="00736FE4" w:rsidRPr="0020744A" w:rsidRDefault="00736FE4" w:rsidP="00AF6983">
                      <w:pPr>
                        <w:tabs>
                          <w:tab w:val="left" w:pos="1276"/>
                        </w:tabs>
                        <w:ind w:left="426" w:right="2727"/>
                        <w:jc w:val="center"/>
                        <w:rPr>
                          <w:b/>
                          <w:sz w:val="32"/>
                          <w:szCs w:val="32"/>
                          <w:lang w:val="fr-FR"/>
                        </w:rPr>
                      </w:pPr>
                    </w:p>
                    <w:p w14:paraId="4271C5E6" w14:textId="77777777" w:rsidR="00736FE4" w:rsidRPr="0020744A" w:rsidRDefault="00736FE4" w:rsidP="00AF6983">
                      <w:pPr>
                        <w:tabs>
                          <w:tab w:val="left" w:pos="1276"/>
                        </w:tabs>
                        <w:ind w:left="426" w:right="2727"/>
                        <w:jc w:val="center"/>
                        <w:rPr>
                          <w:b/>
                          <w:sz w:val="32"/>
                          <w:szCs w:val="32"/>
                          <w:lang w:val="fr-FR"/>
                        </w:rPr>
                      </w:pPr>
                    </w:p>
                    <w:p w14:paraId="21C1F235" w14:textId="77777777" w:rsidR="00736FE4" w:rsidRPr="0020744A" w:rsidRDefault="00736FE4" w:rsidP="00AF6983">
                      <w:pPr>
                        <w:tabs>
                          <w:tab w:val="left" w:pos="1276"/>
                        </w:tabs>
                        <w:ind w:left="426" w:right="2727"/>
                        <w:jc w:val="center"/>
                        <w:rPr>
                          <w:rFonts w:ascii="Helvetica Narrow" w:hAnsi="Helvetica Narrow" w:cs="Aharoni"/>
                          <w:b/>
                          <w:i/>
                          <w:sz w:val="32"/>
                          <w:szCs w:val="32"/>
                          <w:lang w:val="fr-FR"/>
                        </w:rPr>
                      </w:pPr>
                    </w:p>
                    <w:p w14:paraId="28759314" w14:textId="77777777" w:rsidR="00736FE4" w:rsidRPr="00024DAE" w:rsidRDefault="00736FE4" w:rsidP="00AF6983">
                      <w:pPr>
                        <w:ind w:left="426" w:right="2727"/>
                        <w:jc w:val="center"/>
                        <w:rPr>
                          <w:rFonts w:ascii="HelveticaNeueLT Com 55 Roman" w:hAnsi="HelveticaNeueLT Com 55 Roman"/>
                          <w:b/>
                          <w:sz w:val="32"/>
                          <w:szCs w:val="32"/>
                          <w:lang w:val="fr-FR"/>
                        </w:rPr>
                      </w:pPr>
                      <w:r w:rsidRPr="00024DAE">
                        <w:rPr>
                          <w:rFonts w:ascii="HelveticaNeueLT Com 55 Roman" w:hAnsi="HelveticaNeueLT Com 55 Roman"/>
                          <w:b/>
                          <w:sz w:val="32"/>
                          <w:szCs w:val="32"/>
                          <w:lang w:val="fr-FR"/>
                        </w:rPr>
                        <w:t>Rapport final</w:t>
                      </w:r>
                    </w:p>
                    <w:p w14:paraId="4198261B" w14:textId="77777777" w:rsidR="00736FE4" w:rsidRPr="00024DAE" w:rsidRDefault="00736FE4" w:rsidP="008E0431">
                      <w:pPr>
                        <w:ind w:left="426" w:right="2727"/>
                        <w:jc w:val="center"/>
                        <w:rPr>
                          <w:rFonts w:ascii="Helvetica" w:hAnsi="Helvetica"/>
                          <w:color w:val="FFFFFF"/>
                          <w:sz w:val="32"/>
                          <w:szCs w:val="32"/>
                          <w:lang w:val="fr-FR"/>
                        </w:rPr>
                      </w:pPr>
                      <w:r w:rsidRPr="00024DAE">
                        <w:rPr>
                          <w:rFonts w:ascii="Helvetica" w:hAnsi="Helvetica"/>
                          <w:color w:val="FFFFFF"/>
                          <w:sz w:val="32"/>
                          <w:szCs w:val="32"/>
                          <w:lang w:val="fr-FR"/>
                        </w:rPr>
                        <w:t>Octobre 2019</w:t>
                      </w:r>
                    </w:p>
                    <w:p w14:paraId="04FAAA5C" w14:textId="77777777" w:rsidR="00024DAE" w:rsidRDefault="00024DAE" w:rsidP="008E0431">
                      <w:pPr>
                        <w:ind w:left="426" w:right="2727"/>
                        <w:jc w:val="center"/>
                        <w:rPr>
                          <w:rFonts w:ascii="Helvetica" w:hAnsi="Helvetica"/>
                          <w:i/>
                          <w:color w:val="FFFFFF"/>
                          <w:sz w:val="32"/>
                          <w:szCs w:val="32"/>
                          <w:lang w:val="fr-FR"/>
                        </w:rPr>
                      </w:pPr>
                    </w:p>
                    <w:p w14:paraId="1F664904" w14:textId="77777777" w:rsidR="00024DAE" w:rsidRPr="0020744A" w:rsidRDefault="00024DAE" w:rsidP="008E0431">
                      <w:pPr>
                        <w:ind w:left="426" w:right="2727"/>
                        <w:jc w:val="center"/>
                        <w:rPr>
                          <w:rFonts w:ascii="Helvetica" w:hAnsi="Helvetica"/>
                          <w:i/>
                          <w:color w:val="FFFFFF"/>
                          <w:sz w:val="32"/>
                          <w:szCs w:val="32"/>
                          <w:lang w:val="fr-FR"/>
                        </w:rPr>
                      </w:pPr>
                    </w:p>
                    <w:p w14:paraId="320BDDC5" w14:textId="77777777" w:rsidR="00736FE4" w:rsidRPr="0020744A" w:rsidRDefault="00736FE4" w:rsidP="00C94126">
                      <w:pPr>
                        <w:spacing w:after="0"/>
                        <w:ind w:left="1440" w:firstLine="720"/>
                        <w:rPr>
                          <w:rFonts w:ascii="Helvetica" w:hAnsi="Helvetica" w:cs="Times New Roman"/>
                          <w:i/>
                          <w:color w:val="FFFFFF"/>
                          <w:sz w:val="28"/>
                          <w:szCs w:val="28"/>
                          <w:lang w:val="fr-FR"/>
                        </w:rPr>
                      </w:pPr>
                      <w:r w:rsidRPr="0020744A">
                        <w:rPr>
                          <w:rFonts w:ascii="Helvetica" w:hAnsi="Helvetica" w:cs="Times New Roman"/>
                          <w:i/>
                          <w:color w:val="FFFFFF"/>
                          <w:sz w:val="28"/>
                          <w:szCs w:val="28"/>
                          <w:lang w:val="fr-FR"/>
                        </w:rPr>
                        <w:tab/>
                      </w:r>
                    </w:p>
                    <w:tbl>
                      <w:tblPr>
                        <w:tblStyle w:val="Grilledutableau"/>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9"/>
                        <w:gridCol w:w="2589"/>
                        <w:gridCol w:w="2166"/>
                        <w:gridCol w:w="1985"/>
                      </w:tblGrid>
                      <w:tr w:rsidR="00024DAE" w14:paraId="2D59618F" w14:textId="77777777" w:rsidTr="00024DAE">
                        <w:tc>
                          <w:tcPr>
                            <w:tcW w:w="2419" w:type="dxa"/>
                          </w:tcPr>
                          <w:p w14:paraId="0C4794B4" w14:textId="77777777" w:rsidR="00024DAE" w:rsidRDefault="00024DAE" w:rsidP="00024DAE">
                            <w:pPr>
                              <w:spacing w:after="0"/>
                              <w:jc w:val="center"/>
                              <w:rPr>
                                <w:rFonts w:ascii="Helvetica" w:hAnsi="Helvetica" w:cs="Times New Roman"/>
                                <w:i/>
                                <w:color w:val="FFFFFF"/>
                                <w:sz w:val="28"/>
                                <w:szCs w:val="28"/>
                                <w:lang w:val="fr-FR"/>
                              </w:rPr>
                            </w:pPr>
                            <w:r w:rsidRPr="009112FA">
                              <w:rPr>
                                <w:rFonts w:cs="Times New Roman"/>
                                <w:noProof/>
                                <w:sz w:val="20"/>
                                <w:szCs w:val="20"/>
                                <w:lang w:val="fr-FR" w:eastAsia="fr-FR"/>
                              </w:rPr>
                              <w:drawing>
                                <wp:inline distT="0" distB="0" distL="0" distR="0" wp14:anchorId="6AE5E0D3" wp14:editId="0FEEF5F1">
                                  <wp:extent cx="851535" cy="510921"/>
                                  <wp:effectExtent l="0" t="0" r="12065" b="0"/>
                                  <wp:docPr id="8" name="Picture 55" descr="flag_2col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flag_2colors"/>
                                          <pic:cNvPicPr>
                                            <a:picLocks noChangeAspect="1" noChangeArrowheads="1"/>
                                          </pic:cNvPicPr>
                                        </pic:nvPicPr>
                                        <pic:blipFill>
                                          <a:blip r:embed="rId10">
                                            <a:lum bright="-12000"/>
                                          </a:blip>
                                          <a:srcRect/>
                                          <a:stretch>
                                            <a:fillRect/>
                                          </a:stretch>
                                        </pic:blipFill>
                                        <pic:spPr bwMode="auto">
                                          <a:xfrm>
                                            <a:off x="0" y="0"/>
                                            <a:ext cx="857062" cy="514237"/>
                                          </a:xfrm>
                                          <a:prstGeom prst="rect">
                                            <a:avLst/>
                                          </a:prstGeom>
                                          <a:noFill/>
                                          <a:ln w="9525">
                                            <a:noFill/>
                                            <a:miter lim="800000"/>
                                            <a:headEnd/>
                                            <a:tailEnd/>
                                          </a:ln>
                                        </pic:spPr>
                                      </pic:pic>
                                    </a:graphicData>
                                  </a:graphic>
                                </wp:inline>
                              </w:drawing>
                            </w:r>
                          </w:p>
                        </w:tc>
                        <w:tc>
                          <w:tcPr>
                            <w:tcW w:w="2589" w:type="dxa"/>
                          </w:tcPr>
                          <w:p w14:paraId="31207178" w14:textId="77777777" w:rsidR="00024DAE" w:rsidRDefault="00024DAE" w:rsidP="00C94126">
                            <w:pPr>
                              <w:spacing w:after="0"/>
                              <w:rPr>
                                <w:rFonts w:ascii="Helvetica" w:hAnsi="Helvetica" w:cs="Times New Roman"/>
                                <w:i/>
                                <w:color w:val="FFFFFF"/>
                                <w:sz w:val="28"/>
                                <w:szCs w:val="28"/>
                                <w:lang w:val="fr-FR"/>
                              </w:rPr>
                            </w:pPr>
                          </w:p>
                        </w:tc>
                        <w:tc>
                          <w:tcPr>
                            <w:tcW w:w="2166" w:type="dxa"/>
                          </w:tcPr>
                          <w:p w14:paraId="44ADC549" w14:textId="77777777" w:rsidR="00024DAE" w:rsidRPr="009112FA" w:rsidRDefault="00024DAE" w:rsidP="00024DAE">
                            <w:pPr>
                              <w:spacing w:after="0"/>
                              <w:jc w:val="center"/>
                              <w:rPr>
                                <w:noProof/>
                                <w:sz w:val="20"/>
                                <w:szCs w:val="20"/>
                                <w:lang w:val="fr-FR" w:eastAsia="fr-FR"/>
                              </w:rPr>
                            </w:pPr>
                            <w:r w:rsidRPr="009112FA">
                              <w:rPr>
                                <w:noProof/>
                                <w:sz w:val="20"/>
                                <w:szCs w:val="20"/>
                                <w:lang w:val="fr-FR" w:eastAsia="fr-FR"/>
                              </w:rPr>
                              <w:drawing>
                                <wp:inline distT="0" distB="0" distL="0" distR="0" wp14:anchorId="5D5DD89E" wp14:editId="744C1CD5">
                                  <wp:extent cx="946785" cy="509905"/>
                                  <wp:effectExtent l="0" t="0" r="0" b="0"/>
                                  <wp:docPr id="5" name="Picture 5"/>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968281" cy="521482"/>
                                          </a:xfrm>
                                          <a:prstGeom prst="rect">
                                            <a:avLst/>
                                          </a:prstGeom>
                                        </pic:spPr>
                                      </pic:pic>
                                    </a:graphicData>
                                  </a:graphic>
                                </wp:inline>
                              </w:drawing>
                            </w:r>
                          </w:p>
                        </w:tc>
                        <w:tc>
                          <w:tcPr>
                            <w:tcW w:w="1985" w:type="dxa"/>
                          </w:tcPr>
                          <w:p w14:paraId="5976604D" w14:textId="77777777" w:rsidR="00024DAE" w:rsidRDefault="00024DAE" w:rsidP="00024DAE">
                            <w:pPr>
                              <w:spacing w:after="0"/>
                              <w:jc w:val="center"/>
                              <w:rPr>
                                <w:rFonts w:ascii="Helvetica" w:hAnsi="Helvetica" w:cs="Times New Roman"/>
                                <w:i/>
                                <w:color w:val="FFFFFF"/>
                                <w:sz w:val="28"/>
                                <w:szCs w:val="28"/>
                                <w:lang w:val="fr-FR"/>
                              </w:rPr>
                            </w:pPr>
                            <w:r>
                              <w:rPr>
                                <w:noProof/>
                                <w:sz w:val="20"/>
                                <w:szCs w:val="20"/>
                                <w:lang w:val="fr-FR" w:eastAsia="fr-FR"/>
                              </w:rPr>
                              <w:drawing>
                                <wp:inline distT="0" distB="0" distL="0" distR="0" wp14:anchorId="26FB05C0" wp14:editId="07185FA9">
                                  <wp:extent cx="786320" cy="509270"/>
                                  <wp:effectExtent l="0" t="0" r="1270" b="0"/>
                                  <wp:docPr id="63" name="Imag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LOGO V2 ORANGE WEB JPG.jpg"/>
                                          <pic:cNvPicPr/>
                                        </pic:nvPicPr>
                                        <pic:blipFill>
                                          <a:blip r:embed="rId12">
                                            <a:extLst>
                                              <a:ext uri="{28A0092B-C50C-407E-A947-70E740481C1C}">
                                                <a14:useLocalDpi xmlns:a14="http://schemas.microsoft.com/office/drawing/2010/main" val="0"/>
                                              </a:ext>
                                            </a:extLst>
                                          </a:blip>
                                          <a:stretch>
                                            <a:fillRect/>
                                          </a:stretch>
                                        </pic:blipFill>
                                        <pic:spPr>
                                          <a:xfrm>
                                            <a:off x="0" y="0"/>
                                            <a:ext cx="822377" cy="532623"/>
                                          </a:xfrm>
                                          <a:prstGeom prst="rect">
                                            <a:avLst/>
                                          </a:prstGeom>
                                        </pic:spPr>
                                      </pic:pic>
                                    </a:graphicData>
                                  </a:graphic>
                                </wp:inline>
                              </w:drawing>
                            </w:r>
                          </w:p>
                        </w:tc>
                      </w:tr>
                      <w:tr w:rsidR="00024DAE" w14:paraId="39EB5901" w14:textId="77777777" w:rsidTr="00024DAE">
                        <w:tc>
                          <w:tcPr>
                            <w:tcW w:w="2419" w:type="dxa"/>
                          </w:tcPr>
                          <w:p w14:paraId="590080E4" w14:textId="77777777" w:rsidR="00024DAE" w:rsidRPr="00024DAE" w:rsidRDefault="00024DAE" w:rsidP="00C94126">
                            <w:pPr>
                              <w:spacing w:after="0"/>
                              <w:rPr>
                                <w:rFonts w:ascii="Helvetica" w:hAnsi="Helvetica" w:cs="Times New Roman"/>
                                <w:color w:val="FFFFFF"/>
                                <w:sz w:val="20"/>
                                <w:szCs w:val="20"/>
                                <w:lang w:val="fr-FR"/>
                              </w:rPr>
                            </w:pPr>
                            <w:r w:rsidRPr="009112FA">
                              <w:rPr>
                                <w:rFonts w:ascii="Helvetica" w:hAnsi="Helvetica" w:cs="Times New Roman"/>
                                <w:color w:val="FFFFFF"/>
                                <w:sz w:val="20"/>
                                <w:szCs w:val="20"/>
                                <w:lang w:val="fr-FR"/>
                              </w:rPr>
                              <w:t>Ce projet a été financé</w:t>
                            </w:r>
                            <w:r>
                              <w:rPr>
                                <w:rFonts w:ascii="Helvetica" w:hAnsi="Helvetica" w:cs="Times New Roman"/>
                                <w:color w:val="FFFFFF"/>
                                <w:sz w:val="20"/>
                                <w:szCs w:val="20"/>
                                <w:lang w:val="fr-FR"/>
                              </w:rPr>
                              <w:t xml:space="preserve"> </w:t>
                            </w:r>
                            <w:r w:rsidRPr="009112FA">
                              <w:rPr>
                                <w:rFonts w:ascii="Helvetica" w:hAnsi="Helvetica" w:cs="Times New Roman"/>
                                <w:color w:val="FFFFFF"/>
                                <w:sz w:val="20"/>
                                <w:szCs w:val="20"/>
                                <w:lang w:val="fr-FR"/>
                              </w:rPr>
                              <w:t xml:space="preserve">par l’Union Européenne                                                      </w:t>
                            </w:r>
                          </w:p>
                        </w:tc>
                        <w:tc>
                          <w:tcPr>
                            <w:tcW w:w="2589" w:type="dxa"/>
                          </w:tcPr>
                          <w:p w14:paraId="035D91C9" w14:textId="77777777" w:rsidR="00024DAE" w:rsidRDefault="00024DAE" w:rsidP="00C94126">
                            <w:pPr>
                              <w:spacing w:after="0"/>
                              <w:rPr>
                                <w:rFonts w:ascii="Helvetica" w:hAnsi="Helvetica" w:cs="Times New Roman"/>
                                <w:i/>
                                <w:color w:val="FFFFFF"/>
                                <w:sz w:val="28"/>
                                <w:szCs w:val="28"/>
                                <w:lang w:val="fr-FR"/>
                              </w:rPr>
                            </w:pPr>
                          </w:p>
                        </w:tc>
                        <w:tc>
                          <w:tcPr>
                            <w:tcW w:w="4151" w:type="dxa"/>
                            <w:gridSpan w:val="2"/>
                          </w:tcPr>
                          <w:p w14:paraId="37AE6F29" w14:textId="77777777" w:rsidR="00024DAE" w:rsidRPr="00024DAE" w:rsidRDefault="00024DAE" w:rsidP="00024DAE">
                            <w:pPr>
                              <w:spacing w:after="0"/>
                              <w:jc w:val="center"/>
                              <w:rPr>
                                <w:rFonts w:ascii="Helvetica" w:hAnsi="Helvetica" w:cs="Times New Roman"/>
                                <w:color w:val="FFFFFF"/>
                                <w:sz w:val="20"/>
                                <w:szCs w:val="20"/>
                                <w:lang w:val="fr-FR"/>
                              </w:rPr>
                            </w:pPr>
                            <w:r w:rsidRPr="009112FA">
                              <w:rPr>
                                <w:rFonts w:ascii="Helvetica" w:hAnsi="Helvetica" w:cs="Times New Roman"/>
                                <w:color w:val="FFFFFF"/>
                                <w:sz w:val="20"/>
                                <w:szCs w:val="20"/>
                                <w:lang w:val="fr-FR"/>
                              </w:rPr>
                              <w:t>Ce projet a été mis en œuvre par</w:t>
                            </w:r>
                            <w:r w:rsidRPr="00024DAE">
                              <w:rPr>
                                <w:rFonts w:ascii="Helvetica" w:hAnsi="Helvetica" w:cs="Times New Roman"/>
                                <w:color w:val="FFFFFF"/>
                                <w:sz w:val="20"/>
                                <w:szCs w:val="20"/>
                                <w:lang w:val="fr-FR"/>
                              </w:rPr>
                              <w:t xml:space="preserve"> </w:t>
                            </w:r>
                            <w:r>
                              <w:rPr>
                                <w:rFonts w:ascii="Helvetica" w:hAnsi="Helvetica" w:cs="Times New Roman"/>
                                <w:color w:val="FFFFFF"/>
                                <w:sz w:val="20"/>
                                <w:szCs w:val="20"/>
                                <w:lang w:val="fr-FR"/>
                              </w:rPr>
                              <w:t>CAPA Consortium</w:t>
                            </w:r>
                            <w:r w:rsidRPr="009112FA">
                              <w:rPr>
                                <w:rFonts w:ascii="Helvetica" w:hAnsi="Helvetica" w:cs="Times New Roman"/>
                                <w:color w:val="FFFFFF"/>
                                <w:sz w:val="20"/>
                                <w:szCs w:val="20"/>
                                <w:lang w:val="fr-FR"/>
                              </w:rPr>
                              <w:t xml:space="preserve"> </w:t>
                            </w:r>
                            <w:r>
                              <w:rPr>
                                <w:rFonts w:ascii="Helvetica" w:hAnsi="Helvetica" w:cs="Times New Roman"/>
                                <w:color w:val="FFFFFF"/>
                                <w:sz w:val="20"/>
                                <w:szCs w:val="20"/>
                                <w:lang w:val="fr-FR"/>
                              </w:rPr>
                              <w:t xml:space="preserve">et Expertise </w:t>
                            </w:r>
                            <w:proofErr w:type="spellStart"/>
                            <w:r>
                              <w:rPr>
                                <w:rFonts w:ascii="Helvetica" w:hAnsi="Helvetica" w:cs="Times New Roman"/>
                                <w:color w:val="FFFFFF"/>
                                <w:sz w:val="20"/>
                                <w:szCs w:val="20"/>
                                <w:lang w:val="fr-FR"/>
                              </w:rPr>
                              <w:t>Advisors</w:t>
                            </w:r>
                            <w:proofErr w:type="spellEnd"/>
                          </w:p>
                        </w:tc>
                      </w:tr>
                    </w:tbl>
                    <w:p w14:paraId="14C23E6D" w14:textId="77777777" w:rsidR="00736FE4" w:rsidRPr="0020744A" w:rsidRDefault="00736FE4" w:rsidP="00C94126">
                      <w:pPr>
                        <w:spacing w:after="0"/>
                        <w:ind w:left="1440" w:firstLine="720"/>
                        <w:rPr>
                          <w:rFonts w:ascii="Helvetica" w:hAnsi="Helvetica" w:cs="Times New Roman"/>
                          <w:i/>
                          <w:color w:val="FFFFFF"/>
                          <w:sz w:val="28"/>
                          <w:szCs w:val="28"/>
                          <w:lang w:val="fr-FR"/>
                        </w:rPr>
                      </w:pPr>
                    </w:p>
                    <w:p w14:paraId="7AE1A4E0" w14:textId="77777777" w:rsidR="00736FE4" w:rsidRPr="0020744A" w:rsidRDefault="00736FE4" w:rsidP="00C94126">
                      <w:pPr>
                        <w:spacing w:after="0"/>
                        <w:ind w:left="1440" w:firstLine="720"/>
                        <w:rPr>
                          <w:rFonts w:ascii="Helvetica" w:hAnsi="Helvetica" w:cs="Times New Roman"/>
                          <w:i/>
                          <w:color w:val="FFFFFF"/>
                          <w:sz w:val="28"/>
                          <w:szCs w:val="28"/>
                          <w:lang w:val="fr-FR"/>
                        </w:rPr>
                      </w:pPr>
                      <w:r w:rsidRPr="0020744A">
                        <w:rPr>
                          <w:rFonts w:ascii="Helvetica" w:hAnsi="Helvetica" w:cs="Times New Roman"/>
                          <w:i/>
                          <w:color w:val="FFFFFF"/>
                          <w:sz w:val="28"/>
                          <w:szCs w:val="28"/>
                          <w:lang w:val="fr-FR"/>
                        </w:rPr>
                        <w:tab/>
                      </w:r>
                    </w:p>
                    <w:p w14:paraId="3D7F17F1" w14:textId="77777777" w:rsidR="00736FE4" w:rsidRPr="009112FA" w:rsidRDefault="00736FE4" w:rsidP="00024DAE">
                      <w:pPr>
                        <w:ind w:left="2160" w:hanging="459"/>
                        <w:rPr>
                          <w:rFonts w:ascii="Helvetica" w:hAnsi="Helvetica" w:cs="Times New Roman"/>
                          <w:color w:val="FFFFFF"/>
                          <w:sz w:val="20"/>
                          <w:szCs w:val="20"/>
                          <w:lang w:val="fr-FR"/>
                        </w:rPr>
                      </w:pPr>
                      <w:r w:rsidRPr="009112FA">
                        <w:rPr>
                          <w:noProof/>
                          <w:sz w:val="20"/>
                          <w:szCs w:val="20"/>
                          <w:lang w:val="fr-FR" w:eastAsia="fr-BE"/>
                        </w:rPr>
                        <w:t xml:space="preserve">                                                                                       </w:t>
                      </w:r>
                      <w:r w:rsidRPr="009112FA">
                        <w:rPr>
                          <w:noProof/>
                          <w:sz w:val="20"/>
                          <w:szCs w:val="20"/>
                          <w:lang w:val="fr-FR" w:eastAsia="de-DE"/>
                        </w:rPr>
                        <w:t xml:space="preserve">           </w:t>
                      </w:r>
                      <w:r w:rsidRPr="009112FA">
                        <w:rPr>
                          <w:noProof/>
                          <w:sz w:val="20"/>
                          <w:szCs w:val="20"/>
                          <w:lang w:val="fr-FR" w:eastAsia="fr-BE"/>
                        </w:rPr>
                        <w:t xml:space="preserve"> </w:t>
                      </w:r>
                      <w:r w:rsidRPr="009112FA">
                        <w:rPr>
                          <w:sz w:val="20"/>
                          <w:szCs w:val="20"/>
                        </w:rPr>
                        <w:t xml:space="preserve">    </w:t>
                      </w:r>
                    </w:p>
                    <w:p w14:paraId="4FC6480D" w14:textId="77777777" w:rsidR="00736FE4" w:rsidRPr="0020744A" w:rsidRDefault="00736FE4" w:rsidP="00C94126">
                      <w:pPr>
                        <w:spacing w:line="360" w:lineRule="auto"/>
                        <w:jc w:val="center"/>
                        <w:rPr>
                          <w:rFonts w:ascii="Helvetica" w:hAnsi="Helvetica" w:cs="Times New Roman"/>
                          <w:color w:val="FFFFFF"/>
                          <w:lang w:val="fr-FR"/>
                        </w:rPr>
                      </w:pPr>
                    </w:p>
                    <w:p w14:paraId="04C6E9DA" w14:textId="77777777" w:rsidR="00736FE4" w:rsidRPr="00E0487B" w:rsidRDefault="00736FE4" w:rsidP="00C94126">
                      <w:pPr>
                        <w:spacing w:line="360" w:lineRule="auto"/>
                        <w:jc w:val="center"/>
                        <w:rPr>
                          <w:rFonts w:ascii="Helvetica" w:hAnsi="Helvetica" w:cs="Times New Roman"/>
                          <w:color w:val="FFFFFF"/>
                        </w:rPr>
                      </w:pPr>
                    </w:p>
                    <w:p w14:paraId="5E05FC7A" w14:textId="77777777" w:rsidR="00736FE4" w:rsidRPr="000C145F" w:rsidRDefault="00736FE4" w:rsidP="00C94126">
                      <w:pPr>
                        <w:spacing w:line="360" w:lineRule="auto"/>
                        <w:jc w:val="center"/>
                        <w:rPr>
                          <w:rFonts w:ascii="Helvetica" w:hAnsi="Helvetica" w:cs="Times New Roman"/>
                          <w:color w:val="FFFFFF"/>
                        </w:rPr>
                      </w:pPr>
                    </w:p>
                    <w:p w14:paraId="26B3BB93" w14:textId="77777777" w:rsidR="00736FE4" w:rsidRPr="000C145F" w:rsidRDefault="00736FE4" w:rsidP="00C94126">
                      <w:pPr>
                        <w:spacing w:line="360" w:lineRule="auto"/>
                        <w:jc w:val="center"/>
                        <w:rPr>
                          <w:rFonts w:ascii="Helvetica" w:hAnsi="Helvetica" w:cs="Times New Roman"/>
                          <w:color w:val="FFFFFF"/>
                        </w:rPr>
                      </w:pPr>
                    </w:p>
                    <w:p w14:paraId="582FB56A" w14:textId="77777777" w:rsidR="00736FE4" w:rsidRPr="000C145F" w:rsidRDefault="00736FE4" w:rsidP="00C94126">
                      <w:pPr>
                        <w:spacing w:line="360" w:lineRule="auto"/>
                        <w:jc w:val="center"/>
                        <w:rPr>
                          <w:rFonts w:ascii="Helvetica" w:hAnsi="Helvetica" w:cs="Times New Roman"/>
                          <w:color w:val="FFFFFF"/>
                        </w:rPr>
                      </w:pPr>
                    </w:p>
                    <w:p w14:paraId="394F9A7F" w14:textId="77777777" w:rsidR="00736FE4" w:rsidRPr="000C145F" w:rsidRDefault="00736FE4" w:rsidP="00C94126">
                      <w:pPr>
                        <w:spacing w:line="360" w:lineRule="auto"/>
                        <w:jc w:val="center"/>
                        <w:rPr>
                          <w:rFonts w:ascii="Helvetica" w:hAnsi="Helvetica" w:cs="Times New Roman"/>
                          <w:color w:val="FFFFFF"/>
                        </w:rPr>
                      </w:pPr>
                    </w:p>
                    <w:p w14:paraId="3DE6BEB2" w14:textId="77777777" w:rsidR="00736FE4" w:rsidRPr="000C145F" w:rsidRDefault="00736FE4" w:rsidP="00C94126">
                      <w:pPr>
                        <w:spacing w:line="360" w:lineRule="auto"/>
                        <w:jc w:val="center"/>
                        <w:rPr>
                          <w:rFonts w:ascii="Helvetica" w:hAnsi="Helvetica" w:cs="Times New Roman"/>
                          <w:color w:val="FFFFFF"/>
                        </w:rPr>
                      </w:pPr>
                    </w:p>
                    <w:p w14:paraId="582E9438" w14:textId="77777777" w:rsidR="00736FE4" w:rsidRPr="000C145F" w:rsidRDefault="00736FE4" w:rsidP="00C94126">
                      <w:pPr>
                        <w:spacing w:line="360" w:lineRule="auto"/>
                        <w:jc w:val="center"/>
                        <w:rPr>
                          <w:rFonts w:ascii="Helvetica" w:hAnsi="Helvetica" w:cs="Times New Roman"/>
                          <w:color w:val="FFFFFF"/>
                        </w:rPr>
                      </w:pPr>
                    </w:p>
                    <w:p w14:paraId="0DF91538" w14:textId="77777777" w:rsidR="00736FE4" w:rsidRPr="000C145F" w:rsidRDefault="00736FE4" w:rsidP="00C94126">
                      <w:pPr>
                        <w:spacing w:line="360" w:lineRule="auto"/>
                        <w:jc w:val="center"/>
                        <w:rPr>
                          <w:rFonts w:ascii="Helvetica" w:hAnsi="Helvetica" w:cs="Times New Roman"/>
                          <w:color w:val="FFFFFF"/>
                        </w:rPr>
                      </w:pPr>
                    </w:p>
                    <w:p w14:paraId="27AFB5E6" w14:textId="77777777" w:rsidR="00736FE4" w:rsidRPr="000C145F" w:rsidRDefault="00736FE4" w:rsidP="00C94126">
                      <w:pPr>
                        <w:spacing w:line="360" w:lineRule="auto"/>
                        <w:ind w:left="720" w:firstLine="720"/>
                        <w:rPr>
                          <w:rFonts w:ascii="Helvetica" w:hAnsi="Helvetica"/>
                          <w:color w:val="FFFFFF"/>
                        </w:rPr>
                      </w:pPr>
                    </w:p>
                    <w:p w14:paraId="1AE20702" w14:textId="77777777" w:rsidR="00736FE4" w:rsidRPr="00580658" w:rsidRDefault="00736FE4" w:rsidP="00C94126">
                      <w:pPr>
                        <w:jc w:val="center"/>
                      </w:pPr>
                    </w:p>
                  </w:txbxContent>
                </v:textbox>
              </v:rect>
            </w:pict>
          </mc:Fallback>
        </mc:AlternateContent>
      </w:r>
      <w:r w:rsidR="00B462B0" w:rsidRPr="007D1CED">
        <w:rPr>
          <w:rFonts w:cs="Times New Roman"/>
          <w:b/>
        </w:rPr>
        <w:br w:type="page"/>
      </w:r>
      <w:r w:rsidR="00B462B0" w:rsidRPr="007D1CED">
        <w:rPr>
          <w:rFonts w:cs="Times New Roman"/>
          <w:b/>
        </w:rPr>
        <w:lastRenderedPageBreak/>
        <w:tab/>
      </w:r>
      <w:r w:rsidR="00B462B0" w:rsidRPr="007D1CED">
        <w:rPr>
          <w:rFonts w:cs="Times New Roman"/>
          <w:b/>
        </w:rPr>
        <w:tab/>
      </w:r>
      <w:r w:rsidR="00B462B0" w:rsidRPr="007D1CED">
        <w:rPr>
          <w:rFonts w:cs="Times New Roman"/>
          <w:b/>
        </w:rPr>
        <w:tab/>
      </w:r>
      <w:r w:rsidR="00B462B0" w:rsidRPr="007D1CED">
        <w:rPr>
          <w:rFonts w:cs="Times New Roman"/>
          <w:b/>
        </w:rPr>
        <w:tab/>
      </w:r>
      <w:r w:rsidR="00B462B0" w:rsidRPr="007D1CED">
        <w:rPr>
          <w:rFonts w:cs="Times New Roman"/>
          <w:b/>
        </w:rPr>
        <w:tab/>
      </w:r>
      <w:r w:rsidR="00B462B0" w:rsidRPr="007D1CED">
        <w:rPr>
          <w:rFonts w:cs="Times New Roman"/>
          <w:b/>
        </w:rPr>
        <w:tab/>
      </w:r>
    </w:p>
    <w:tbl>
      <w:tblPr>
        <w:tblW w:w="9539" w:type="dxa"/>
        <w:tblInd w:w="-142" w:type="dxa"/>
        <w:tblLayout w:type="fixed"/>
        <w:tblCellMar>
          <w:left w:w="0" w:type="dxa"/>
          <w:right w:w="0" w:type="dxa"/>
        </w:tblCellMar>
        <w:tblLook w:val="0000" w:firstRow="0" w:lastRow="0" w:firstColumn="0" w:lastColumn="0" w:noHBand="0" w:noVBand="0"/>
      </w:tblPr>
      <w:tblGrid>
        <w:gridCol w:w="9437"/>
        <w:gridCol w:w="42"/>
        <w:gridCol w:w="40"/>
        <w:gridCol w:w="20"/>
      </w:tblGrid>
      <w:tr w:rsidR="005550B7" w:rsidRPr="00FB3590" w14:paraId="5D03C884" w14:textId="77777777" w:rsidTr="00983A2A">
        <w:trPr>
          <w:gridAfter w:val="1"/>
          <w:wAfter w:w="20" w:type="dxa"/>
          <w:trHeight w:val="1270"/>
        </w:trPr>
        <w:tc>
          <w:tcPr>
            <w:tcW w:w="9437" w:type="dxa"/>
          </w:tcPr>
          <w:p w14:paraId="7F522297" w14:textId="77777777" w:rsidR="005550B7" w:rsidRPr="007554D8" w:rsidRDefault="005550B7" w:rsidP="00983A2A">
            <w:pPr>
              <w:jc w:val="center"/>
              <w:rPr>
                <w:highlight w:val="cyan"/>
                <w:lang w:val="fr-FR"/>
              </w:rPr>
            </w:pPr>
          </w:p>
          <w:p w14:paraId="0D060926" w14:textId="77777777" w:rsidR="005550B7" w:rsidRPr="007554D8" w:rsidRDefault="005550B7" w:rsidP="00983A2A">
            <w:pPr>
              <w:jc w:val="center"/>
              <w:rPr>
                <w:highlight w:val="cyan"/>
                <w:lang w:val="fr-FR"/>
              </w:rPr>
            </w:pPr>
          </w:p>
          <w:p w14:paraId="3B99A7E2" w14:textId="77777777" w:rsidR="005550B7" w:rsidRPr="007554D8" w:rsidRDefault="005550B7" w:rsidP="00983A2A">
            <w:pPr>
              <w:jc w:val="center"/>
              <w:rPr>
                <w:highlight w:val="cyan"/>
                <w:lang w:val="fr-FR"/>
              </w:rPr>
            </w:pPr>
          </w:p>
        </w:tc>
        <w:tc>
          <w:tcPr>
            <w:tcW w:w="42" w:type="dxa"/>
          </w:tcPr>
          <w:p w14:paraId="10CA61F8" w14:textId="77777777" w:rsidR="005550B7" w:rsidRPr="007554D8" w:rsidRDefault="005550B7" w:rsidP="00983A2A">
            <w:pPr>
              <w:snapToGrid w:val="0"/>
              <w:rPr>
                <w:lang w:val="fr-FR"/>
              </w:rPr>
            </w:pPr>
          </w:p>
        </w:tc>
        <w:tc>
          <w:tcPr>
            <w:tcW w:w="40" w:type="dxa"/>
          </w:tcPr>
          <w:p w14:paraId="3F1D2AE7" w14:textId="77777777" w:rsidR="005550B7" w:rsidRPr="007554D8" w:rsidRDefault="005550B7" w:rsidP="00983A2A">
            <w:pPr>
              <w:snapToGrid w:val="0"/>
              <w:rPr>
                <w:lang w:val="fr-FR"/>
              </w:rPr>
            </w:pPr>
          </w:p>
        </w:tc>
      </w:tr>
      <w:tr w:rsidR="005550B7" w:rsidRPr="00983A2A" w14:paraId="64E5E8C7" w14:textId="77777777" w:rsidTr="00983A2A">
        <w:trPr>
          <w:gridAfter w:val="1"/>
          <w:wAfter w:w="20" w:type="dxa"/>
        </w:trPr>
        <w:tc>
          <w:tcPr>
            <w:tcW w:w="9437" w:type="dxa"/>
          </w:tcPr>
          <w:p w14:paraId="75305FAB" w14:textId="77777777" w:rsidR="005550B7" w:rsidRPr="001C40A7" w:rsidRDefault="005550B7" w:rsidP="00983A2A">
            <w:pPr>
              <w:spacing w:before="120" w:after="120"/>
              <w:jc w:val="center"/>
              <w:rPr>
                <w:rFonts w:ascii="Arial" w:hAnsi="Arial" w:cs="Arial"/>
                <w:b/>
                <w:bCs/>
                <w:lang w:val="en"/>
              </w:rPr>
            </w:pPr>
          </w:p>
          <w:p w14:paraId="5BD31CA7" w14:textId="77777777" w:rsidR="005550B7" w:rsidRPr="005550B7" w:rsidRDefault="005550B7" w:rsidP="00983A2A">
            <w:pPr>
              <w:spacing w:before="120" w:after="120"/>
              <w:jc w:val="center"/>
              <w:rPr>
                <w:rFonts w:ascii="Arial" w:hAnsi="Arial" w:cs="Arial"/>
                <w:b/>
                <w:bCs/>
                <w:lang w:val="en"/>
              </w:rPr>
            </w:pPr>
            <w:r w:rsidRPr="005550B7">
              <w:rPr>
                <w:rFonts w:ascii="Arial" w:hAnsi="Arial" w:cs="Arial"/>
                <w:b/>
                <w:bCs/>
                <w:lang w:val="en"/>
              </w:rPr>
              <w:t>CONTRAT-CADRE SIEA 2018 – LOT N°1 : SUSTAINABLE MANAGEMENT OF NATURAL RESOURCES AND RESILIENCE</w:t>
            </w:r>
          </w:p>
          <w:p w14:paraId="4CFF247C" w14:textId="77777777" w:rsidR="005550B7" w:rsidRPr="00983A2A" w:rsidRDefault="005550B7" w:rsidP="00983A2A">
            <w:pPr>
              <w:spacing w:before="120" w:after="120"/>
              <w:jc w:val="center"/>
              <w:rPr>
                <w:rFonts w:ascii="Arial" w:hAnsi="Arial" w:cs="Arial"/>
                <w:b/>
                <w:bCs/>
                <w:lang w:val="pt-PT"/>
              </w:rPr>
            </w:pPr>
            <w:proofErr w:type="spellStart"/>
            <w:r w:rsidRPr="00983A2A">
              <w:rPr>
                <w:rFonts w:ascii="Arial" w:hAnsi="Arial" w:cs="Arial"/>
                <w:b/>
                <w:bCs/>
                <w:lang w:val="pt-PT"/>
              </w:rPr>
              <w:t>EuropeAid</w:t>
            </w:r>
            <w:proofErr w:type="spellEnd"/>
            <w:r w:rsidRPr="00983A2A">
              <w:rPr>
                <w:rFonts w:ascii="Arial" w:hAnsi="Arial" w:cs="Arial"/>
                <w:b/>
                <w:bCs/>
                <w:lang w:val="pt-PT"/>
              </w:rPr>
              <w:t>/138778/DH/SER/</w:t>
            </w:r>
            <w:proofErr w:type="spellStart"/>
            <w:r w:rsidRPr="00983A2A">
              <w:rPr>
                <w:rFonts w:ascii="Arial" w:hAnsi="Arial" w:cs="Arial"/>
                <w:b/>
                <w:bCs/>
                <w:lang w:val="pt-PT"/>
              </w:rPr>
              <w:t>multi</w:t>
            </w:r>
            <w:proofErr w:type="spellEnd"/>
          </w:p>
          <w:p w14:paraId="73277F83" w14:textId="77777777" w:rsidR="005550B7" w:rsidRPr="00983A2A" w:rsidRDefault="005550B7" w:rsidP="00983A2A">
            <w:pPr>
              <w:spacing w:before="120" w:after="120"/>
              <w:jc w:val="center"/>
              <w:rPr>
                <w:rFonts w:ascii="Arial" w:hAnsi="Arial" w:cs="Arial"/>
                <w:lang w:val="pt-PT"/>
              </w:rPr>
            </w:pPr>
            <w:proofErr w:type="spellStart"/>
            <w:r w:rsidRPr="00983A2A">
              <w:rPr>
                <w:rFonts w:ascii="Arial" w:hAnsi="Arial" w:cs="Arial"/>
                <w:b/>
                <w:bCs/>
                <w:lang w:val="pt-PT"/>
              </w:rPr>
              <w:t>Requête</w:t>
            </w:r>
            <w:proofErr w:type="spellEnd"/>
            <w:r w:rsidRPr="00983A2A">
              <w:rPr>
                <w:rFonts w:ascii="Arial" w:hAnsi="Arial" w:cs="Arial"/>
                <w:b/>
                <w:bCs/>
                <w:lang w:val="pt-PT"/>
              </w:rPr>
              <w:t xml:space="preserve"> n°2018/398668-1</w:t>
            </w:r>
          </w:p>
        </w:tc>
        <w:tc>
          <w:tcPr>
            <w:tcW w:w="42" w:type="dxa"/>
          </w:tcPr>
          <w:p w14:paraId="4D53B5F5" w14:textId="77777777" w:rsidR="005550B7" w:rsidRPr="00983A2A" w:rsidRDefault="005550B7" w:rsidP="00983A2A">
            <w:pPr>
              <w:snapToGrid w:val="0"/>
              <w:rPr>
                <w:lang w:val="pt-PT"/>
              </w:rPr>
            </w:pPr>
          </w:p>
        </w:tc>
        <w:tc>
          <w:tcPr>
            <w:tcW w:w="40" w:type="dxa"/>
          </w:tcPr>
          <w:p w14:paraId="1F784B1A" w14:textId="77777777" w:rsidR="005550B7" w:rsidRPr="00983A2A" w:rsidRDefault="005550B7" w:rsidP="00983A2A">
            <w:pPr>
              <w:snapToGrid w:val="0"/>
              <w:rPr>
                <w:lang w:val="pt-PT"/>
              </w:rPr>
            </w:pPr>
          </w:p>
        </w:tc>
      </w:tr>
      <w:tr w:rsidR="005550B7" w:rsidRPr="00CC794A" w14:paraId="76F3E7C9" w14:textId="77777777" w:rsidTr="00983A2A">
        <w:trPr>
          <w:gridAfter w:val="1"/>
          <w:wAfter w:w="20" w:type="dxa"/>
        </w:trPr>
        <w:tc>
          <w:tcPr>
            <w:tcW w:w="9437" w:type="dxa"/>
          </w:tcPr>
          <w:p w14:paraId="63200D4E" w14:textId="77777777" w:rsidR="005550B7" w:rsidRPr="00983A2A" w:rsidRDefault="005550B7" w:rsidP="00983A2A">
            <w:pPr>
              <w:jc w:val="center"/>
              <w:rPr>
                <w:rFonts w:ascii="Arial" w:hAnsi="Arial" w:cs="Arial"/>
                <w:b/>
                <w:bCs/>
                <w:lang w:val="pt-PT"/>
              </w:rPr>
            </w:pPr>
          </w:p>
          <w:p w14:paraId="5FAB6291" w14:textId="77777777" w:rsidR="005550B7" w:rsidRPr="005550B7" w:rsidRDefault="005550B7" w:rsidP="00983A2A">
            <w:pPr>
              <w:jc w:val="center"/>
              <w:rPr>
                <w:rFonts w:ascii="Arial" w:hAnsi="Arial" w:cs="Arial"/>
                <w:b/>
                <w:bCs/>
                <w:lang w:val="fr-FR"/>
              </w:rPr>
            </w:pPr>
            <w:r w:rsidRPr="005550B7">
              <w:rPr>
                <w:rFonts w:ascii="Arial" w:hAnsi="Arial" w:cs="Arial"/>
                <w:b/>
                <w:bCs/>
                <w:lang w:val="fr-FR"/>
              </w:rPr>
              <w:t xml:space="preserve">Profil Environnemental de Pays - Mali </w:t>
            </w:r>
          </w:p>
          <w:p w14:paraId="4CF150D5" w14:textId="77777777" w:rsidR="005550B7" w:rsidRPr="005550B7" w:rsidRDefault="005550B7" w:rsidP="00983A2A">
            <w:pPr>
              <w:jc w:val="center"/>
              <w:rPr>
                <w:rFonts w:ascii="Arial" w:hAnsi="Arial" w:cs="Arial"/>
                <w:b/>
                <w:bCs/>
                <w:lang w:val="fr-FR"/>
              </w:rPr>
            </w:pPr>
          </w:p>
          <w:p w14:paraId="60B6D464" w14:textId="77777777" w:rsidR="005550B7" w:rsidRPr="005550B7" w:rsidRDefault="005550B7" w:rsidP="00983A2A">
            <w:pPr>
              <w:jc w:val="center"/>
              <w:rPr>
                <w:rFonts w:ascii="Arial" w:hAnsi="Arial" w:cs="Arial"/>
                <w:b/>
                <w:bCs/>
                <w:lang w:val="fr-FR"/>
              </w:rPr>
            </w:pPr>
          </w:p>
          <w:p w14:paraId="60FEF870" w14:textId="77777777" w:rsidR="005550B7" w:rsidRPr="008E0431" w:rsidRDefault="001C40A7" w:rsidP="00983A2A">
            <w:pPr>
              <w:jc w:val="center"/>
              <w:rPr>
                <w:rFonts w:ascii="Arial" w:hAnsi="Arial" w:cs="Arial"/>
                <w:b/>
                <w:bCs/>
                <w:highlight w:val="yellow"/>
                <w:lang w:val="fr-FR"/>
              </w:rPr>
            </w:pPr>
            <w:r>
              <w:rPr>
                <w:rFonts w:ascii="Arial" w:hAnsi="Arial" w:cs="Arial"/>
                <w:b/>
                <w:bCs/>
                <w:lang w:val="fr-FR"/>
              </w:rPr>
              <w:t>R</w:t>
            </w:r>
            <w:r w:rsidR="005550B7" w:rsidRPr="005550B7">
              <w:rPr>
                <w:rFonts w:ascii="Arial" w:hAnsi="Arial" w:cs="Arial"/>
                <w:b/>
                <w:bCs/>
                <w:lang w:val="fr-FR"/>
              </w:rPr>
              <w:t xml:space="preserve">apport </w:t>
            </w:r>
            <w:r w:rsidR="003437B4">
              <w:rPr>
                <w:rFonts w:ascii="Arial" w:hAnsi="Arial" w:cs="Arial"/>
                <w:b/>
                <w:bCs/>
                <w:lang w:val="fr-FR"/>
              </w:rPr>
              <w:t>final</w:t>
            </w:r>
          </w:p>
          <w:p w14:paraId="308DC10C" w14:textId="77777777" w:rsidR="005550B7" w:rsidRPr="008E0431" w:rsidRDefault="005550B7" w:rsidP="00983A2A">
            <w:pPr>
              <w:jc w:val="center"/>
              <w:rPr>
                <w:rFonts w:ascii="Arial" w:hAnsi="Arial" w:cs="Arial"/>
                <w:b/>
                <w:bCs/>
                <w:highlight w:val="yellow"/>
                <w:lang w:val="fr-FR"/>
              </w:rPr>
            </w:pPr>
          </w:p>
          <w:p w14:paraId="4933B377" w14:textId="77777777" w:rsidR="005550B7" w:rsidRPr="005550B7" w:rsidRDefault="006D3ED2" w:rsidP="00983A2A">
            <w:pPr>
              <w:jc w:val="center"/>
              <w:rPr>
                <w:rFonts w:ascii="Arial" w:hAnsi="Arial" w:cs="Arial"/>
                <w:b/>
                <w:bCs/>
                <w:lang w:val="fr-FR"/>
              </w:rPr>
            </w:pPr>
            <w:r>
              <w:rPr>
                <w:rFonts w:ascii="Arial" w:hAnsi="Arial" w:cs="Arial"/>
                <w:b/>
                <w:bCs/>
                <w:lang w:val="fr-FR"/>
              </w:rPr>
              <w:t>Octobre</w:t>
            </w:r>
            <w:r w:rsidR="003D0A38" w:rsidRPr="003437B4">
              <w:rPr>
                <w:rFonts w:ascii="Arial" w:hAnsi="Arial" w:cs="Arial"/>
                <w:b/>
                <w:bCs/>
                <w:lang w:val="fr-FR"/>
              </w:rPr>
              <w:t xml:space="preserve"> </w:t>
            </w:r>
            <w:r w:rsidR="008E0431" w:rsidRPr="003437B4">
              <w:rPr>
                <w:rFonts w:ascii="Arial" w:hAnsi="Arial" w:cs="Arial"/>
                <w:b/>
                <w:bCs/>
                <w:lang w:val="fr-FR"/>
              </w:rPr>
              <w:t>2019</w:t>
            </w:r>
          </w:p>
          <w:p w14:paraId="5F78A85B" w14:textId="77777777" w:rsidR="005550B7" w:rsidRPr="005550B7" w:rsidRDefault="005550B7" w:rsidP="00983A2A">
            <w:pPr>
              <w:jc w:val="center"/>
              <w:rPr>
                <w:rFonts w:ascii="Arial" w:hAnsi="Arial" w:cs="Arial"/>
                <w:b/>
                <w:bCs/>
                <w:lang w:val="fr-FR"/>
              </w:rPr>
            </w:pPr>
          </w:p>
          <w:p w14:paraId="32DF99E1" w14:textId="77777777" w:rsidR="005550B7" w:rsidRPr="005550B7" w:rsidRDefault="005550B7" w:rsidP="00983A2A">
            <w:pPr>
              <w:jc w:val="center"/>
              <w:rPr>
                <w:rFonts w:ascii="Arial" w:hAnsi="Arial" w:cs="Arial"/>
                <w:b/>
                <w:bCs/>
                <w:lang w:val="fr-FR"/>
              </w:rPr>
            </w:pPr>
          </w:p>
          <w:p w14:paraId="471F1904" w14:textId="77777777" w:rsidR="005550B7" w:rsidRPr="005550B7" w:rsidRDefault="005550B7" w:rsidP="00983A2A">
            <w:pPr>
              <w:jc w:val="center"/>
              <w:rPr>
                <w:rFonts w:ascii="Arial" w:hAnsi="Arial" w:cs="Arial"/>
                <w:b/>
                <w:bCs/>
                <w:lang w:val="fr-FR"/>
              </w:rPr>
            </w:pPr>
          </w:p>
        </w:tc>
        <w:tc>
          <w:tcPr>
            <w:tcW w:w="42" w:type="dxa"/>
          </w:tcPr>
          <w:p w14:paraId="0F0F84D9" w14:textId="77777777" w:rsidR="005550B7" w:rsidRPr="00DB583B" w:rsidRDefault="005550B7" w:rsidP="00983A2A">
            <w:pPr>
              <w:snapToGrid w:val="0"/>
              <w:rPr>
                <w:lang w:val="fr-FR"/>
              </w:rPr>
            </w:pPr>
          </w:p>
        </w:tc>
        <w:tc>
          <w:tcPr>
            <w:tcW w:w="40" w:type="dxa"/>
          </w:tcPr>
          <w:p w14:paraId="61683CDD" w14:textId="77777777" w:rsidR="005550B7" w:rsidRPr="00DB583B" w:rsidRDefault="005550B7" w:rsidP="00983A2A">
            <w:pPr>
              <w:snapToGrid w:val="0"/>
              <w:rPr>
                <w:lang w:val="fr-FR"/>
              </w:rPr>
            </w:pPr>
          </w:p>
        </w:tc>
      </w:tr>
      <w:tr w:rsidR="005550B7" w:rsidRPr="00CC794A" w14:paraId="2767313E" w14:textId="77777777" w:rsidTr="00983A2A">
        <w:trPr>
          <w:gridAfter w:val="1"/>
          <w:wAfter w:w="20" w:type="dxa"/>
        </w:trPr>
        <w:tc>
          <w:tcPr>
            <w:tcW w:w="9437" w:type="dxa"/>
            <w:tcBorders>
              <w:bottom w:val="single" w:sz="4" w:space="0" w:color="000000"/>
            </w:tcBorders>
          </w:tcPr>
          <w:p w14:paraId="061013BE" w14:textId="77777777" w:rsidR="005550B7" w:rsidRPr="00DB583B" w:rsidRDefault="005550B7" w:rsidP="00983A2A">
            <w:pPr>
              <w:snapToGrid w:val="0"/>
              <w:jc w:val="right"/>
              <w:rPr>
                <w:lang w:val="fr-FR"/>
              </w:rPr>
            </w:pPr>
          </w:p>
          <w:p w14:paraId="31D20E1B" w14:textId="77777777" w:rsidR="005550B7" w:rsidRPr="00DB583B" w:rsidRDefault="005550B7" w:rsidP="00983A2A">
            <w:pPr>
              <w:jc w:val="right"/>
              <w:rPr>
                <w:lang w:val="fr-FR"/>
              </w:rPr>
            </w:pPr>
          </w:p>
          <w:p w14:paraId="6273F07B" w14:textId="77777777" w:rsidR="005550B7" w:rsidRPr="00DB583B" w:rsidRDefault="005550B7" w:rsidP="00983A2A">
            <w:pPr>
              <w:jc w:val="right"/>
              <w:rPr>
                <w:lang w:val="fr-FR"/>
              </w:rPr>
            </w:pPr>
          </w:p>
          <w:p w14:paraId="14DD9440" w14:textId="77777777" w:rsidR="005550B7" w:rsidRPr="00DB583B" w:rsidRDefault="005550B7" w:rsidP="00983A2A">
            <w:pPr>
              <w:jc w:val="right"/>
              <w:rPr>
                <w:lang w:val="fr-FR"/>
              </w:rPr>
            </w:pPr>
          </w:p>
        </w:tc>
        <w:tc>
          <w:tcPr>
            <w:tcW w:w="42" w:type="dxa"/>
          </w:tcPr>
          <w:p w14:paraId="138D0E81" w14:textId="77777777" w:rsidR="005550B7" w:rsidRPr="00DB583B" w:rsidRDefault="005550B7" w:rsidP="00983A2A">
            <w:pPr>
              <w:snapToGrid w:val="0"/>
              <w:rPr>
                <w:b/>
                <w:bCs/>
                <w:lang w:val="fr-FR"/>
              </w:rPr>
            </w:pPr>
          </w:p>
        </w:tc>
        <w:tc>
          <w:tcPr>
            <w:tcW w:w="40" w:type="dxa"/>
          </w:tcPr>
          <w:p w14:paraId="257227A2" w14:textId="77777777" w:rsidR="005550B7" w:rsidRPr="00DB583B" w:rsidRDefault="005550B7" w:rsidP="00983A2A">
            <w:pPr>
              <w:snapToGrid w:val="0"/>
              <w:rPr>
                <w:b/>
                <w:bCs/>
                <w:lang w:val="fr-FR"/>
              </w:rPr>
            </w:pPr>
          </w:p>
        </w:tc>
      </w:tr>
      <w:tr w:rsidR="005550B7" w:rsidRPr="00CC794A" w14:paraId="19C705C0" w14:textId="77777777" w:rsidTr="00983A2A">
        <w:tblPrEx>
          <w:tblCellMar>
            <w:left w:w="108" w:type="dxa"/>
            <w:right w:w="108" w:type="dxa"/>
          </w:tblCellMar>
        </w:tblPrEx>
        <w:tc>
          <w:tcPr>
            <w:tcW w:w="9539" w:type="dxa"/>
            <w:gridSpan w:val="4"/>
            <w:tcBorders>
              <w:top w:val="single" w:sz="4" w:space="0" w:color="000000"/>
              <w:left w:val="single" w:sz="4" w:space="0" w:color="000000"/>
              <w:bottom w:val="single" w:sz="4" w:space="0" w:color="000000"/>
              <w:right w:val="single" w:sz="4" w:space="0" w:color="000000"/>
            </w:tcBorders>
          </w:tcPr>
          <w:p w14:paraId="3CD8E4A0" w14:textId="77777777" w:rsidR="005550B7" w:rsidRPr="007554D8" w:rsidRDefault="005550B7" w:rsidP="00983A2A">
            <w:pPr>
              <w:snapToGrid w:val="0"/>
              <w:jc w:val="right"/>
              <w:rPr>
                <w:b/>
                <w:bCs/>
                <w:lang w:val="fr-FR"/>
              </w:rPr>
            </w:pPr>
          </w:p>
          <w:p w14:paraId="67C7A471" w14:textId="77777777" w:rsidR="005550B7" w:rsidRPr="005550B7" w:rsidRDefault="005550B7" w:rsidP="005550B7">
            <w:pPr>
              <w:jc w:val="center"/>
              <w:rPr>
                <w:rFonts w:ascii="Arial" w:hAnsi="Arial" w:cs="Arial"/>
                <w:b/>
                <w:bCs/>
                <w:lang w:val="fr-FR"/>
              </w:rPr>
            </w:pPr>
            <w:r w:rsidRPr="005550B7">
              <w:rPr>
                <w:rFonts w:ascii="Arial" w:hAnsi="Arial" w:cs="Arial"/>
                <w:b/>
                <w:bCs/>
                <w:lang w:val="fr-FR"/>
              </w:rPr>
              <w:t>AVERTISSEMENT</w:t>
            </w:r>
          </w:p>
          <w:p w14:paraId="70FC667A" w14:textId="77777777" w:rsidR="005550B7" w:rsidRPr="005550B7" w:rsidRDefault="005550B7" w:rsidP="005550B7">
            <w:pPr>
              <w:jc w:val="center"/>
              <w:rPr>
                <w:rFonts w:ascii="Arial" w:hAnsi="Arial" w:cs="Arial"/>
                <w:lang w:val="fr-FR"/>
              </w:rPr>
            </w:pPr>
          </w:p>
          <w:p w14:paraId="1DF457F3" w14:textId="77777777" w:rsidR="005550B7" w:rsidRPr="00024DAE" w:rsidRDefault="005550B7" w:rsidP="00024DAE">
            <w:pPr>
              <w:ind w:left="172" w:firstLine="4"/>
              <w:rPr>
                <w:rFonts w:ascii="Arial" w:hAnsi="Arial" w:cs="Arial"/>
                <w:i/>
                <w:iCs/>
                <w:sz w:val="20"/>
                <w:szCs w:val="20"/>
                <w:lang w:val="fr-FR"/>
              </w:rPr>
            </w:pPr>
            <w:r w:rsidRPr="00024DAE">
              <w:rPr>
                <w:rFonts w:ascii="Arial" w:hAnsi="Arial" w:cs="Arial"/>
                <w:i/>
                <w:iCs/>
                <w:sz w:val="20"/>
                <w:szCs w:val="20"/>
                <w:lang w:val="fr-FR"/>
              </w:rPr>
              <w:t>Le Consortium CAPA a été contracté par l’Union européenne pour l’exécution de ce projet. Le contenu de cette publication est pourtant la responsabilité exclusive de CAPA et ne peut en aucun cas être considéré comme reflétant la position de l'Union européenne.</w:t>
            </w:r>
          </w:p>
          <w:p w14:paraId="41DEC20B" w14:textId="77777777" w:rsidR="005550B7" w:rsidRPr="007554D8" w:rsidRDefault="005550B7" w:rsidP="00983A2A">
            <w:pPr>
              <w:jc w:val="right"/>
              <w:rPr>
                <w:lang w:val="fr-FR"/>
              </w:rPr>
            </w:pPr>
          </w:p>
        </w:tc>
      </w:tr>
    </w:tbl>
    <w:p w14:paraId="033463DB" w14:textId="77777777" w:rsidR="00B462B0" w:rsidRPr="007D1CED" w:rsidRDefault="00B462B0" w:rsidP="00C94126">
      <w:pPr>
        <w:rPr>
          <w:rFonts w:cs="Times New Roman"/>
        </w:rPr>
      </w:pPr>
      <w:r w:rsidRPr="007D1CED">
        <w:rPr>
          <w:rFonts w:cs="Times New Roman"/>
          <w:b/>
        </w:rPr>
        <w:tab/>
      </w:r>
      <w:r w:rsidRPr="007D1CED">
        <w:rPr>
          <w:rFonts w:cs="Times New Roman"/>
          <w:b/>
        </w:rPr>
        <w:tab/>
      </w:r>
      <w:r w:rsidRPr="007D1CED">
        <w:rPr>
          <w:rFonts w:cs="Times New Roman"/>
          <w:b/>
        </w:rPr>
        <w:tab/>
      </w:r>
    </w:p>
    <w:p w14:paraId="0BE77884" w14:textId="77777777" w:rsidR="002F3A98" w:rsidRPr="00844ADD" w:rsidRDefault="002F3A98" w:rsidP="002F3A98">
      <w:pPr>
        <w:spacing w:after="0" w:line="240" w:lineRule="auto"/>
        <w:ind w:hanging="1417"/>
        <w:jc w:val="center"/>
        <w:rPr>
          <w:rFonts w:ascii="Calibri" w:eastAsia="SimSun" w:hAnsi="Calibri" w:cs="Times New Roman"/>
          <w:b/>
          <w:szCs w:val="24"/>
          <w:lang w:val="fr-FR"/>
        </w:rPr>
      </w:pPr>
    </w:p>
    <w:p w14:paraId="4A071D06" w14:textId="77777777" w:rsidR="002F3A98" w:rsidRPr="00844ADD" w:rsidRDefault="002F3A98">
      <w:pPr>
        <w:rPr>
          <w:rFonts w:ascii="Calibri" w:eastAsia="SimSun" w:hAnsi="Calibri" w:cs="Times New Roman"/>
          <w:b/>
          <w:szCs w:val="24"/>
          <w:lang w:val="fr-FR"/>
        </w:rPr>
      </w:pPr>
      <w:r w:rsidRPr="00844ADD">
        <w:rPr>
          <w:rFonts w:ascii="Calibri" w:eastAsia="SimSun" w:hAnsi="Calibri" w:cs="Times New Roman"/>
          <w:b/>
          <w:szCs w:val="24"/>
          <w:lang w:val="fr-FR"/>
        </w:rPr>
        <w:br w:type="page"/>
      </w:r>
    </w:p>
    <w:p w14:paraId="0DF13B13" w14:textId="77777777" w:rsidR="00E14206" w:rsidRDefault="009525D4">
      <w:pPr>
        <w:pStyle w:val="TM1"/>
        <w:tabs>
          <w:tab w:val="right" w:leader="dot" w:pos="9182"/>
        </w:tabs>
        <w:rPr>
          <w:rFonts w:asciiTheme="minorHAnsi" w:hAnsiTheme="minorHAnsi"/>
          <w:b w:val="0"/>
          <w:bCs w:val="0"/>
          <w:caps w:val="0"/>
          <w:noProof/>
          <w:sz w:val="22"/>
          <w:szCs w:val="22"/>
          <w:lang w:val="de-DE" w:eastAsia="de-DE"/>
        </w:rPr>
      </w:pPr>
      <w:r w:rsidRPr="001A0A21">
        <w:rPr>
          <w:rFonts w:cs="Arial"/>
          <w:lang w:val="fr-FR"/>
        </w:rPr>
        <w:lastRenderedPageBreak/>
        <w:fldChar w:fldCharType="begin"/>
      </w:r>
      <w:r w:rsidR="0067049D" w:rsidRPr="001A0A21">
        <w:rPr>
          <w:rFonts w:cs="Arial"/>
          <w:lang w:val="fr-FR"/>
        </w:rPr>
        <w:instrText xml:space="preserve"> TOC \o "1-3" \h \z \u </w:instrText>
      </w:r>
      <w:r w:rsidRPr="001A0A21">
        <w:rPr>
          <w:rFonts w:cs="Arial"/>
          <w:lang w:val="fr-FR"/>
        </w:rPr>
        <w:fldChar w:fldCharType="separate"/>
      </w:r>
      <w:hyperlink w:anchor="_Toc20505606" w:history="1">
        <w:r w:rsidR="00E14206" w:rsidRPr="00704300">
          <w:rPr>
            <w:rStyle w:val="Lienhypertexte"/>
            <w:noProof/>
          </w:rPr>
          <w:t>Abréviations</w:t>
        </w:r>
        <w:r w:rsidR="00E14206">
          <w:rPr>
            <w:noProof/>
            <w:webHidden/>
          </w:rPr>
          <w:tab/>
        </w:r>
        <w:r w:rsidR="00E14206">
          <w:rPr>
            <w:noProof/>
            <w:webHidden/>
          </w:rPr>
          <w:fldChar w:fldCharType="begin"/>
        </w:r>
        <w:r w:rsidR="00E14206">
          <w:rPr>
            <w:noProof/>
            <w:webHidden/>
          </w:rPr>
          <w:instrText xml:space="preserve"> PAGEREF _Toc20505606 \h </w:instrText>
        </w:r>
        <w:r w:rsidR="00E14206">
          <w:rPr>
            <w:noProof/>
            <w:webHidden/>
          </w:rPr>
        </w:r>
        <w:r w:rsidR="00E14206">
          <w:rPr>
            <w:noProof/>
            <w:webHidden/>
          </w:rPr>
          <w:fldChar w:fldCharType="separate"/>
        </w:r>
        <w:r w:rsidR="00196BE5">
          <w:rPr>
            <w:noProof/>
            <w:webHidden/>
          </w:rPr>
          <w:t>vii</w:t>
        </w:r>
        <w:r w:rsidR="00E14206">
          <w:rPr>
            <w:noProof/>
            <w:webHidden/>
          </w:rPr>
          <w:fldChar w:fldCharType="end"/>
        </w:r>
      </w:hyperlink>
    </w:p>
    <w:p w14:paraId="7A741287" w14:textId="77777777" w:rsidR="00E14206" w:rsidRDefault="00736FE4">
      <w:pPr>
        <w:pStyle w:val="TM1"/>
        <w:tabs>
          <w:tab w:val="right" w:leader="dot" w:pos="9182"/>
        </w:tabs>
        <w:rPr>
          <w:rFonts w:asciiTheme="minorHAnsi" w:hAnsiTheme="minorHAnsi"/>
          <w:b w:val="0"/>
          <w:bCs w:val="0"/>
          <w:caps w:val="0"/>
          <w:noProof/>
          <w:sz w:val="22"/>
          <w:szCs w:val="22"/>
          <w:lang w:val="de-DE" w:eastAsia="de-DE"/>
        </w:rPr>
      </w:pPr>
      <w:hyperlink w:anchor="_Toc20505607" w:history="1">
        <w:r w:rsidR="00E14206" w:rsidRPr="00704300">
          <w:rPr>
            <w:rStyle w:val="Lienhypertexte"/>
            <w:noProof/>
          </w:rPr>
          <w:t>1. Résumé</w:t>
        </w:r>
        <w:r w:rsidR="00E14206">
          <w:rPr>
            <w:noProof/>
            <w:webHidden/>
          </w:rPr>
          <w:tab/>
        </w:r>
        <w:r w:rsidR="00E14206">
          <w:rPr>
            <w:noProof/>
            <w:webHidden/>
          </w:rPr>
          <w:fldChar w:fldCharType="begin"/>
        </w:r>
        <w:r w:rsidR="00E14206">
          <w:rPr>
            <w:noProof/>
            <w:webHidden/>
          </w:rPr>
          <w:instrText xml:space="preserve"> PAGEREF _Toc20505607 \h </w:instrText>
        </w:r>
        <w:r w:rsidR="00E14206">
          <w:rPr>
            <w:noProof/>
            <w:webHidden/>
          </w:rPr>
        </w:r>
        <w:r w:rsidR="00E14206">
          <w:rPr>
            <w:noProof/>
            <w:webHidden/>
          </w:rPr>
          <w:fldChar w:fldCharType="separate"/>
        </w:r>
        <w:r w:rsidR="00196BE5">
          <w:rPr>
            <w:noProof/>
            <w:webHidden/>
          </w:rPr>
          <w:t>11</w:t>
        </w:r>
        <w:r w:rsidR="00E14206">
          <w:rPr>
            <w:noProof/>
            <w:webHidden/>
          </w:rPr>
          <w:fldChar w:fldCharType="end"/>
        </w:r>
      </w:hyperlink>
    </w:p>
    <w:p w14:paraId="51F7C1F3"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08" w:history="1">
        <w:r w:rsidR="00E14206" w:rsidRPr="00704300">
          <w:rPr>
            <w:rStyle w:val="Lienhypertexte"/>
            <w:noProof/>
          </w:rPr>
          <w:t>Etat de l’environnement</w:t>
        </w:r>
        <w:r w:rsidR="00E14206">
          <w:rPr>
            <w:noProof/>
            <w:webHidden/>
          </w:rPr>
          <w:tab/>
        </w:r>
        <w:r w:rsidR="00E14206">
          <w:rPr>
            <w:noProof/>
            <w:webHidden/>
          </w:rPr>
          <w:fldChar w:fldCharType="begin"/>
        </w:r>
        <w:r w:rsidR="00E14206">
          <w:rPr>
            <w:noProof/>
            <w:webHidden/>
          </w:rPr>
          <w:instrText xml:space="preserve"> PAGEREF _Toc20505608 \h </w:instrText>
        </w:r>
        <w:r w:rsidR="00E14206">
          <w:rPr>
            <w:noProof/>
            <w:webHidden/>
          </w:rPr>
        </w:r>
        <w:r w:rsidR="00E14206">
          <w:rPr>
            <w:noProof/>
            <w:webHidden/>
          </w:rPr>
          <w:fldChar w:fldCharType="separate"/>
        </w:r>
        <w:r w:rsidR="00196BE5">
          <w:rPr>
            <w:noProof/>
            <w:webHidden/>
          </w:rPr>
          <w:t>11</w:t>
        </w:r>
        <w:r w:rsidR="00E14206">
          <w:rPr>
            <w:noProof/>
            <w:webHidden/>
          </w:rPr>
          <w:fldChar w:fldCharType="end"/>
        </w:r>
      </w:hyperlink>
    </w:p>
    <w:p w14:paraId="28D85953"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09" w:history="1">
        <w:r w:rsidR="00E14206" w:rsidRPr="00704300">
          <w:rPr>
            <w:rStyle w:val="Lienhypertexte"/>
            <w:noProof/>
          </w:rPr>
          <w:t>Les pressions sur l’environnement</w:t>
        </w:r>
        <w:r w:rsidR="00E14206">
          <w:rPr>
            <w:noProof/>
            <w:webHidden/>
          </w:rPr>
          <w:tab/>
        </w:r>
        <w:r w:rsidR="00E14206">
          <w:rPr>
            <w:noProof/>
            <w:webHidden/>
          </w:rPr>
          <w:fldChar w:fldCharType="begin"/>
        </w:r>
        <w:r w:rsidR="00E14206">
          <w:rPr>
            <w:noProof/>
            <w:webHidden/>
          </w:rPr>
          <w:instrText xml:space="preserve"> PAGEREF _Toc20505609 \h </w:instrText>
        </w:r>
        <w:r w:rsidR="00E14206">
          <w:rPr>
            <w:noProof/>
            <w:webHidden/>
          </w:rPr>
        </w:r>
        <w:r w:rsidR="00E14206">
          <w:rPr>
            <w:noProof/>
            <w:webHidden/>
          </w:rPr>
          <w:fldChar w:fldCharType="separate"/>
        </w:r>
        <w:r w:rsidR="00196BE5">
          <w:rPr>
            <w:noProof/>
            <w:webHidden/>
          </w:rPr>
          <w:t>11</w:t>
        </w:r>
        <w:r w:rsidR="00E14206">
          <w:rPr>
            <w:noProof/>
            <w:webHidden/>
          </w:rPr>
          <w:fldChar w:fldCharType="end"/>
        </w:r>
      </w:hyperlink>
    </w:p>
    <w:p w14:paraId="0EE79B06"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10" w:history="1">
        <w:r w:rsidR="00E14206" w:rsidRPr="00704300">
          <w:rPr>
            <w:rStyle w:val="Lienhypertexte"/>
            <w:noProof/>
          </w:rPr>
          <w:t>L’impact socio-économique de l’état de l’environnement</w:t>
        </w:r>
        <w:r w:rsidR="00E14206">
          <w:rPr>
            <w:noProof/>
            <w:webHidden/>
          </w:rPr>
          <w:tab/>
        </w:r>
        <w:r w:rsidR="00E14206">
          <w:rPr>
            <w:noProof/>
            <w:webHidden/>
          </w:rPr>
          <w:fldChar w:fldCharType="begin"/>
        </w:r>
        <w:r w:rsidR="00E14206">
          <w:rPr>
            <w:noProof/>
            <w:webHidden/>
          </w:rPr>
          <w:instrText xml:space="preserve"> PAGEREF _Toc20505610 \h </w:instrText>
        </w:r>
        <w:r w:rsidR="00E14206">
          <w:rPr>
            <w:noProof/>
            <w:webHidden/>
          </w:rPr>
        </w:r>
        <w:r w:rsidR="00E14206">
          <w:rPr>
            <w:noProof/>
            <w:webHidden/>
          </w:rPr>
          <w:fldChar w:fldCharType="separate"/>
        </w:r>
        <w:r w:rsidR="00196BE5">
          <w:rPr>
            <w:noProof/>
            <w:webHidden/>
          </w:rPr>
          <w:t>12</w:t>
        </w:r>
        <w:r w:rsidR="00E14206">
          <w:rPr>
            <w:noProof/>
            <w:webHidden/>
          </w:rPr>
          <w:fldChar w:fldCharType="end"/>
        </w:r>
      </w:hyperlink>
    </w:p>
    <w:p w14:paraId="6632EECC"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11" w:history="1">
        <w:r w:rsidR="00E14206" w:rsidRPr="00704300">
          <w:rPr>
            <w:rStyle w:val="Lienhypertexte"/>
            <w:noProof/>
          </w:rPr>
          <w:t>Politique environnementale, cadre institutionnel et législatif</w:t>
        </w:r>
        <w:r w:rsidR="00E14206">
          <w:rPr>
            <w:noProof/>
            <w:webHidden/>
          </w:rPr>
          <w:tab/>
        </w:r>
        <w:r w:rsidR="00E14206">
          <w:rPr>
            <w:noProof/>
            <w:webHidden/>
          </w:rPr>
          <w:fldChar w:fldCharType="begin"/>
        </w:r>
        <w:r w:rsidR="00E14206">
          <w:rPr>
            <w:noProof/>
            <w:webHidden/>
          </w:rPr>
          <w:instrText xml:space="preserve"> PAGEREF _Toc20505611 \h </w:instrText>
        </w:r>
        <w:r w:rsidR="00E14206">
          <w:rPr>
            <w:noProof/>
            <w:webHidden/>
          </w:rPr>
        </w:r>
        <w:r w:rsidR="00E14206">
          <w:rPr>
            <w:noProof/>
            <w:webHidden/>
          </w:rPr>
          <w:fldChar w:fldCharType="separate"/>
        </w:r>
        <w:r w:rsidR="00196BE5">
          <w:rPr>
            <w:noProof/>
            <w:webHidden/>
          </w:rPr>
          <w:t>13</w:t>
        </w:r>
        <w:r w:rsidR="00E14206">
          <w:rPr>
            <w:noProof/>
            <w:webHidden/>
          </w:rPr>
          <w:fldChar w:fldCharType="end"/>
        </w:r>
      </w:hyperlink>
    </w:p>
    <w:p w14:paraId="4AFFFC19"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12" w:history="1">
        <w:r w:rsidR="00E14206" w:rsidRPr="00704300">
          <w:rPr>
            <w:rStyle w:val="Lienhypertexte"/>
            <w:noProof/>
          </w:rPr>
          <w:t>La coopération de l’UE et des autres bailleurs en matière d’environnement</w:t>
        </w:r>
        <w:r w:rsidR="00E14206">
          <w:rPr>
            <w:noProof/>
            <w:webHidden/>
          </w:rPr>
          <w:tab/>
        </w:r>
        <w:r w:rsidR="00E14206">
          <w:rPr>
            <w:noProof/>
            <w:webHidden/>
          </w:rPr>
          <w:fldChar w:fldCharType="begin"/>
        </w:r>
        <w:r w:rsidR="00E14206">
          <w:rPr>
            <w:noProof/>
            <w:webHidden/>
          </w:rPr>
          <w:instrText xml:space="preserve"> PAGEREF _Toc20505612 \h </w:instrText>
        </w:r>
        <w:r w:rsidR="00E14206">
          <w:rPr>
            <w:noProof/>
            <w:webHidden/>
          </w:rPr>
        </w:r>
        <w:r w:rsidR="00E14206">
          <w:rPr>
            <w:noProof/>
            <w:webHidden/>
          </w:rPr>
          <w:fldChar w:fldCharType="separate"/>
        </w:r>
        <w:r w:rsidR="00196BE5">
          <w:rPr>
            <w:noProof/>
            <w:webHidden/>
          </w:rPr>
          <w:t>13</w:t>
        </w:r>
        <w:r w:rsidR="00E14206">
          <w:rPr>
            <w:noProof/>
            <w:webHidden/>
          </w:rPr>
          <w:fldChar w:fldCharType="end"/>
        </w:r>
      </w:hyperlink>
    </w:p>
    <w:p w14:paraId="59772BD0"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13" w:history="1">
        <w:r w:rsidR="00E14206" w:rsidRPr="00704300">
          <w:rPr>
            <w:rStyle w:val="Lienhypertexte"/>
            <w:noProof/>
          </w:rPr>
          <w:t>L’analyse de la prise en compte des recommandations du PEP 2014</w:t>
        </w:r>
        <w:r w:rsidR="00E14206">
          <w:rPr>
            <w:noProof/>
            <w:webHidden/>
          </w:rPr>
          <w:tab/>
        </w:r>
        <w:r w:rsidR="00E14206">
          <w:rPr>
            <w:noProof/>
            <w:webHidden/>
          </w:rPr>
          <w:fldChar w:fldCharType="begin"/>
        </w:r>
        <w:r w:rsidR="00E14206">
          <w:rPr>
            <w:noProof/>
            <w:webHidden/>
          </w:rPr>
          <w:instrText xml:space="preserve"> PAGEREF _Toc20505613 \h </w:instrText>
        </w:r>
        <w:r w:rsidR="00E14206">
          <w:rPr>
            <w:noProof/>
            <w:webHidden/>
          </w:rPr>
        </w:r>
        <w:r w:rsidR="00E14206">
          <w:rPr>
            <w:noProof/>
            <w:webHidden/>
          </w:rPr>
          <w:fldChar w:fldCharType="separate"/>
        </w:r>
        <w:r w:rsidR="00196BE5">
          <w:rPr>
            <w:noProof/>
            <w:webHidden/>
          </w:rPr>
          <w:t>13</w:t>
        </w:r>
        <w:r w:rsidR="00E14206">
          <w:rPr>
            <w:noProof/>
            <w:webHidden/>
          </w:rPr>
          <w:fldChar w:fldCharType="end"/>
        </w:r>
      </w:hyperlink>
    </w:p>
    <w:p w14:paraId="4BD8B782"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14" w:history="1">
        <w:r w:rsidR="00E14206" w:rsidRPr="00704300">
          <w:rPr>
            <w:rStyle w:val="Lienhypertexte"/>
            <w:rFonts w:ascii="Arial" w:hAnsi="Arial"/>
            <w:noProof/>
          </w:rPr>
          <w:t>Conclusions et recommandations</w:t>
        </w:r>
        <w:r w:rsidR="00E14206">
          <w:rPr>
            <w:noProof/>
            <w:webHidden/>
          </w:rPr>
          <w:tab/>
        </w:r>
        <w:r w:rsidR="00E14206">
          <w:rPr>
            <w:noProof/>
            <w:webHidden/>
          </w:rPr>
          <w:fldChar w:fldCharType="begin"/>
        </w:r>
        <w:r w:rsidR="00E14206">
          <w:rPr>
            <w:noProof/>
            <w:webHidden/>
          </w:rPr>
          <w:instrText xml:space="preserve"> PAGEREF _Toc20505614 \h </w:instrText>
        </w:r>
        <w:r w:rsidR="00E14206">
          <w:rPr>
            <w:noProof/>
            <w:webHidden/>
          </w:rPr>
        </w:r>
        <w:r w:rsidR="00E14206">
          <w:rPr>
            <w:noProof/>
            <w:webHidden/>
          </w:rPr>
          <w:fldChar w:fldCharType="separate"/>
        </w:r>
        <w:r w:rsidR="00196BE5">
          <w:rPr>
            <w:noProof/>
            <w:webHidden/>
          </w:rPr>
          <w:t>14</w:t>
        </w:r>
        <w:r w:rsidR="00E14206">
          <w:rPr>
            <w:noProof/>
            <w:webHidden/>
          </w:rPr>
          <w:fldChar w:fldCharType="end"/>
        </w:r>
      </w:hyperlink>
    </w:p>
    <w:p w14:paraId="5404D41C" w14:textId="77777777" w:rsidR="00E14206" w:rsidRDefault="00736FE4">
      <w:pPr>
        <w:pStyle w:val="TM1"/>
        <w:tabs>
          <w:tab w:val="right" w:leader="dot" w:pos="9182"/>
        </w:tabs>
        <w:rPr>
          <w:rFonts w:asciiTheme="minorHAnsi" w:hAnsiTheme="minorHAnsi"/>
          <w:b w:val="0"/>
          <w:bCs w:val="0"/>
          <w:caps w:val="0"/>
          <w:noProof/>
          <w:sz w:val="22"/>
          <w:szCs w:val="22"/>
          <w:lang w:val="de-DE" w:eastAsia="de-DE"/>
        </w:rPr>
      </w:pPr>
      <w:hyperlink w:anchor="_Toc20505615" w:history="1">
        <w:r w:rsidR="00E14206" w:rsidRPr="00704300">
          <w:rPr>
            <w:rStyle w:val="Lienhypertexte"/>
            <w:noProof/>
          </w:rPr>
          <w:t>2. Etat de l’environnement</w:t>
        </w:r>
        <w:r w:rsidR="00E14206">
          <w:rPr>
            <w:noProof/>
            <w:webHidden/>
          </w:rPr>
          <w:tab/>
        </w:r>
        <w:r w:rsidR="00E14206">
          <w:rPr>
            <w:noProof/>
            <w:webHidden/>
          </w:rPr>
          <w:fldChar w:fldCharType="begin"/>
        </w:r>
        <w:r w:rsidR="00E14206">
          <w:rPr>
            <w:noProof/>
            <w:webHidden/>
          </w:rPr>
          <w:instrText xml:space="preserve"> PAGEREF _Toc20505615 \h </w:instrText>
        </w:r>
        <w:r w:rsidR="00E14206">
          <w:rPr>
            <w:noProof/>
            <w:webHidden/>
          </w:rPr>
        </w:r>
        <w:r w:rsidR="00E14206">
          <w:rPr>
            <w:noProof/>
            <w:webHidden/>
          </w:rPr>
          <w:fldChar w:fldCharType="separate"/>
        </w:r>
        <w:r w:rsidR="00196BE5">
          <w:rPr>
            <w:noProof/>
            <w:webHidden/>
          </w:rPr>
          <w:t>17</w:t>
        </w:r>
        <w:r w:rsidR="00E14206">
          <w:rPr>
            <w:noProof/>
            <w:webHidden/>
          </w:rPr>
          <w:fldChar w:fldCharType="end"/>
        </w:r>
      </w:hyperlink>
    </w:p>
    <w:p w14:paraId="584A26DD" w14:textId="77777777" w:rsidR="00E14206" w:rsidRDefault="00736FE4">
      <w:pPr>
        <w:pStyle w:val="TM2"/>
        <w:tabs>
          <w:tab w:val="right" w:leader="dot" w:pos="9182"/>
        </w:tabs>
        <w:rPr>
          <w:rFonts w:asciiTheme="minorHAnsi" w:hAnsiTheme="minorHAnsi"/>
          <w:smallCaps w:val="0"/>
          <w:noProof/>
          <w:sz w:val="22"/>
          <w:szCs w:val="22"/>
          <w:lang w:val="de-DE" w:eastAsia="de-DE"/>
        </w:rPr>
      </w:pPr>
      <w:hyperlink w:anchor="_Toc20505616" w:history="1">
        <w:r w:rsidR="00E14206" w:rsidRPr="00704300">
          <w:rPr>
            <w:rStyle w:val="Lienhypertexte"/>
            <w:noProof/>
          </w:rPr>
          <w:t>2.1. etat et tendances des principales ressources environnementales</w:t>
        </w:r>
        <w:r w:rsidR="00E14206">
          <w:rPr>
            <w:noProof/>
            <w:webHidden/>
          </w:rPr>
          <w:tab/>
        </w:r>
        <w:r w:rsidR="00E14206">
          <w:rPr>
            <w:noProof/>
            <w:webHidden/>
          </w:rPr>
          <w:fldChar w:fldCharType="begin"/>
        </w:r>
        <w:r w:rsidR="00E14206">
          <w:rPr>
            <w:noProof/>
            <w:webHidden/>
          </w:rPr>
          <w:instrText xml:space="preserve"> PAGEREF _Toc20505616 \h </w:instrText>
        </w:r>
        <w:r w:rsidR="00E14206">
          <w:rPr>
            <w:noProof/>
            <w:webHidden/>
          </w:rPr>
        </w:r>
        <w:r w:rsidR="00E14206">
          <w:rPr>
            <w:noProof/>
            <w:webHidden/>
          </w:rPr>
          <w:fldChar w:fldCharType="separate"/>
        </w:r>
        <w:r w:rsidR="00196BE5">
          <w:rPr>
            <w:noProof/>
            <w:webHidden/>
          </w:rPr>
          <w:t>17</w:t>
        </w:r>
        <w:r w:rsidR="00E14206">
          <w:rPr>
            <w:noProof/>
            <w:webHidden/>
          </w:rPr>
          <w:fldChar w:fldCharType="end"/>
        </w:r>
      </w:hyperlink>
    </w:p>
    <w:p w14:paraId="2FC1CD52"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17" w:history="1">
        <w:r w:rsidR="00E14206" w:rsidRPr="00704300">
          <w:rPr>
            <w:rStyle w:val="Lienhypertexte"/>
            <w:noProof/>
          </w:rPr>
          <w:t>2.1.1 Environnement physique</w:t>
        </w:r>
        <w:r w:rsidR="00E14206">
          <w:rPr>
            <w:noProof/>
            <w:webHidden/>
          </w:rPr>
          <w:tab/>
        </w:r>
        <w:r w:rsidR="00E14206">
          <w:rPr>
            <w:noProof/>
            <w:webHidden/>
          </w:rPr>
          <w:fldChar w:fldCharType="begin"/>
        </w:r>
        <w:r w:rsidR="00E14206">
          <w:rPr>
            <w:noProof/>
            <w:webHidden/>
          </w:rPr>
          <w:instrText xml:space="preserve"> PAGEREF _Toc20505617 \h </w:instrText>
        </w:r>
        <w:r w:rsidR="00E14206">
          <w:rPr>
            <w:noProof/>
            <w:webHidden/>
          </w:rPr>
        </w:r>
        <w:r w:rsidR="00E14206">
          <w:rPr>
            <w:noProof/>
            <w:webHidden/>
          </w:rPr>
          <w:fldChar w:fldCharType="separate"/>
        </w:r>
        <w:r w:rsidR="00196BE5">
          <w:rPr>
            <w:noProof/>
            <w:webHidden/>
          </w:rPr>
          <w:t>17</w:t>
        </w:r>
        <w:r w:rsidR="00E14206">
          <w:rPr>
            <w:noProof/>
            <w:webHidden/>
          </w:rPr>
          <w:fldChar w:fldCharType="end"/>
        </w:r>
      </w:hyperlink>
    </w:p>
    <w:p w14:paraId="38EE7EE2"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18" w:history="1">
        <w:r w:rsidR="00E14206" w:rsidRPr="00704300">
          <w:rPr>
            <w:rStyle w:val="Lienhypertexte"/>
            <w:rFonts w:ascii="Arial" w:hAnsi="Arial"/>
            <w:noProof/>
          </w:rPr>
          <w:t>2.1.2 L’environnement biologique</w:t>
        </w:r>
        <w:r w:rsidR="00E14206">
          <w:rPr>
            <w:noProof/>
            <w:webHidden/>
          </w:rPr>
          <w:tab/>
        </w:r>
        <w:r w:rsidR="00E14206">
          <w:rPr>
            <w:noProof/>
            <w:webHidden/>
          </w:rPr>
          <w:fldChar w:fldCharType="begin"/>
        </w:r>
        <w:r w:rsidR="00E14206">
          <w:rPr>
            <w:noProof/>
            <w:webHidden/>
          </w:rPr>
          <w:instrText xml:space="preserve"> PAGEREF _Toc20505618 \h </w:instrText>
        </w:r>
        <w:r w:rsidR="00E14206">
          <w:rPr>
            <w:noProof/>
            <w:webHidden/>
          </w:rPr>
        </w:r>
        <w:r w:rsidR="00E14206">
          <w:rPr>
            <w:noProof/>
            <w:webHidden/>
          </w:rPr>
          <w:fldChar w:fldCharType="separate"/>
        </w:r>
        <w:r w:rsidR="00196BE5">
          <w:rPr>
            <w:noProof/>
            <w:webHidden/>
          </w:rPr>
          <w:t>21</w:t>
        </w:r>
        <w:r w:rsidR="00E14206">
          <w:rPr>
            <w:noProof/>
            <w:webHidden/>
          </w:rPr>
          <w:fldChar w:fldCharType="end"/>
        </w:r>
      </w:hyperlink>
    </w:p>
    <w:p w14:paraId="30867181" w14:textId="77777777" w:rsidR="00E14206" w:rsidRDefault="00736FE4">
      <w:pPr>
        <w:pStyle w:val="TM2"/>
        <w:tabs>
          <w:tab w:val="right" w:leader="dot" w:pos="9182"/>
        </w:tabs>
        <w:rPr>
          <w:rFonts w:asciiTheme="minorHAnsi" w:hAnsiTheme="minorHAnsi"/>
          <w:smallCaps w:val="0"/>
          <w:noProof/>
          <w:sz w:val="22"/>
          <w:szCs w:val="22"/>
          <w:lang w:val="de-DE" w:eastAsia="de-DE"/>
        </w:rPr>
      </w:pPr>
      <w:hyperlink w:anchor="_Toc20505619" w:history="1">
        <w:r w:rsidR="00E14206" w:rsidRPr="00704300">
          <w:rPr>
            <w:rStyle w:val="Lienhypertexte"/>
            <w:noProof/>
            <w:lang w:eastAsia="fr-FR"/>
          </w:rPr>
          <w:t>2.2 Les pressions sur l’environnement (et les réponses)</w:t>
        </w:r>
        <w:r w:rsidR="00E14206">
          <w:rPr>
            <w:noProof/>
            <w:webHidden/>
          </w:rPr>
          <w:tab/>
        </w:r>
        <w:r w:rsidR="00E14206">
          <w:rPr>
            <w:noProof/>
            <w:webHidden/>
          </w:rPr>
          <w:fldChar w:fldCharType="begin"/>
        </w:r>
        <w:r w:rsidR="00E14206">
          <w:rPr>
            <w:noProof/>
            <w:webHidden/>
          </w:rPr>
          <w:instrText xml:space="preserve"> PAGEREF _Toc20505619 \h </w:instrText>
        </w:r>
        <w:r w:rsidR="00E14206">
          <w:rPr>
            <w:noProof/>
            <w:webHidden/>
          </w:rPr>
        </w:r>
        <w:r w:rsidR="00E14206">
          <w:rPr>
            <w:noProof/>
            <w:webHidden/>
          </w:rPr>
          <w:fldChar w:fldCharType="separate"/>
        </w:r>
        <w:r w:rsidR="00196BE5">
          <w:rPr>
            <w:noProof/>
            <w:webHidden/>
          </w:rPr>
          <w:t>25</w:t>
        </w:r>
        <w:r w:rsidR="00E14206">
          <w:rPr>
            <w:noProof/>
            <w:webHidden/>
          </w:rPr>
          <w:fldChar w:fldCharType="end"/>
        </w:r>
      </w:hyperlink>
    </w:p>
    <w:p w14:paraId="30BD2DB1"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20" w:history="1">
        <w:r w:rsidR="00E14206" w:rsidRPr="00704300">
          <w:rPr>
            <w:rStyle w:val="Lienhypertexte"/>
            <w:noProof/>
          </w:rPr>
          <w:t>2.2.1 Utilisation et gestion de l’eau incluant les fleuves</w:t>
        </w:r>
        <w:r w:rsidR="00E14206">
          <w:rPr>
            <w:noProof/>
            <w:webHidden/>
          </w:rPr>
          <w:tab/>
        </w:r>
        <w:r w:rsidR="00E14206">
          <w:rPr>
            <w:noProof/>
            <w:webHidden/>
          </w:rPr>
          <w:fldChar w:fldCharType="begin"/>
        </w:r>
        <w:r w:rsidR="00E14206">
          <w:rPr>
            <w:noProof/>
            <w:webHidden/>
          </w:rPr>
          <w:instrText xml:space="preserve"> PAGEREF _Toc20505620 \h </w:instrText>
        </w:r>
        <w:r w:rsidR="00E14206">
          <w:rPr>
            <w:noProof/>
            <w:webHidden/>
          </w:rPr>
        </w:r>
        <w:r w:rsidR="00E14206">
          <w:rPr>
            <w:noProof/>
            <w:webHidden/>
          </w:rPr>
          <w:fldChar w:fldCharType="separate"/>
        </w:r>
        <w:r w:rsidR="00196BE5">
          <w:rPr>
            <w:noProof/>
            <w:webHidden/>
          </w:rPr>
          <w:t>25</w:t>
        </w:r>
        <w:r w:rsidR="00E14206">
          <w:rPr>
            <w:noProof/>
            <w:webHidden/>
          </w:rPr>
          <w:fldChar w:fldCharType="end"/>
        </w:r>
      </w:hyperlink>
    </w:p>
    <w:p w14:paraId="648EB23F"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21" w:history="1">
        <w:r w:rsidR="00E14206" w:rsidRPr="00704300">
          <w:rPr>
            <w:rStyle w:val="Lienhypertexte"/>
            <w:noProof/>
          </w:rPr>
          <w:t>2.2.2 Utilisation et gestion des terres</w:t>
        </w:r>
        <w:r w:rsidR="00E14206">
          <w:rPr>
            <w:noProof/>
            <w:webHidden/>
          </w:rPr>
          <w:tab/>
        </w:r>
        <w:r w:rsidR="00E14206">
          <w:rPr>
            <w:noProof/>
            <w:webHidden/>
          </w:rPr>
          <w:fldChar w:fldCharType="begin"/>
        </w:r>
        <w:r w:rsidR="00E14206">
          <w:rPr>
            <w:noProof/>
            <w:webHidden/>
          </w:rPr>
          <w:instrText xml:space="preserve"> PAGEREF _Toc20505621 \h </w:instrText>
        </w:r>
        <w:r w:rsidR="00E14206">
          <w:rPr>
            <w:noProof/>
            <w:webHidden/>
          </w:rPr>
        </w:r>
        <w:r w:rsidR="00E14206">
          <w:rPr>
            <w:noProof/>
            <w:webHidden/>
          </w:rPr>
          <w:fldChar w:fldCharType="separate"/>
        </w:r>
        <w:r w:rsidR="00196BE5">
          <w:rPr>
            <w:noProof/>
            <w:webHidden/>
          </w:rPr>
          <w:t>26</w:t>
        </w:r>
        <w:r w:rsidR="00E14206">
          <w:rPr>
            <w:noProof/>
            <w:webHidden/>
          </w:rPr>
          <w:fldChar w:fldCharType="end"/>
        </w:r>
      </w:hyperlink>
    </w:p>
    <w:p w14:paraId="5158F7A6"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22" w:history="1">
        <w:r w:rsidR="00E14206" w:rsidRPr="00704300">
          <w:rPr>
            <w:rStyle w:val="Lienhypertexte"/>
            <w:noProof/>
          </w:rPr>
          <w:t>2.2.3 Agriculture et élevage</w:t>
        </w:r>
        <w:r w:rsidR="00E14206">
          <w:rPr>
            <w:noProof/>
            <w:webHidden/>
          </w:rPr>
          <w:tab/>
        </w:r>
        <w:r w:rsidR="00E14206">
          <w:rPr>
            <w:noProof/>
            <w:webHidden/>
          </w:rPr>
          <w:fldChar w:fldCharType="begin"/>
        </w:r>
        <w:r w:rsidR="00E14206">
          <w:rPr>
            <w:noProof/>
            <w:webHidden/>
          </w:rPr>
          <w:instrText xml:space="preserve"> PAGEREF _Toc20505622 \h </w:instrText>
        </w:r>
        <w:r w:rsidR="00E14206">
          <w:rPr>
            <w:noProof/>
            <w:webHidden/>
          </w:rPr>
        </w:r>
        <w:r w:rsidR="00E14206">
          <w:rPr>
            <w:noProof/>
            <w:webHidden/>
          </w:rPr>
          <w:fldChar w:fldCharType="separate"/>
        </w:r>
        <w:r w:rsidR="00196BE5">
          <w:rPr>
            <w:noProof/>
            <w:webHidden/>
          </w:rPr>
          <w:t>27</w:t>
        </w:r>
        <w:r w:rsidR="00E14206">
          <w:rPr>
            <w:noProof/>
            <w:webHidden/>
          </w:rPr>
          <w:fldChar w:fldCharType="end"/>
        </w:r>
      </w:hyperlink>
    </w:p>
    <w:p w14:paraId="5D217032"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23" w:history="1">
        <w:r w:rsidR="00E14206" w:rsidRPr="00704300">
          <w:rPr>
            <w:rStyle w:val="Lienhypertexte"/>
            <w:noProof/>
          </w:rPr>
          <w:t>2.2.4 Exploitation forestière, chasse et pêche</w:t>
        </w:r>
        <w:r w:rsidR="00E14206">
          <w:rPr>
            <w:noProof/>
            <w:webHidden/>
          </w:rPr>
          <w:tab/>
        </w:r>
        <w:r w:rsidR="00E14206">
          <w:rPr>
            <w:noProof/>
            <w:webHidden/>
          </w:rPr>
          <w:fldChar w:fldCharType="begin"/>
        </w:r>
        <w:r w:rsidR="00E14206">
          <w:rPr>
            <w:noProof/>
            <w:webHidden/>
          </w:rPr>
          <w:instrText xml:space="preserve"> PAGEREF _Toc20505623 \h </w:instrText>
        </w:r>
        <w:r w:rsidR="00E14206">
          <w:rPr>
            <w:noProof/>
            <w:webHidden/>
          </w:rPr>
        </w:r>
        <w:r w:rsidR="00E14206">
          <w:rPr>
            <w:noProof/>
            <w:webHidden/>
          </w:rPr>
          <w:fldChar w:fldCharType="separate"/>
        </w:r>
        <w:r w:rsidR="00196BE5">
          <w:rPr>
            <w:noProof/>
            <w:webHidden/>
          </w:rPr>
          <w:t>28</w:t>
        </w:r>
        <w:r w:rsidR="00E14206">
          <w:rPr>
            <w:noProof/>
            <w:webHidden/>
          </w:rPr>
          <w:fldChar w:fldCharType="end"/>
        </w:r>
      </w:hyperlink>
    </w:p>
    <w:p w14:paraId="66DA26A6"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24" w:history="1">
        <w:r w:rsidR="00E14206" w:rsidRPr="00704300">
          <w:rPr>
            <w:rStyle w:val="Lienhypertexte"/>
            <w:rFonts w:ascii="Arial" w:hAnsi="Arial"/>
            <w:noProof/>
          </w:rPr>
          <w:t>2.2.5 Activités minières</w:t>
        </w:r>
        <w:r w:rsidR="00E14206">
          <w:rPr>
            <w:noProof/>
            <w:webHidden/>
          </w:rPr>
          <w:tab/>
        </w:r>
        <w:r w:rsidR="00E14206">
          <w:rPr>
            <w:noProof/>
            <w:webHidden/>
          </w:rPr>
          <w:fldChar w:fldCharType="begin"/>
        </w:r>
        <w:r w:rsidR="00E14206">
          <w:rPr>
            <w:noProof/>
            <w:webHidden/>
          </w:rPr>
          <w:instrText xml:space="preserve"> PAGEREF _Toc20505624 \h </w:instrText>
        </w:r>
        <w:r w:rsidR="00E14206">
          <w:rPr>
            <w:noProof/>
            <w:webHidden/>
          </w:rPr>
        </w:r>
        <w:r w:rsidR="00E14206">
          <w:rPr>
            <w:noProof/>
            <w:webHidden/>
          </w:rPr>
          <w:fldChar w:fldCharType="separate"/>
        </w:r>
        <w:r w:rsidR="00196BE5">
          <w:rPr>
            <w:noProof/>
            <w:webHidden/>
          </w:rPr>
          <w:t>30</w:t>
        </w:r>
        <w:r w:rsidR="00E14206">
          <w:rPr>
            <w:noProof/>
            <w:webHidden/>
          </w:rPr>
          <w:fldChar w:fldCharType="end"/>
        </w:r>
      </w:hyperlink>
    </w:p>
    <w:p w14:paraId="5A098B24"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25" w:history="1">
        <w:r w:rsidR="00E14206" w:rsidRPr="00704300">
          <w:rPr>
            <w:rStyle w:val="Lienhypertexte"/>
            <w:rFonts w:ascii="Arial" w:hAnsi="Arial"/>
            <w:noProof/>
          </w:rPr>
          <w:t>2.2.6 Approvisionnement énergétique et utilisation de l’énergie</w:t>
        </w:r>
        <w:r w:rsidR="00E14206">
          <w:rPr>
            <w:noProof/>
            <w:webHidden/>
          </w:rPr>
          <w:tab/>
        </w:r>
        <w:r w:rsidR="00E14206">
          <w:rPr>
            <w:noProof/>
            <w:webHidden/>
          </w:rPr>
          <w:fldChar w:fldCharType="begin"/>
        </w:r>
        <w:r w:rsidR="00E14206">
          <w:rPr>
            <w:noProof/>
            <w:webHidden/>
          </w:rPr>
          <w:instrText xml:space="preserve"> PAGEREF _Toc20505625 \h </w:instrText>
        </w:r>
        <w:r w:rsidR="00E14206">
          <w:rPr>
            <w:noProof/>
            <w:webHidden/>
          </w:rPr>
        </w:r>
        <w:r w:rsidR="00E14206">
          <w:rPr>
            <w:noProof/>
            <w:webHidden/>
          </w:rPr>
          <w:fldChar w:fldCharType="separate"/>
        </w:r>
        <w:r w:rsidR="00196BE5">
          <w:rPr>
            <w:noProof/>
            <w:webHidden/>
          </w:rPr>
          <w:t>32</w:t>
        </w:r>
        <w:r w:rsidR="00E14206">
          <w:rPr>
            <w:noProof/>
            <w:webHidden/>
          </w:rPr>
          <w:fldChar w:fldCharType="end"/>
        </w:r>
      </w:hyperlink>
    </w:p>
    <w:p w14:paraId="3B2BBFF1"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26" w:history="1">
        <w:r w:rsidR="00E14206" w:rsidRPr="00704300">
          <w:rPr>
            <w:rStyle w:val="Lienhypertexte"/>
            <w:rFonts w:ascii="Arial" w:hAnsi="Arial"/>
            <w:noProof/>
          </w:rPr>
          <w:t>2.2.7 Urbanisation, infrastructures et industries</w:t>
        </w:r>
        <w:r w:rsidR="00E14206">
          <w:rPr>
            <w:noProof/>
            <w:webHidden/>
          </w:rPr>
          <w:tab/>
        </w:r>
        <w:r w:rsidR="00E14206">
          <w:rPr>
            <w:noProof/>
            <w:webHidden/>
          </w:rPr>
          <w:fldChar w:fldCharType="begin"/>
        </w:r>
        <w:r w:rsidR="00E14206">
          <w:rPr>
            <w:noProof/>
            <w:webHidden/>
          </w:rPr>
          <w:instrText xml:space="preserve"> PAGEREF _Toc20505626 \h </w:instrText>
        </w:r>
        <w:r w:rsidR="00E14206">
          <w:rPr>
            <w:noProof/>
            <w:webHidden/>
          </w:rPr>
        </w:r>
        <w:r w:rsidR="00E14206">
          <w:rPr>
            <w:noProof/>
            <w:webHidden/>
          </w:rPr>
          <w:fldChar w:fldCharType="separate"/>
        </w:r>
        <w:r w:rsidR="00196BE5">
          <w:rPr>
            <w:noProof/>
            <w:webHidden/>
          </w:rPr>
          <w:t>33</w:t>
        </w:r>
        <w:r w:rsidR="00E14206">
          <w:rPr>
            <w:noProof/>
            <w:webHidden/>
          </w:rPr>
          <w:fldChar w:fldCharType="end"/>
        </w:r>
      </w:hyperlink>
    </w:p>
    <w:p w14:paraId="186F4E8E"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27" w:history="1">
        <w:r w:rsidR="00E14206" w:rsidRPr="00704300">
          <w:rPr>
            <w:rStyle w:val="Lienhypertexte"/>
            <w:rFonts w:ascii="Arial" w:hAnsi="Arial"/>
            <w:noProof/>
          </w:rPr>
          <w:t>2.2.8 Transport</w:t>
        </w:r>
        <w:r w:rsidR="00E14206">
          <w:rPr>
            <w:noProof/>
            <w:webHidden/>
          </w:rPr>
          <w:tab/>
        </w:r>
        <w:r w:rsidR="00E14206">
          <w:rPr>
            <w:noProof/>
            <w:webHidden/>
          </w:rPr>
          <w:fldChar w:fldCharType="begin"/>
        </w:r>
        <w:r w:rsidR="00E14206">
          <w:rPr>
            <w:noProof/>
            <w:webHidden/>
          </w:rPr>
          <w:instrText xml:space="preserve"> PAGEREF _Toc20505627 \h </w:instrText>
        </w:r>
        <w:r w:rsidR="00E14206">
          <w:rPr>
            <w:noProof/>
            <w:webHidden/>
          </w:rPr>
        </w:r>
        <w:r w:rsidR="00E14206">
          <w:rPr>
            <w:noProof/>
            <w:webHidden/>
          </w:rPr>
          <w:fldChar w:fldCharType="separate"/>
        </w:r>
        <w:r w:rsidR="00196BE5">
          <w:rPr>
            <w:noProof/>
            <w:webHidden/>
          </w:rPr>
          <w:t>34</w:t>
        </w:r>
        <w:r w:rsidR="00E14206">
          <w:rPr>
            <w:noProof/>
            <w:webHidden/>
          </w:rPr>
          <w:fldChar w:fldCharType="end"/>
        </w:r>
      </w:hyperlink>
    </w:p>
    <w:p w14:paraId="01255470"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28" w:history="1">
        <w:r w:rsidR="00E14206" w:rsidRPr="00704300">
          <w:rPr>
            <w:rStyle w:val="Lienhypertexte"/>
            <w:rFonts w:ascii="Arial" w:hAnsi="Arial"/>
            <w:noProof/>
          </w:rPr>
          <w:t>2.2.9 Tourisme</w:t>
        </w:r>
        <w:r w:rsidR="00E14206">
          <w:rPr>
            <w:noProof/>
            <w:webHidden/>
          </w:rPr>
          <w:tab/>
        </w:r>
        <w:r w:rsidR="00E14206">
          <w:rPr>
            <w:noProof/>
            <w:webHidden/>
          </w:rPr>
          <w:fldChar w:fldCharType="begin"/>
        </w:r>
        <w:r w:rsidR="00E14206">
          <w:rPr>
            <w:noProof/>
            <w:webHidden/>
          </w:rPr>
          <w:instrText xml:space="preserve"> PAGEREF _Toc20505628 \h </w:instrText>
        </w:r>
        <w:r w:rsidR="00E14206">
          <w:rPr>
            <w:noProof/>
            <w:webHidden/>
          </w:rPr>
        </w:r>
        <w:r w:rsidR="00E14206">
          <w:rPr>
            <w:noProof/>
            <w:webHidden/>
          </w:rPr>
          <w:fldChar w:fldCharType="separate"/>
        </w:r>
        <w:r w:rsidR="00196BE5">
          <w:rPr>
            <w:noProof/>
            <w:webHidden/>
          </w:rPr>
          <w:t>35</w:t>
        </w:r>
        <w:r w:rsidR="00E14206">
          <w:rPr>
            <w:noProof/>
            <w:webHidden/>
          </w:rPr>
          <w:fldChar w:fldCharType="end"/>
        </w:r>
      </w:hyperlink>
    </w:p>
    <w:p w14:paraId="1024FEAB"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29" w:history="1">
        <w:r w:rsidR="00E14206" w:rsidRPr="00704300">
          <w:rPr>
            <w:rStyle w:val="Lienhypertexte"/>
            <w:rFonts w:ascii="Arial" w:hAnsi="Arial"/>
            <w:noProof/>
          </w:rPr>
          <w:t>2.2.10 La gestion des déchets</w:t>
        </w:r>
        <w:r w:rsidR="00E14206">
          <w:rPr>
            <w:noProof/>
            <w:webHidden/>
          </w:rPr>
          <w:tab/>
        </w:r>
        <w:r w:rsidR="00E14206">
          <w:rPr>
            <w:noProof/>
            <w:webHidden/>
          </w:rPr>
          <w:fldChar w:fldCharType="begin"/>
        </w:r>
        <w:r w:rsidR="00E14206">
          <w:rPr>
            <w:noProof/>
            <w:webHidden/>
          </w:rPr>
          <w:instrText xml:space="preserve"> PAGEREF _Toc20505629 \h </w:instrText>
        </w:r>
        <w:r w:rsidR="00E14206">
          <w:rPr>
            <w:noProof/>
            <w:webHidden/>
          </w:rPr>
        </w:r>
        <w:r w:rsidR="00E14206">
          <w:rPr>
            <w:noProof/>
            <w:webHidden/>
          </w:rPr>
          <w:fldChar w:fldCharType="separate"/>
        </w:r>
        <w:r w:rsidR="00196BE5">
          <w:rPr>
            <w:noProof/>
            <w:webHidden/>
          </w:rPr>
          <w:t>36</w:t>
        </w:r>
        <w:r w:rsidR="00E14206">
          <w:rPr>
            <w:noProof/>
            <w:webHidden/>
          </w:rPr>
          <w:fldChar w:fldCharType="end"/>
        </w:r>
      </w:hyperlink>
    </w:p>
    <w:p w14:paraId="764A9F84"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30" w:history="1">
        <w:r w:rsidR="00E14206" w:rsidRPr="00704300">
          <w:rPr>
            <w:rStyle w:val="Lienhypertexte"/>
            <w:rFonts w:ascii="Arial" w:hAnsi="Arial"/>
            <w:noProof/>
          </w:rPr>
          <w:t>2.2.11 Emissions de Gaz à Effet de Serre (GES) et leurs sources</w:t>
        </w:r>
        <w:r w:rsidR="00E14206">
          <w:rPr>
            <w:noProof/>
            <w:webHidden/>
          </w:rPr>
          <w:tab/>
        </w:r>
        <w:r w:rsidR="00E14206">
          <w:rPr>
            <w:noProof/>
            <w:webHidden/>
          </w:rPr>
          <w:fldChar w:fldCharType="begin"/>
        </w:r>
        <w:r w:rsidR="00E14206">
          <w:rPr>
            <w:noProof/>
            <w:webHidden/>
          </w:rPr>
          <w:instrText xml:space="preserve"> PAGEREF _Toc20505630 \h </w:instrText>
        </w:r>
        <w:r w:rsidR="00E14206">
          <w:rPr>
            <w:noProof/>
            <w:webHidden/>
          </w:rPr>
        </w:r>
        <w:r w:rsidR="00E14206">
          <w:rPr>
            <w:noProof/>
            <w:webHidden/>
          </w:rPr>
          <w:fldChar w:fldCharType="separate"/>
        </w:r>
        <w:r w:rsidR="00196BE5">
          <w:rPr>
            <w:noProof/>
            <w:webHidden/>
          </w:rPr>
          <w:t>37</w:t>
        </w:r>
        <w:r w:rsidR="00E14206">
          <w:rPr>
            <w:noProof/>
            <w:webHidden/>
          </w:rPr>
          <w:fldChar w:fldCharType="end"/>
        </w:r>
      </w:hyperlink>
    </w:p>
    <w:p w14:paraId="27D6758A" w14:textId="77777777" w:rsidR="00E14206" w:rsidRDefault="00736FE4">
      <w:pPr>
        <w:pStyle w:val="TM2"/>
        <w:tabs>
          <w:tab w:val="right" w:leader="dot" w:pos="9182"/>
        </w:tabs>
        <w:rPr>
          <w:rFonts w:asciiTheme="minorHAnsi" w:hAnsiTheme="minorHAnsi"/>
          <w:smallCaps w:val="0"/>
          <w:noProof/>
          <w:sz w:val="22"/>
          <w:szCs w:val="22"/>
          <w:lang w:val="de-DE" w:eastAsia="de-DE"/>
        </w:rPr>
      </w:pPr>
      <w:hyperlink w:anchor="_Toc20505631" w:history="1">
        <w:r w:rsidR="00E14206" w:rsidRPr="00704300">
          <w:rPr>
            <w:rStyle w:val="Lienhypertexte"/>
            <w:noProof/>
            <w:lang w:eastAsia="fr-FR"/>
          </w:rPr>
          <w:t>2.3. L’impact socioéconomique de l’état de l’environnement</w:t>
        </w:r>
        <w:r w:rsidR="00E14206">
          <w:rPr>
            <w:noProof/>
            <w:webHidden/>
          </w:rPr>
          <w:tab/>
        </w:r>
        <w:r w:rsidR="00E14206">
          <w:rPr>
            <w:noProof/>
            <w:webHidden/>
          </w:rPr>
          <w:fldChar w:fldCharType="begin"/>
        </w:r>
        <w:r w:rsidR="00E14206">
          <w:rPr>
            <w:noProof/>
            <w:webHidden/>
          </w:rPr>
          <w:instrText xml:space="preserve"> PAGEREF _Toc20505631 \h </w:instrText>
        </w:r>
        <w:r w:rsidR="00E14206">
          <w:rPr>
            <w:noProof/>
            <w:webHidden/>
          </w:rPr>
        </w:r>
        <w:r w:rsidR="00E14206">
          <w:rPr>
            <w:noProof/>
            <w:webHidden/>
          </w:rPr>
          <w:fldChar w:fldCharType="separate"/>
        </w:r>
        <w:r w:rsidR="00196BE5">
          <w:rPr>
            <w:noProof/>
            <w:webHidden/>
          </w:rPr>
          <w:t>37</w:t>
        </w:r>
        <w:r w:rsidR="00E14206">
          <w:rPr>
            <w:noProof/>
            <w:webHidden/>
          </w:rPr>
          <w:fldChar w:fldCharType="end"/>
        </w:r>
      </w:hyperlink>
    </w:p>
    <w:p w14:paraId="696804A0"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32" w:history="1">
        <w:r w:rsidR="00E14206" w:rsidRPr="00704300">
          <w:rPr>
            <w:rStyle w:val="Lienhypertexte"/>
            <w:rFonts w:ascii="Arial" w:hAnsi="Arial"/>
            <w:noProof/>
          </w:rPr>
          <w:t>2.3.1 L’impact de la dégradation des ressources naturelles sur la pauvreté</w:t>
        </w:r>
        <w:r w:rsidR="00E14206">
          <w:rPr>
            <w:noProof/>
            <w:webHidden/>
          </w:rPr>
          <w:tab/>
        </w:r>
        <w:r w:rsidR="00E14206">
          <w:rPr>
            <w:noProof/>
            <w:webHidden/>
          </w:rPr>
          <w:fldChar w:fldCharType="begin"/>
        </w:r>
        <w:r w:rsidR="00E14206">
          <w:rPr>
            <w:noProof/>
            <w:webHidden/>
          </w:rPr>
          <w:instrText xml:space="preserve"> PAGEREF _Toc20505632 \h </w:instrText>
        </w:r>
        <w:r w:rsidR="00E14206">
          <w:rPr>
            <w:noProof/>
            <w:webHidden/>
          </w:rPr>
        </w:r>
        <w:r w:rsidR="00E14206">
          <w:rPr>
            <w:noProof/>
            <w:webHidden/>
          </w:rPr>
          <w:fldChar w:fldCharType="separate"/>
        </w:r>
        <w:r w:rsidR="00196BE5">
          <w:rPr>
            <w:noProof/>
            <w:webHidden/>
          </w:rPr>
          <w:t>37</w:t>
        </w:r>
        <w:r w:rsidR="00E14206">
          <w:rPr>
            <w:noProof/>
            <w:webHidden/>
          </w:rPr>
          <w:fldChar w:fldCharType="end"/>
        </w:r>
      </w:hyperlink>
    </w:p>
    <w:p w14:paraId="568651A1"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33" w:history="1">
        <w:r w:rsidR="00E14206" w:rsidRPr="00704300">
          <w:rPr>
            <w:rStyle w:val="Lienhypertexte"/>
            <w:rFonts w:ascii="Arial" w:hAnsi="Arial"/>
            <w:noProof/>
          </w:rPr>
          <w:t>2.3.2 Les déclins de productivité et la sécurité alimentaire</w:t>
        </w:r>
        <w:r w:rsidR="00E14206">
          <w:rPr>
            <w:noProof/>
            <w:webHidden/>
          </w:rPr>
          <w:tab/>
        </w:r>
        <w:r w:rsidR="00E14206">
          <w:rPr>
            <w:noProof/>
            <w:webHidden/>
          </w:rPr>
          <w:fldChar w:fldCharType="begin"/>
        </w:r>
        <w:r w:rsidR="00E14206">
          <w:rPr>
            <w:noProof/>
            <w:webHidden/>
          </w:rPr>
          <w:instrText xml:space="preserve"> PAGEREF _Toc20505633 \h </w:instrText>
        </w:r>
        <w:r w:rsidR="00E14206">
          <w:rPr>
            <w:noProof/>
            <w:webHidden/>
          </w:rPr>
        </w:r>
        <w:r w:rsidR="00E14206">
          <w:rPr>
            <w:noProof/>
            <w:webHidden/>
          </w:rPr>
          <w:fldChar w:fldCharType="separate"/>
        </w:r>
        <w:r w:rsidR="00196BE5">
          <w:rPr>
            <w:noProof/>
            <w:webHidden/>
          </w:rPr>
          <w:t>38</w:t>
        </w:r>
        <w:r w:rsidR="00E14206">
          <w:rPr>
            <w:noProof/>
            <w:webHidden/>
          </w:rPr>
          <w:fldChar w:fldCharType="end"/>
        </w:r>
      </w:hyperlink>
    </w:p>
    <w:p w14:paraId="79F66FB7"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34" w:history="1">
        <w:r w:rsidR="00E14206" w:rsidRPr="00704300">
          <w:rPr>
            <w:rStyle w:val="Lienhypertexte"/>
            <w:rFonts w:ascii="Arial" w:hAnsi="Arial"/>
            <w:noProof/>
          </w:rPr>
          <w:t>2.3.3 Les menaces sur la santé</w:t>
        </w:r>
        <w:r w:rsidR="00E14206">
          <w:rPr>
            <w:noProof/>
            <w:webHidden/>
          </w:rPr>
          <w:tab/>
        </w:r>
        <w:r w:rsidR="00E14206">
          <w:rPr>
            <w:noProof/>
            <w:webHidden/>
          </w:rPr>
          <w:fldChar w:fldCharType="begin"/>
        </w:r>
        <w:r w:rsidR="00E14206">
          <w:rPr>
            <w:noProof/>
            <w:webHidden/>
          </w:rPr>
          <w:instrText xml:space="preserve"> PAGEREF _Toc20505634 \h </w:instrText>
        </w:r>
        <w:r w:rsidR="00E14206">
          <w:rPr>
            <w:noProof/>
            <w:webHidden/>
          </w:rPr>
        </w:r>
        <w:r w:rsidR="00E14206">
          <w:rPr>
            <w:noProof/>
            <w:webHidden/>
          </w:rPr>
          <w:fldChar w:fldCharType="separate"/>
        </w:r>
        <w:r w:rsidR="00196BE5">
          <w:rPr>
            <w:noProof/>
            <w:webHidden/>
          </w:rPr>
          <w:t>38</w:t>
        </w:r>
        <w:r w:rsidR="00E14206">
          <w:rPr>
            <w:noProof/>
            <w:webHidden/>
          </w:rPr>
          <w:fldChar w:fldCharType="end"/>
        </w:r>
      </w:hyperlink>
    </w:p>
    <w:p w14:paraId="7E28C4B3"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35" w:history="1">
        <w:r w:rsidR="00E14206" w:rsidRPr="00704300">
          <w:rPr>
            <w:rStyle w:val="Lienhypertexte"/>
            <w:rFonts w:ascii="Arial" w:hAnsi="Arial"/>
            <w:noProof/>
          </w:rPr>
          <w:t>2.3.4 L’exposition aux catastrophes naturelles et la vulnérabilité des territoires et des bâtis aux aléas climatiques (inondations, sécheresses, criquets, épidémies)</w:t>
        </w:r>
        <w:r w:rsidR="00E14206">
          <w:rPr>
            <w:noProof/>
            <w:webHidden/>
          </w:rPr>
          <w:tab/>
        </w:r>
        <w:r w:rsidR="00E14206">
          <w:rPr>
            <w:noProof/>
            <w:webHidden/>
          </w:rPr>
          <w:fldChar w:fldCharType="begin"/>
        </w:r>
        <w:r w:rsidR="00E14206">
          <w:rPr>
            <w:noProof/>
            <w:webHidden/>
          </w:rPr>
          <w:instrText xml:space="preserve"> PAGEREF _Toc20505635 \h </w:instrText>
        </w:r>
        <w:r w:rsidR="00E14206">
          <w:rPr>
            <w:noProof/>
            <w:webHidden/>
          </w:rPr>
        </w:r>
        <w:r w:rsidR="00E14206">
          <w:rPr>
            <w:noProof/>
            <w:webHidden/>
          </w:rPr>
          <w:fldChar w:fldCharType="separate"/>
        </w:r>
        <w:r w:rsidR="00196BE5">
          <w:rPr>
            <w:noProof/>
            <w:webHidden/>
          </w:rPr>
          <w:t>39</w:t>
        </w:r>
        <w:r w:rsidR="00E14206">
          <w:rPr>
            <w:noProof/>
            <w:webHidden/>
          </w:rPr>
          <w:fldChar w:fldCharType="end"/>
        </w:r>
      </w:hyperlink>
    </w:p>
    <w:p w14:paraId="7D0F05BA"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36" w:history="1">
        <w:r w:rsidR="00E14206" w:rsidRPr="00704300">
          <w:rPr>
            <w:rStyle w:val="Lienhypertexte"/>
            <w:rFonts w:ascii="Arial" w:hAnsi="Arial"/>
            <w:noProof/>
          </w:rPr>
          <w:t>2.3.5 L’augmentation des conflits</w:t>
        </w:r>
        <w:r w:rsidR="00E14206">
          <w:rPr>
            <w:noProof/>
            <w:webHidden/>
          </w:rPr>
          <w:tab/>
        </w:r>
        <w:r w:rsidR="00E14206">
          <w:rPr>
            <w:noProof/>
            <w:webHidden/>
          </w:rPr>
          <w:fldChar w:fldCharType="begin"/>
        </w:r>
        <w:r w:rsidR="00E14206">
          <w:rPr>
            <w:noProof/>
            <w:webHidden/>
          </w:rPr>
          <w:instrText xml:space="preserve"> PAGEREF _Toc20505636 \h </w:instrText>
        </w:r>
        <w:r w:rsidR="00E14206">
          <w:rPr>
            <w:noProof/>
            <w:webHidden/>
          </w:rPr>
        </w:r>
        <w:r w:rsidR="00E14206">
          <w:rPr>
            <w:noProof/>
            <w:webHidden/>
          </w:rPr>
          <w:fldChar w:fldCharType="separate"/>
        </w:r>
        <w:r w:rsidR="00196BE5">
          <w:rPr>
            <w:noProof/>
            <w:webHidden/>
          </w:rPr>
          <w:t>40</w:t>
        </w:r>
        <w:r w:rsidR="00E14206">
          <w:rPr>
            <w:noProof/>
            <w:webHidden/>
          </w:rPr>
          <w:fldChar w:fldCharType="end"/>
        </w:r>
      </w:hyperlink>
    </w:p>
    <w:p w14:paraId="445BB6C4"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37" w:history="1">
        <w:r w:rsidR="00E14206" w:rsidRPr="00704300">
          <w:rPr>
            <w:rStyle w:val="Lienhypertexte"/>
            <w:rFonts w:ascii="Arial" w:hAnsi="Arial"/>
            <w:noProof/>
          </w:rPr>
          <w:t>2.3.6 L’impact sur les valeurs culturelles</w:t>
        </w:r>
        <w:r w:rsidR="00E14206">
          <w:rPr>
            <w:noProof/>
            <w:webHidden/>
          </w:rPr>
          <w:tab/>
        </w:r>
        <w:r w:rsidR="00E14206">
          <w:rPr>
            <w:noProof/>
            <w:webHidden/>
          </w:rPr>
          <w:fldChar w:fldCharType="begin"/>
        </w:r>
        <w:r w:rsidR="00E14206">
          <w:rPr>
            <w:noProof/>
            <w:webHidden/>
          </w:rPr>
          <w:instrText xml:space="preserve"> PAGEREF _Toc20505637 \h </w:instrText>
        </w:r>
        <w:r w:rsidR="00E14206">
          <w:rPr>
            <w:noProof/>
            <w:webHidden/>
          </w:rPr>
        </w:r>
        <w:r w:rsidR="00E14206">
          <w:rPr>
            <w:noProof/>
            <w:webHidden/>
          </w:rPr>
          <w:fldChar w:fldCharType="separate"/>
        </w:r>
        <w:r w:rsidR="00196BE5">
          <w:rPr>
            <w:noProof/>
            <w:webHidden/>
          </w:rPr>
          <w:t>41</w:t>
        </w:r>
        <w:r w:rsidR="00E14206">
          <w:rPr>
            <w:noProof/>
            <w:webHidden/>
          </w:rPr>
          <w:fldChar w:fldCharType="end"/>
        </w:r>
      </w:hyperlink>
    </w:p>
    <w:p w14:paraId="0D7F6355"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38" w:history="1">
        <w:r w:rsidR="00E14206" w:rsidRPr="00704300">
          <w:rPr>
            <w:rStyle w:val="Lienhypertexte"/>
            <w:rFonts w:ascii="Arial" w:hAnsi="Arial"/>
            <w:noProof/>
          </w:rPr>
          <w:t>2.3.7 Les coûts de la dégradation de l’environnement</w:t>
        </w:r>
        <w:r w:rsidR="00E14206">
          <w:rPr>
            <w:noProof/>
            <w:webHidden/>
          </w:rPr>
          <w:tab/>
        </w:r>
        <w:r w:rsidR="00E14206">
          <w:rPr>
            <w:noProof/>
            <w:webHidden/>
          </w:rPr>
          <w:fldChar w:fldCharType="begin"/>
        </w:r>
        <w:r w:rsidR="00E14206">
          <w:rPr>
            <w:noProof/>
            <w:webHidden/>
          </w:rPr>
          <w:instrText xml:space="preserve"> PAGEREF _Toc20505638 \h </w:instrText>
        </w:r>
        <w:r w:rsidR="00E14206">
          <w:rPr>
            <w:noProof/>
            <w:webHidden/>
          </w:rPr>
        </w:r>
        <w:r w:rsidR="00E14206">
          <w:rPr>
            <w:noProof/>
            <w:webHidden/>
          </w:rPr>
          <w:fldChar w:fldCharType="separate"/>
        </w:r>
        <w:r w:rsidR="00196BE5">
          <w:rPr>
            <w:noProof/>
            <w:webHidden/>
          </w:rPr>
          <w:t>41</w:t>
        </w:r>
        <w:r w:rsidR="00E14206">
          <w:rPr>
            <w:noProof/>
            <w:webHidden/>
          </w:rPr>
          <w:fldChar w:fldCharType="end"/>
        </w:r>
      </w:hyperlink>
    </w:p>
    <w:p w14:paraId="6B127D75" w14:textId="77777777" w:rsidR="00E14206" w:rsidRDefault="00736FE4">
      <w:pPr>
        <w:pStyle w:val="TM1"/>
        <w:tabs>
          <w:tab w:val="right" w:leader="dot" w:pos="9182"/>
        </w:tabs>
        <w:rPr>
          <w:rFonts w:asciiTheme="minorHAnsi" w:hAnsiTheme="minorHAnsi"/>
          <w:b w:val="0"/>
          <w:bCs w:val="0"/>
          <w:caps w:val="0"/>
          <w:noProof/>
          <w:sz w:val="22"/>
          <w:szCs w:val="22"/>
          <w:lang w:val="de-DE" w:eastAsia="de-DE"/>
        </w:rPr>
      </w:pPr>
      <w:hyperlink w:anchor="_Toc20505639" w:history="1">
        <w:r w:rsidR="00E14206" w:rsidRPr="00704300">
          <w:rPr>
            <w:rStyle w:val="Lienhypertexte"/>
            <w:noProof/>
          </w:rPr>
          <w:t>3. Politique environnementale, cadre institutionnel et législatif</w:t>
        </w:r>
        <w:r w:rsidR="00E14206">
          <w:rPr>
            <w:noProof/>
            <w:webHidden/>
          </w:rPr>
          <w:tab/>
        </w:r>
        <w:r w:rsidR="00E14206">
          <w:rPr>
            <w:noProof/>
            <w:webHidden/>
          </w:rPr>
          <w:fldChar w:fldCharType="begin"/>
        </w:r>
        <w:r w:rsidR="00E14206">
          <w:rPr>
            <w:noProof/>
            <w:webHidden/>
          </w:rPr>
          <w:instrText xml:space="preserve"> PAGEREF _Toc20505639 \h </w:instrText>
        </w:r>
        <w:r w:rsidR="00E14206">
          <w:rPr>
            <w:noProof/>
            <w:webHidden/>
          </w:rPr>
        </w:r>
        <w:r w:rsidR="00E14206">
          <w:rPr>
            <w:noProof/>
            <w:webHidden/>
          </w:rPr>
          <w:fldChar w:fldCharType="separate"/>
        </w:r>
        <w:r w:rsidR="00196BE5">
          <w:rPr>
            <w:noProof/>
            <w:webHidden/>
          </w:rPr>
          <w:t>41</w:t>
        </w:r>
        <w:r w:rsidR="00E14206">
          <w:rPr>
            <w:noProof/>
            <w:webHidden/>
          </w:rPr>
          <w:fldChar w:fldCharType="end"/>
        </w:r>
      </w:hyperlink>
    </w:p>
    <w:p w14:paraId="3F63D994" w14:textId="77777777" w:rsidR="00E14206" w:rsidRDefault="00736FE4">
      <w:pPr>
        <w:pStyle w:val="TM2"/>
        <w:tabs>
          <w:tab w:val="right" w:leader="dot" w:pos="9182"/>
        </w:tabs>
        <w:rPr>
          <w:rFonts w:asciiTheme="minorHAnsi" w:hAnsiTheme="minorHAnsi"/>
          <w:smallCaps w:val="0"/>
          <w:noProof/>
          <w:sz w:val="22"/>
          <w:szCs w:val="22"/>
          <w:lang w:val="de-DE" w:eastAsia="de-DE"/>
        </w:rPr>
      </w:pPr>
      <w:hyperlink w:anchor="_Toc20505640" w:history="1">
        <w:r w:rsidR="00E14206" w:rsidRPr="00704300">
          <w:rPr>
            <w:rStyle w:val="Lienhypertexte"/>
            <w:noProof/>
            <w:lang w:eastAsia="fr-FR"/>
          </w:rPr>
          <w:t>3.1. Les politique et législation environnementales</w:t>
        </w:r>
        <w:r w:rsidR="00E14206">
          <w:rPr>
            <w:noProof/>
            <w:webHidden/>
          </w:rPr>
          <w:tab/>
        </w:r>
        <w:r w:rsidR="00E14206">
          <w:rPr>
            <w:noProof/>
            <w:webHidden/>
          </w:rPr>
          <w:fldChar w:fldCharType="begin"/>
        </w:r>
        <w:r w:rsidR="00E14206">
          <w:rPr>
            <w:noProof/>
            <w:webHidden/>
          </w:rPr>
          <w:instrText xml:space="preserve"> PAGEREF _Toc20505640 \h </w:instrText>
        </w:r>
        <w:r w:rsidR="00E14206">
          <w:rPr>
            <w:noProof/>
            <w:webHidden/>
          </w:rPr>
        </w:r>
        <w:r w:rsidR="00E14206">
          <w:rPr>
            <w:noProof/>
            <w:webHidden/>
          </w:rPr>
          <w:fldChar w:fldCharType="separate"/>
        </w:r>
        <w:r w:rsidR="00196BE5">
          <w:rPr>
            <w:noProof/>
            <w:webHidden/>
          </w:rPr>
          <w:t>42</w:t>
        </w:r>
        <w:r w:rsidR="00E14206">
          <w:rPr>
            <w:noProof/>
            <w:webHidden/>
          </w:rPr>
          <w:fldChar w:fldCharType="end"/>
        </w:r>
      </w:hyperlink>
    </w:p>
    <w:p w14:paraId="749EE824"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41" w:history="1">
        <w:r w:rsidR="00E14206" w:rsidRPr="00704300">
          <w:rPr>
            <w:rStyle w:val="Lienhypertexte"/>
            <w:rFonts w:ascii="Arial" w:hAnsi="Arial"/>
            <w:noProof/>
          </w:rPr>
          <w:t>3.1.1 Politiques, stratégies et plans d’actions nationaux</w:t>
        </w:r>
        <w:r w:rsidR="00E14206">
          <w:rPr>
            <w:noProof/>
            <w:webHidden/>
          </w:rPr>
          <w:tab/>
        </w:r>
        <w:r w:rsidR="00E14206">
          <w:rPr>
            <w:noProof/>
            <w:webHidden/>
          </w:rPr>
          <w:fldChar w:fldCharType="begin"/>
        </w:r>
        <w:r w:rsidR="00E14206">
          <w:rPr>
            <w:noProof/>
            <w:webHidden/>
          </w:rPr>
          <w:instrText xml:space="preserve"> PAGEREF _Toc20505641 \h </w:instrText>
        </w:r>
        <w:r w:rsidR="00E14206">
          <w:rPr>
            <w:noProof/>
            <w:webHidden/>
          </w:rPr>
        </w:r>
        <w:r w:rsidR="00E14206">
          <w:rPr>
            <w:noProof/>
            <w:webHidden/>
          </w:rPr>
          <w:fldChar w:fldCharType="separate"/>
        </w:r>
        <w:r w:rsidR="00196BE5">
          <w:rPr>
            <w:noProof/>
            <w:webHidden/>
          </w:rPr>
          <w:t>42</w:t>
        </w:r>
        <w:r w:rsidR="00E14206">
          <w:rPr>
            <w:noProof/>
            <w:webHidden/>
          </w:rPr>
          <w:fldChar w:fldCharType="end"/>
        </w:r>
      </w:hyperlink>
    </w:p>
    <w:p w14:paraId="0F3CA411"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42" w:history="1">
        <w:r w:rsidR="00E14206" w:rsidRPr="00704300">
          <w:rPr>
            <w:rStyle w:val="Lienhypertexte"/>
            <w:rFonts w:ascii="Arial" w:hAnsi="Arial"/>
            <w:noProof/>
          </w:rPr>
          <w:t>3.1.2 L’intégration des aspects environnementaux aux politiques sectorielles</w:t>
        </w:r>
        <w:r w:rsidR="00E14206">
          <w:rPr>
            <w:noProof/>
            <w:webHidden/>
          </w:rPr>
          <w:tab/>
        </w:r>
        <w:r w:rsidR="00E14206">
          <w:rPr>
            <w:noProof/>
            <w:webHidden/>
          </w:rPr>
          <w:fldChar w:fldCharType="begin"/>
        </w:r>
        <w:r w:rsidR="00E14206">
          <w:rPr>
            <w:noProof/>
            <w:webHidden/>
          </w:rPr>
          <w:instrText xml:space="preserve"> PAGEREF _Toc20505642 \h </w:instrText>
        </w:r>
        <w:r w:rsidR="00E14206">
          <w:rPr>
            <w:noProof/>
            <w:webHidden/>
          </w:rPr>
        </w:r>
        <w:r w:rsidR="00E14206">
          <w:rPr>
            <w:noProof/>
            <w:webHidden/>
          </w:rPr>
          <w:fldChar w:fldCharType="separate"/>
        </w:r>
        <w:r w:rsidR="00196BE5">
          <w:rPr>
            <w:noProof/>
            <w:webHidden/>
          </w:rPr>
          <w:t>43</w:t>
        </w:r>
        <w:r w:rsidR="00E14206">
          <w:rPr>
            <w:noProof/>
            <w:webHidden/>
          </w:rPr>
          <w:fldChar w:fldCharType="end"/>
        </w:r>
      </w:hyperlink>
    </w:p>
    <w:p w14:paraId="246EE4BD"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43" w:history="1">
        <w:r w:rsidR="00E14206" w:rsidRPr="00704300">
          <w:rPr>
            <w:rStyle w:val="Lienhypertexte"/>
            <w:rFonts w:ascii="Arial" w:hAnsi="Arial"/>
            <w:noProof/>
          </w:rPr>
          <w:t>3.1.3 Les législations et règlementations régissant la préservation de l’environnement et l’application sur le terrain</w:t>
        </w:r>
        <w:r w:rsidR="00E14206">
          <w:rPr>
            <w:noProof/>
            <w:webHidden/>
          </w:rPr>
          <w:tab/>
        </w:r>
        <w:r w:rsidR="00E14206">
          <w:rPr>
            <w:noProof/>
            <w:webHidden/>
          </w:rPr>
          <w:fldChar w:fldCharType="begin"/>
        </w:r>
        <w:r w:rsidR="00E14206">
          <w:rPr>
            <w:noProof/>
            <w:webHidden/>
          </w:rPr>
          <w:instrText xml:space="preserve"> PAGEREF _Toc20505643 \h </w:instrText>
        </w:r>
        <w:r w:rsidR="00E14206">
          <w:rPr>
            <w:noProof/>
            <w:webHidden/>
          </w:rPr>
        </w:r>
        <w:r w:rsidR="00E14206">
          <w:rPr>
            <w:noProof/>
            <w:webHidden/>
          </w:rPr>
          <w:fldChar w:fldCharType="separate"/>
        </w:r>
        <w:r w:rsidR="00196BE5">
          <w:rPr>
            <w:noProof/>
            <w:webHidden/>
          </w:rPr>
          <w:t>44</w:t>
        </w:r>
        <w:r w:rsidR="00E14206">
          <w:rPr>
            <w:noProof/>
            <w:webHidden/>
          </w:rPr>
          <w:fldChar w:fldCharType="end"/>
        </w:r>
      </w:hyperlink>
    </w:p>
    <w:p w14:paraId="4D49E1DA"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44" w:history="1">
        <w:r w:rsidR="00E14206" w:rsidRPr="00704300">
          <w:rPr>
            <w:rStyle w:val="Lienhypertexte"/>
            <w:rFonts w:ascii="Arial" w:hAnsi="Arial"/>
            <w:noProof/>
          </w:rPr>
          <w:t>3.1.4 La place accordée à l’approche participative dans la rédaction et la mise en œuvre des politiques, stratégies et plans d’actions dans le domaine de la protection de l’environnement</w:t>
        </w:r>
        <w:r w:rsidR="00E14206">
          <w:rPr>
            <w:noProof/>
            <w:webHidden/>
          </w:rPr>
          <w:tab/>
        </w:r>
        <w:r w:rsidR="00E14206">
          <w:rPr>
            <w:noProof/>
            <w:webHidden/>
          </w:rPr>
          <w:fldChar w:fldCharType="begin"/>
        </w:r>
        <w:r w:rsidR="00E14206">
          <w:rPr>
            <w:noProof/>
            <w:webHidden/>
          </w:rPr>
          <w:instrText xml:space="preserve"> PAGEREF _Toc20505644 \h </w:instrText>
        </w:r>
        <w:r w:rsidR="00E14206">
          <w:rPr>
            <w:noProof/>
            <w:webHidden/>
          </w:rPr>
        </w:r>
        <w:r w:rsidR="00E14206">
          <w:rPr>
            <w:noProof/>
            <w:webHidden/>
          </w:rPr>
          <w:fldChar w:fldCharType="separate"/>
        </w:r>
        <w:r w:rsidR="00196BE5">
          <w:rPr>
            <w:noProof/>
            <w:webHidden/>
          </w:rPr>
          <w:t>45</w:t>
        </w:r>
        <w:r w:rsidR="00E14206">
          <w:rPr>
            <w:noProof/>
            <w:webHidden/>
          </w:rPr>
          <w:fldChar w:fldCharType="end"/>
        </w:r>
      </w:hyperlink>
    </w:p>
    <w:p w14:paraId="266A5511"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45" w:history="1">
        <w:r w:rsidR="00E14206" w:rsidRPr="00704300">
          <w:rPr>
            <w:rStyle w:val="Lienhypertexte"/>
            <w:rFonts w:ascii="Arial" w:hAnsi="Arial"/>
            <w:noProof/>
          </w:rPr>
          <w:t>3.1.5 La décentralisation des thématiques liées à l’environnement et le transfert des compétences aux collectivités territoriales</w:t>
        </w:r>
        <w:r w:rsidR="00E14206">
          <w:rPr>
            <w:noProof/>
            <w:webHidden/>
          </w:rPr>
          <w:tab/>
        </w:r>
        <w:r w:rsidR="00E14206">
          <w:rPr>
            <w:noProof/>
            <w:webHidden/>
          </w:rPr>
          <w:fldChar w:fldCharType="begin"/>
        </w:r>
        <w:r w:rsidR="00E14206">
          <w:rPr>
            <w:noProof/>
            <w:webHidden/>
          </w:rPr>
          <w:instrText xml:space="preserve"> PAGEREF _Toc20505645 \h </w:instrText>
        </w:r>
        <w:r w:rsidR="00E14206">
          <w:rPr>
            <w:noProof/>
            <w:webHidden/>
          </w:rPr>
        </w:r>
        <w:r w:rsidR="00E14206">
          <w:rPr>
            <w:noProof/>
            <w:webHidden/>
          </w:rPr>
          <w:fldChar w:fldCharType="separate"/>
        </w:r>
        <w:r w:rsidR="00196BE5">
          <w:rPr>
            <w:noProof/>
            <w:webHidden/>
          </w:rPr>
          <w:t>45</w:t>
        </w:r>
        <w:r w:rsidR="00E14206">
          <w:rPr>
            <w:noProof/>
            <w:webHidden/>
          </w:rPr>
          <w:fldChar w:fldCharType="end"/>
        </w:r>
      </w:hyperlink>
    </w:p>
    <w:p w14:paraId="584E4417"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46" w:history="1">
        <w:r w:rsidR="00E14206" w:rsidRPr="00704300">
          <w:rPr>
            <w:rStyle w:val="Lienhypertexte"/>
            <w:rFonts w:ascii="Arial" w:hAnsi="Arial"/>
            <w:noProof/>
          </w:rPr>
          <w:t>3.1.6 La situation du Mali au regard des principales conventions et alliances internationales et régionales</w:t>
        </w:r>
        <w:r w:rsidR="00E14206">
          <w:rPr>
            <w:noProof/>
            <w:webHidden/>
          </w:rPr>
          <w:tab/>
        </w:r>
        <w:r w:rsidR="00E14206">
          <w:rPr>
            <w:noProof/>
            <w:webHidden/>
          </w:rPr>
          <w:fldChar w:fldCharType="begin"/>
        </w:r>
        <w:r w:rsidR="00E14206">
          <w:rPr>
            <w:noProof/>
            <w:webHidden/>
          </w:rPr>
          <w:instrText xml:space="preserve"> PAGEREF _Toc20505646 \h </w:instrText>
        </w:r>
        <w:r w:rsidR="00E14206">
          <w:rPr>
            <w:noProof/>
            <w:webHidden/>
          </w:rPr>
        </w:r>
        <w:r w:rsidR="00E14206">
          <w:rPr>
            <w:noProof/>
            <w:webHidden/>
          </w:rPr>
          <w:fldChar w:fldCharType="separate"/>
        </w:r>
        <w:r w:rsidR="00196BE5">
          <w:rPr>
            <w:noProof/>
            <w:webHidden/>
          </w:rPr>
          <w:t>46</w:t>
        </w:r>
        <w:r w:rsidR="00E14206">
          <w:rPr>
            <w:noProof/>
            <w:webHidden/>
          </w:rPr>
          <w:fldChar w:fldCharType="end"/>
        </w:r>
      </w:hyperlink>
    </w:p>
    <w:p w14:paraId="4D971B2B" w14:textId="77777777" w:rsidR="00E14206" w:rsidRDefault="00736FE4">
      <w:pPr>
        <w:pStyle w:val="TM2"/>
        <w:tabs>
          <w:tab w:val="right" w:leader="dot" w:pos="9182"/>
        </w:tabs>
        <w:rPr>
          <w:rFonts w:asciiTheme="minorHAnsi" w:hAnsiTheme="minorHAnsi"/>
          <w:smallCaps w:val="0"/>
          <w:noProof/>
          <w:sz w:val="22"/>
          <w:szCs w:val="22"/>
          <w:lang w:val="de-DE" w:eastAsia="de-DE"/>
        </w:rPr>
      </w:pPr>
      <w:hyperlink w:anchor="_Toc20505647" w:history="1">
        <w:r w:rsidR="00E14206" w:rsidRPr="00704300">
          <w:rPr>
            <w:rStyle w:val="Lienhypertexte"/>
            <w:noProof/>
            <w:lang w:eastAsia="fr-FR"/>
          </w:rPr>
          <w:t>3.2. Cadre institutionnel en matière d’environnement</w:t>
        </w:r>
        <w:r w:rsidR="00E14206">
          <w:rPr>
            <w:noProof/>
            <w:webHidden/>
          </w:rPr>
          <w:tab/>
        </w:r>
        <w:r w:rsidR="00E14206">
          <w:rPr>
            <w:noProof/>
            <w:webHidden/>
          </w:rPr>
          <w:fldChar w:fldCharType="begin"/>
        </w:r>
        <w:r w:rsidR="00E14206">
          <w:rPr>
            <w:noProof/>
            <w:webHidden/>
          </w:rPr>
          <w:instrText xml:space="preserve"> PAGEREF _Toc20505647 \h </w:instrText>
        </w:r>
        <w:r w:rsidR="00E14206">
          <w:rPr>
            <w:noProof/>
            <w:webHidden/>
          </w:rPr>
        </w:r>
        <w:r w:rsidR="00E14206">
          <w:rPr>
            <w:noProof/>
            <w:webHidden/>
          </w:rPr>
          <w:fldChar w:fldCharType="separate"/>
        </w:r>
        <w:r w:rsidR="00196BE5">
          <w:rPr>
            <w:noProof/>
            <w:webHidden/>
          </w:rPr>
          <w:t>47</w:t>
        </w:r>
        <w:r w:rsidR="00E14206">
          <w:rPr>
            <w:noProof/>
            <w:webHidden/>
          </w:rPr>
          <w:fldChar w:fldCharType="end"/>
        </w:r>
      </w:hyperlink>
    </w:p>
    <w:p w14:paraId="38FA2148"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48" w:history="1">
        <w:r w:rsidR="00E14206" w:rsidRPr="00704300">
          <w:rPr>
            <w:rStyle w:val="Lienhypertexte"/>
            <w:rFonts w:ascii="Arial" w:hAnsi="Arial"/>
            <w:noProof/>
          </w:rPr>
          <w:t>3.2.1 Les structures institutionnelles et distribution des responsabilités</w:t>
        </w:r>
        <w:r w:rsidR="00E14206">
          <w:rPr>
            <w:noProof/>
            <w:webHidden/>
          </w:rPr>
          <w:tab/>
        </w:r>
        <w:r w:rsidR="00E14206">
          <w:rPr>
            <w:noProof/>
            <w:webHidden/>
          </w:rPr>
          <w:fldChar w:fldCharType="begin"/>
        </w:r>
        <w:r w:rsidR="00E14206">
          <w:rPr>
            <w:noProof/>
            <w:webHidden/>
          </w:rPr>
          <w:instrText xml:space="preserve"> PAGEREF _Toc20505648 \h </w:instrText>
        </w:r>
        <w:r w:rsidR="00E14206">
          <w:rPr>
            <w:noProof/>
            <w:webHidden/>
          </w:rPr>
        </w:r>
        <w:r w:rsidR="00E14206">
          <w:rPr>
            <w:noProof/>
            <w:webHidden/>
          </w:rPr>
          <w:fldChar w:fldCharType="separate"/>
        </w:r>
        <w:r w:rsidR="00196BE5">
          <w:rPr>
            <w:noProof/>
            <w:webHidden/>
          </w:rPr>
          <w:t>47</w:t>
        </w:r>
        <w:r w:rsidR="00E14206">
          <w:rPr>
            <w:noProof/>
            <w:webHidden/>
          </w:rPr>
          <w:fldChar w:fldCharType="end"/>
        </w:r>
      </w:hyperlink>
    </w:p>
    <w:p w14:paraId="6EDB86C5"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49" w:history="1">
        <w:r w:rsidR="00E14206" w:rsidRPr="00704300">
          <w:rPr>
            <w:rStyle w:val="Lienhypertexte"/>
            <w:rFonts w:ascii="Arial" w:hAnsi="Arial"/>
            <w:noProof/>
          </w:rPr>
          <w:t>3.2.2 La coordination entre les diverses institutions ou ministères impliqués dans la gestion des ressources naturelles</w:t>
        </w:r>
        <w:r w:rsidR="00E14206">
          <w:rPr>
            <w:noProof/>
            <w:webHidden/>
          </w:rPr>
          <w:tab/>
        </w:r>
        <w:r w:rsidR="00E14206">
          <w:rPr>
            <w:noProof/>
            <w:webHidden/>
          </w:rPr>
          <w:fldChar w:fldCharType="begin"/>
        </w:r>
        <w:r w:rsidR="00E14206">
          <w:rPr>
            <w:noProof/>
            <w:webHidden/>
          </w:rPr>
          <w:instrText xml:space="preserve"> PAGEREF _Toc20505649 \h </w:instrText>
        </w:r>
        <w:r w:rsidR="00E14206">
          <w:rPr>
            <w:noProof/>
            <w:webHidden/>
          </w:rPr>
        </w:r>
        <w:r w:rsidR="00E14206">
          <w:rPr>
            <w:noProof/>
            <w:webHidden/>
          </w:rPr>
          <w:fldChar w:fldCharType="separate"/>
        </w:r>
        <w:r w:rsidR="00196BE5">
          <w:rPr>
            <w:noProof/>
            <w:webHidden/>
          </w:rPr>
          <w:t>48</w:t>
        </w:r>
        <w:r w:rsidR="00E14206">
          <w:rPr>
            <w:noProof/>
            <w:webHidden/>
          </w:rPr>
          <w:fldChar w:fldCharType="end"/>
        </w:r>
      </w:hyperlink>
    </w:p>
    <w:p w14:paraId="76CE1592"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50" w:history="1">
        <w:r w:rsidR="00E14206" w:rsidRPr="00704300">
          <w:rPr>
            <w:rStyle w:val="Lienhypertexte"/>
            <w:rFonts w:ascii="Arial" w:hAnsi="Arial"/>
            <w:noProof/>
          </w:rPr>
          <w:t>3.2.3 Le rôle actuel et potentiel de la société civile et du secteur privé</w:t>
        </w:r>
        <w:r w:rsidR="00E14206">
          <w:rPr>
            <w:noProof/>
            <w:webHidden/>
          </w:rPr>
          <w:tab/>
        </w:r>
        <w:r w:rsidR="00E14206">
          <w:rPr>
            <w:noProof/>
            <w:webHidden/>
          </w:rPr>
          <w:fldChar w:fldCharType="begin"/>
        </w:r>
        <w:r w:rsidR="00E14206">
          <w:rPr>
            <w:noProof/>
            <w:webHidden/>
          </w:rPr>
          <w:instrText xml:space="preserve"> PAGEREF _Toc20505650 \h </w:instrText>
        </w:r>
        <w:r w:rsidR="00E14206">
          <w:rPr>
            <w:noProof/>
            <w:webHidden/>
          </w:rPr>
        </w:r>
        <w:r w:rsidR="00E14206">
          <w:rPr>
            <w:noProof/>
            <w:webHidden/>
          </w:rPr>
          <w:fldChar w:fldCharType="separate"/>
        </w:r>
        <w:r w:rsidR="00196BE5">
          <w:rPr>
            <w:noProof/>
            <w:webHidden/>
          </w:rPr>
          <w:t>49</w:t>
        </w:r>
        <w:r w:rsidR="00E14206">
          <w:rPr>
            <w:noProof/>
            <w:webHidden/>
          </w:rPr>
          <w:fldChar w:fldCharType="end"/>
        </w:r>
      </w:hyperlink>
    </w:p>
    <w:p w14:paraId="5B1E725B"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51" w:history="1">
        <w:r w:rsidR="00E14206" w:rsidRPr="00704300">
          <w:rPr>
            <w:rStyle w:val="Lienhypertexte"/>
            <w:rFonts w:ascii="Arial" w:hAnsi="Arial"/>
            <w:noProof/>
          </w:rPr>
          <w:t>3.2.4 Les capacités et moyens disponibles au niveau des autorités responsables de la gestion de l’environnement.</w:t>
        </w:r>
        <w:r w:rsidR="00E14206">
          <w:rPr>
            <w:noProof/>
            <w:webHidden/>
          </w:rPr>
          <w:tab/>
        </w:r>
        <w:r w:rsidR="00E14206">
          <w:rPr>
            <w:noProof/>
            <w:webHidden/>
          </w:rPr>
          <w:fldChar w:fldCharType="begin"/>
        </w:r>
        <w:r w:rsidR="00E14206">
          <w:rPr>
            <w:noProof/>
            <w:webHidden/>
          </w:rPr>
          <w:instrText xml:space="preserve"> PAGEREF _Toc20505651 \h </w:instrText>
        </w:r>
        <w:r w:rsidR="00E14206">
          <w:rPr>
            <w:noProof/>
            <w:webHidden/>
          </w:rPr>
        </w:r>
        <w:r w:rsidR="00E14206">
          <w:rPr>
            <w:noProof/>
            <w:webHidden/>
          </w:rPr>
          <w:fldChar w:fldCharType="separate"/>
        </w:r>
        <w:r w:rsidR="00196BE5">
          <w:rPr>
            <w:noProof/>
            <w:webHidden/>
          </w:rPr>
          <w:t>50</w:t>
        </w:r>
        <w:r w:rsidR="00E14206">
          <w:rPr>
            <w:noProof/>
            <w:webHidden/>
          </w:rPr>
          <w:fldChar w:fldCharType="end"/>
        </w:r>
      </w:hyperlink>
    </w:p>
    <w:p w14:paraId="3A15F1B0"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52" w:history="1">
        <w:r w:rsidR="00E14206" w:rsidRPr="00704300">
          <w:rPr>
            <w:rStyle w:val="Lienhypertexte"/>
            <w:rFonts w:ascii="Arial" w:hAnsi="Arial"/>
            <w:noProof/>
          </w:rPr>
          <w:t>3.2.5 La gestion des aires protégées</w:t>
        </w:r>
        <w:r w:rsidR="00E14206">
          <w:rPr>
            <w:noProof/>
            <w:webHidden/>
          </w:rPr>
          <w:tab/>
        </w:r>
        <w:r w:rsidR="00E14206">
          <w:rPr>
            <w:noProof/>
            <w:webHidden/>
          </w:rPr>
          <w:fldChar w:fldCharType="begin"/>
        </w:r>
        <w:r w:rsidR="00E14206">
          <w:rPr>
            <w:noProof/>
            <w:webHidden/>
          </w:rPr>
          <w:instrText xml:space="preserve"> PAGEREF _Toc20505652 \h </w:instrText>
        </w:r>
        <w:r w:rsidR="00E14206">
          <w:rPr>
            <w:noProof/>
            <w:webHidden/>
          </w:rPr>
        </w:r>
        <w:r w:rsidR="00E14206">
          <w:rPr>
            <w:noProof/>
            <w:webHidden/>
          </w:rPr>
          <w:fldChar w:fldCharType="separate"/>
        </w:r>
        <w:r w:rsidR="00196BE5">
          <w:rPr>
            <w:noProof/>
            <w:webHidden/>
          </w:rPr>
          <w:t>51</w:t>
        </w:r>
        <w:r w:rsidR="00E14206">
          <w:rPr>
            <w:noProof/>
            <w:webHidden/>
          </w:rPr>
          <w:fldChar w:fldCharType="end"/>
        </w:r>
      </w:hyperlink>
    </w:p>
    <w:p w14:paraId="76E5C49A"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53" w:history="1">
        <w:r w:rsidR="00E14206" w:rsidRPr="00704300">
          <w:rPr>
            <w:rStyle w:val="Lienhypertexte"/>
            <w:rFonts w:ascii="Arial" w:hAnsi="Arial"/>
            <w:noProof/>
          </w:rPr>
          <w:t>3.2.6 L’accès à l’information et à la justice ainsi que la participation du public au processus décisionnel (principe 10 de la Déclaration de Rio)</w:t>
        </w:r>
        <w:r w:rsidR="00E14206">
          <w:rPr>
            <w:noProof/>
            <w:webHidden/>
          </w:rPr>
          <w:tab/>
        </w:r>
        <w:r w:rsidR="00E14206">
          <w:rPr>
            <w:noProof/>
            <w:webHidden/>
          </w:rPr>
          <w:fldChar w:fldCharType="begin"/>
        </w:r>
        <w:r w:rsidR="00E14206">
          <w:rPr>
            <w:noProof/>
            <w:webHidden/>
          </w:rPr>
          <w:instrText xml:space="preserve"> PAGEREF _Toc20505653 \h </w:instrText>
        </w:r>
        <w:r w:rsidR="00E14206">
          <w:rPr>
            <w:noProof/>
            <w:webHidden/>
          </w:rPr>
        </w:r>
        <w:r w:rsidR="00E14206">
          <w:rPr>
            <w:noProof/>
            <w:webHidden/>
          </w:rPr>
          <w:fldChar w:fldCharType="separate"/>
        </w:r>
        <w:r w:rsidR="00196BE5">
          <w:rPr>
            <w:noProof/>
            <w:webHidden/>
          </w:rPr>
          <w:t>51</w:t>
        </w:r>
        <w:r w:rsidR="00E14206">
          <w:rPr>
            <w:noProof/>
            <w:webHidden/>
          </w:rPr>
          <w:fldChar w:fldCharType="end"/>
        </w:r>
      </w:hyperlink>
    </w:p>
    <w:p w14:paraId="67B435B7" w14:textId="77777777" w:rsidR="00E14206" w:rsidRDefault="00736FE4">
      <w:pPr>
        <w:pStyle w:val="TM2"/>
        <w:tabs>
          <w:tab w:val="right" w:leader="dot" w:pos="9182"/>
        </w:tabs>
        <w:rPr>
          <w:rFonts w:asciiTheme="minorHAnsi" w:hAnsiTheme="minorHAnsi"/>
          <w:smallCaps w:val="0"/>
          <w:noProof/>
          <w:sz w:val="22"/>
          <w:szCs w:val="22"/>
          <w:lang w:val="de-DE" w:eastAsia="de-DE"/>
        </w:rPr>
      </w:pPr>
      <w:hyperlink w:anchor="_Toc20505654" w:history="1">
        <w:r w:rsidR="00E14206" w:rsidRPr="00704300">
          <w:rPr>
            <w:rStyle w:val="Lienhypertexte"/>
            <w:noProof/>
            <w:lang w:eastAsia="fr-FR"/>
          </w:rPr>
          <w:t>3.3 Les indicateurs environnementaux et le système de suivi environnemental</w:t>
        </w:r>
        <w:r w:rsidR="00E14206">
          <w:rPr>
            <w:noProof/>
            <w:webHidden/>
          </w:rPr>
          <w:tab/>
        </w:r>
        <w:r w:rsidR="00E14206">
          <w:rPr>
            <w:noProof/>
            <w:webHidden/>
          </w:rPr>
          <w:fldChar w:fldCharType="begin"/>
        </w:r>
        <w:r w:rsidR="00E14206">
          <w:rPr>
            <w:noProof/>
            <w:webHidden/>
          </w:rPr>
          <w:instrText xml:space="preserve"> PAGEREF _Toc20505654 \h </w:instrText>
        </w:r>
        <w:r w:rsidR="00E14206">
          <w:rPr>
            <w:noProof/>
            <w:webHidden/>
          </w:rPr>
        </w:r>
        <w:r w:rsidR="00E14206">
          <w:rPr>
            <w:noProof/>
            <w:webHidden/>
          </w:rPr>
          <w:fldChar w:fldCharType="separate"/>
        </w:r>
        <w:r w:rsidR="00196BE5">
          <w:rPr>
            <w:noProof/>
            <w:webHidden/>
          </w:rPr>
          <w:t>52</w:t>
        </w:r>
        <w:r w:rsidR="00E14206">
          <w:rPr>
            <w:noProof/>
            <w:webHidden/>
          </w:rPr>
          <w:fldChar w:fldCharType="end"/>
        </w:r>
      </w:hyperlink>
    </w:p>
    <w:p w14:paraId="077D8B5F"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55" w:history="1">
        <w:r w:rsidR="00E14206" w:rsidRPr="00704300">
          <w:rPr>
            <w:rStyle w:val="Lienhypertexte"/>
            <w:rFonts w:ascii="Arial" w:hAnsi="Arial"/>
            <w:noProof/>
          </w:rPr>
          <w:t>3.3.1 Indicateurs internationaux de la performance environnementale</w:t>
        </w:r>
        <w:r w:rsidR="00E14206">
          <w:rPr>
            <w:noProof/>
            <w:webHidden/>
          </w:rPr>
          <w:tab/>
        </w:r>
        <w:r w:rsidR="00E14206">
          <w:rPr>
            <w:noProof/>
            <w:webHidden/>
          </w:rPr>
          <w:fldChar w:fldCharType="begin"/>
        </w:r>
        <w:r w:rsidR="00E14206">
          <w:rPr>
            <w:noProof/>
            <w:webHidden/>
          </w:rPr>
          <w:instrText xml:space="preserve"> PAGEREF _Toc20505655 \h </w:instrText>
        </w:r>
        <w:r w:rsidR="00E14206">
          <w:rPr>
            <w:noProof/>
            <w:webHidden/>
          </w:rPr>
        </w:r>
        <w:r w:rsidR="00E14206">
          <w:rPr>
            <w:noProof/>
            <w:webHidden/>
          </w:rPr>
          <w:fldChar w:fldCharType="separate"/>
        </w:r>
        <w:r w:rsidR="00196BE5">
          <w:rPr>
            <w:noProof/>
            <w:webHidden/>
          </w:rPr>
          <w:t>52</w:t>
        </w:r>
        <w:r w:rsidR="00E14206">
          <w:rPr>
            <w:noProof/>
            <w:webHidden/>
          </w:rPr>
          <w:fldChar w:fldCharType="end"/>
        </w:r>
      </w:hyperlink>
    </w:p>
    <w:p w14:paraId="76585F79"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56" w:history="1">
        <w:r w:rsidR="00E14206" w:rsidRPr="00704300">
          <w:rPr>
            <w:rStyle w:val="Lienhypertexte"/>
            <w:rFonts w:ascii="Arial" w:hAnsi="Arial"/>
            <w:noProof/>
          </w:rPr>
          <w:t>3.3.2 Système national de suivi environnemental</w:t>
        </w:r>
        <w:r w:rsidR="00E14206">
          <w:rPr>
            <w:noProof/>
            <w:webHidden/>
          </w:rPr>
          <w:tab/>
        </w:r>
        <w:r w:rsidR="00E14206">
          <w:rPr>
            <w:noProof/>
            <w:webHidden/>
          </w:rPr>
          <w:fldChar w:fldCharType="begin"/>
        </w:r>
        <w:r w:rsidR="00E14206">
          <w:rPr>
            <w:noProof/>
            <w:webHidden/>
          </w:rPr>
          <w:instrText xml:space="preserve"> PAGEREF _Toc20505656 \h </w:instrText>
        </w:r>
        <w:r w:rsidR="00E14206">
          <w:rPr>
            <w:noProof/>
            <w:webHidden/>
          </w:rPr>
        </w:r>
        <w:r w:rsidR="00E14206">
          <w:rPr>
            <w:noProof/>
            <w:webHidden/>
          </w:rPr>
          <w:fldChar w:fldCharType="separate"/>
        </w:r>
        <w:r w:rsidR="00196BE5">
          <w:rPr>
            <w:noProof/>
            <w:webHidden/>
          </w:rPr>
          <w:t>52</w:t>
        </w:r>
        <w:r w:rsidR="00E14206">
          <w:rPr>
            <w:noProof/>
            <w:webHidden/>
          </w:rPr>
          <w:fldChar w:fldCharType="end"/>
        </w:r>
      </w:hyperlink>
    </w:p>
    <w:p w14:paraId="3753AC5A" w14:textId="77777777" w:rsidR="00E14206" w:rsidRDefault="00736FE4">
      <w:pPr>
        <w:pStyle w:val="TM1"/>
        <w:tabs>
          <w:tab w:val="right" w:leader="dot" w:pos="9182"/>
        </w:tabs>
        <w:rPr>
          <w:rFonts w:asciiTheme="minorHAnsi" w:hAnsiTheme="minorHAnsi"/>
          <w:b w:val="0"/>
          <w:bCs w:val="0"/>
          <w:caps w:val="0"/>
          <w:noProof/>
          <w:sz w:val="22"/>
          <w:szCs w:val="22"/>
          <w:lang w:val="de-DE" w:eastAsia="de-DE"/>
        </w:rPr>
      </w:pPr>
      <w:hyperlink w:anchor="_Toc20505657" w:history="1">
        <w:r w:rsidR="00E14206" w:rsidRPr="00704300">
          <w:rPr>
            <w:rStyle w:val="Lienhypertexte"/>
            <w:noProof/>
            <w:lang w:eastAsia="fr-FR"/>
          </w:rPr>
          <w:t xml:space="preserve">4. </w:t>
        </w:r>
        <w:r w:rsidR="00E14206" w:rsidRPr="00704300">
          <w:rPr>
            <w:rStyle w:val="Lienhypertexte"/>
            <w:rFonts w:cs="Arial"/>
            <w:noProof/>
            <w:lang w:eastAsia="fr-FR"/>
          </w:rPr>
          <w:t>Integration de l’environnement dans les principaux secteurs SUSCEPTIBLES dE FAIRE L’OBJET D’UNE intervention DE L’UE (post 11</w:t>
        </w:r>
        <w:r w:rsidR="00E14206" w:rsidRPr="00704300">
          <w:rPr>
            <w:rStyle w:val="Lienhypertexte"/>
            <w:rFonts w:cs="Arial"/>
            <w:noProof/>
            <w:vertAlign w:val="superscript"/>
            <w:lang w:eastAsia="fr-FR"/>
          </w:rPr>
          <w:t>ème</w:t>
        </w:r>
        <w:r w:rsidR="00E14206" w:rsidRPr="00704300">
          <w:rPr>
            <w:rStyle w:val="Lienhypertexte"/>
            <w:rFonts w:cs="Arial"/>
            <w:noProof/>
            <w:lang w:eastAsia="fr-FR"/>
          </w:rPr>
          <w:t xml:space="preserve"> FED)</w:t>
        </w:r>
        <w:r w:rsidR="00E14206">
          <w:rPr>
            <w:noProof/>
            <w:webHidden/>
          </w:rPr>
          <w:tab/>
        </w:r>
        <w:r w:rsidR="00E14206">
          <w:rPr>
            <w:noProof/>
            <w:webHidden/>
          </w:rPr>
          <w:fldChar w:fldCharType="begin"/>
        </w:r>
        <w:r w:rsidR="00E14206">
          <w:rPr>
            <w:noProof/>
            <w:webHidden/>
          </w:rPr>
          <w:instrText xml:space="preserve"> PAGEREF _Toc20505657 \h </w:instrText>
        </w:r>
        <w:r w:rsidR="00E14206">
          <w:rPr>
            <w:noProof/>
            <w:webHidden/>
          </w:rPr>
        </w:r>
        <w:r w:rsidR="00E14206">
          <w:rPr>
            <w:noProof/>
            <w:webHidden/>
          </w:rPr>
          <w:fldChar w:fldCharType="separate"/>
        </w:r>
        <w:r w:rsidR="00196BE5">
          <w:rPr>
            <w:noProof/>
            <w:webHidden/>
          </w:rPr>
          <w:t>54</w:t>
        </w:r>
        <w:r w:rsidR="00E14206">
          <w:rPr>
            <w:noProof/>
            <w:webHidden/>
          </w:rPr>
          <w:fldChar w:fldCharType="end"/>
        </w:r>
      </w:hyperlink>
    </w:p>
    <w:p w14:paraId="2007DB3A" w14:textId="77777777" w:rsidR="00E14206" w:rsidRDefault="00736FE4">
      <w:pPr>
        <w:pStyle w:val="TM2"/>
        <w:tabs>
          <w:tab w:val="right" w:leader="dot" w:pos="9182"/>
        </w:tabs>
        <w:rPr>
          <w:rFonts w:asciiTheme="minorHAnsi" w:hAnsiTheme="minorHAnsi"/>
          <w:smallCaps w:val="0"/>
          <w:noProof/>
          <w:sz w:val="22"/>
          <w:szCs w:val="22"/>
          <w:lang w:val="de-DE" w:eastAsia="de-DE"/>
        </w:rPr>
      </w:pPr>
      <w:hyperlink w:anchor="_Toc20505658" w:history="1">
        <w:r w:rsidR="00E14206" w:rsidRPr="00704300">
          <w:rPr>
            <w:rStyle w:val="Lienhypertexte"/>
            <w:noProof/>
            <w:lang w:eastAsia="fr-FR"/>
          </w:rPr>
          <w:t>4.1 Domaine réforme de l’Etat et Gouvernance</w:t>
        </w:r>
        <w:r w:rsidR="00E14206">
          <w:rPr>
            <w:noProof/>
            <w:webHidden/>
          </w:rPr>
          <w:tab/>
        </w:r>
        <w:r w:rsidR="00E14206">
          <w:rPr>
            <w:noProof/>
            <w:webHidden/>
          </w:rPr>
          <w:fldChar w:fldCharType="begin"/>
        </w:r>
        <w:r w:rsidR="00E14206">
          <w:rPr>
            <w:noProof/>
            <w:webHidden/>
          </w:rPr>
          <w:instrText xml:space="preserve"> PAGEREF _Toc20505658 \h </w:instrText>
        </w:r>
        <w:r w:rsidR="00E14206">
          <w:rPr>
            <w:noProof/>
            <w:webHidden/>
          </w:rPr>
        </w:r>
        <w:r w:rsidR="00E14206">
          <w:rPr>
            <w:noProof/>
            <w:webHidden/>
          </w:rPr>
          <w:fldChar w:fldCharType="separate"/>
        </w:r>
        <w:r w:rsidR="00196BE5">
          <w:rPr>
            <w:noProof/>
            <w:webHidden/>
          </w:rPr>
          <w:t>54</w:t>
        </w:r>
        <w:r w:rsidR="00E14206">
          <w:rPr>
            <w:noProof/>
            <w:webHidden/>
          </w:rPr>
          <w:fldChar w:fldCharType="end"/>
        </w:r>
      </w:hyperlink>
    </w:p>
    <w:p w14:paraId="68721470" w14:textId="77777777" w:rsidR="00E14206" w:rsidRDefault="00736FE4">
      <w:pPr>
        <w:pStyle w:val="TM2"/>
        <w:tabs>
          <w:tab w:val="right" w:leader="dot" w:pos="9182"/>
        </w:tabs>
        <w:rPr>
          <w:rFonts w:asciiTheme="minorHAnsi" w:hAnsiTheme="minorHAnsi"/>
          <w:smallCaps w:val="0"/>
          <w:noProof/>
          <w:sz w:val="22"/>
          <w:szCs w:val="22"/>
          <w:lang w:val="de-DE" w:eastAsia="de-DE"/>
        </w:rPr>
      </w:pPr>
      <w:hyperlink w:anchor="_Toc20505659" w:history="1">
        <w:r w:rsidR="00E14206" w:rsidRPr="00704300">
          <w:rPr>
            <w:rStyle w:val="Lienhypertexte"/>
            <w:noProof/>
            <w:lang w:eastAsia="fr-FR"/>
          </w:rPr>
          <w:t>4.2 Domaine développement rural et sécurité alimentaire</w:t>
        </w:r>
        <w:r w:rsidR="00E14206">
          <w:rPr>
            <w:noProof/>
            <w:webHidden/>
          </w:rPr>
          <w:tab/>
        </w:r>
        <w:r w:rsidR="00E14206">
          <w:rPr>
            <w:noProof/>
            <w:webHidden/>
          </w:rPr>
          <w:fldChar w:fldCharType="begin"/>
        </w:r>
        <w:r w:rsidR="00E14206">
          <w:rPr>
            <w:noProof/>
            <w:webHidden/>
          </w:rPr>
          <w:instrText xml:space="preserve"> PAGEREF _Toc20505659 \h </w:instrText>
        </w:r>
        <w:r w:rsidR="00E14206">
          <w:rPr>
            <w:noProof/>
            <w:webHidden/>
          </w:rPr>
        </w:r>
        <w:r w:rsidR="00E14206">
          <w:rPr>
            <w:noProof/>
            <w:webHidden/>
          </w:rPr>
          <w:fldChar w:fldCharType="separate"/>
        </w:r>
        <w:r w:rsidR="00196BE5">
          <w:rPr>
            <w:noProof/>
            <w:webHidden/>
          </w:rPr>
          <w:t>54</w:t>
        </w:r>
        <w:r w:rsidR="00E14206">
          <w:rPr>
            <w:noProof/>
            <w:webHidden/>
          </w:rPr>
          <w:fldChar w:fldCharType="end"/>
        </w:r>
      </w:hyperlink>
    </w:p>
    <w:p w14:paraId="7B86FAC1" w14:textId="77777777" w:rsidR="00E14206" w:rsidRDefault="00736FE4">
      <w:pPr>
        <w:pStyle w:val="TM2"/>
        <w:tabs>
          <w:tab w:val="right" w:leader="dot" w:pos="9182"/>
        </w:tabs>
        <w:rPr>
          <w:rFonts w:asciiTheme="minorHAnsi" w:hAnsiTheme="minorHAnsi"/>
          <w:smallCaps w:val="0"/>
          <w:noProof/>
          <w:sz w:val="22"/>
          <w:szCs w:val="22"/>
          <w:lang w:val="de-DE" w:eastAsia="de-DE"/>
        </w:rPr>
      </w:pPr>
      <w:hyperlink w:anchor="_Toc20505660" w:history="1">
        <w:r w:rsidR="00E14206" w:rsidRPr="00704300">
          <w:rPr>
            <w:rStyle w:val="Lienhypertexte"/>
            <w:noProof/>
            <w:lang w:eastAsia="fr-FR"/>
          </w:rPr>
          <w:t>4.3 Domaine éducation</w:t>
        </w:r>
        <w:r w:rsidR="00E14206">
          <w:rPr>
            <w:noProof/>
            <w:webHidden/>
          </w:rPr>
          <w:tab/>
        </w:r>
        <w:r w:rsidR="00E14206">
          <w:rPr>
            <w:noProof/>
            <w:webHidden/>
          </w:rPr>
          <w:fldChar w:fldCharType="begin"/>
        </w:r>
        <w:r w:rsidR="00E14206">
          <w:rPr>
            <w:noProof/>
            <w:webHidden/>
          </w:rPr>
          <w:instrText xml:space="preserve"> PAGEREF _Toc20505660 \h </w:instrText>
        </w:r>
        <w:r w:rsidR="00E14206">
          <w:rPr>
            <w:noProof/>
            <w:webHidden/>
          </w:rPr>
        </w:r>
        <w:r w:rsidR="00E14206">
          <w:rPr>
            <w:noProof/>
            <w:webHidden/>
          </w:rPr>
          <w:fldChar w:fldCharType="separate"/>
        </w:r>
        <w:r w:rsidR="00196BE5">
          <w:rPr>
            <w:noProof/>
            <w:webHidden/>
          </w:rPr>
          <w:t>55</w:t>
        </w:r>
        <w:r w:rsidR="00E14206">
          <w:rPr>
            <w:noProof/>
            <w:webHidden/>
          </w:rPr>
          <w:fldChar w:fldCharType="end"/>
        </w:r>
      </w:hyperlink>
    </w:p>
    <w:p w14:paraId="044EB7CD" w14:textId="77777777" w:rsidR="00E14206" w:rsidRDefault="00736FE4">
      <w:pPr>
        <w:pStyle w:val="TM2"/>
        <w:tabs>
          <w:tab w:val="right" w:leader="dot" w:pos="9182"/>
        </w:tabs>
        <w:rPr>
          <w:rFonts w:asciiTheme="minorHAnsi" w:hAnsiTheme="minorHAnsi"/>
          <w:smallCaps w:val="0"/>
          <w:noProof/>
          <w:sz w:val="22"/>
          <w:szCs w:val="22"/>
          <w:lang w:val="de-DE" w:eastAsia="de-DE"/>
        </w:rPr>
      </w:pPr>
      <w:hyperlink w:anchor="_Toc20505661" w:history="1">
        <w:r w:rsidR="00E14206" w:rsidRPr="00704300">
          <w:rPr>
            <w:rStyle w:val="Lienhypertexte"/>
            <w:noProof/>
            <w:lang w:eastAsia="fr-FR"/>
          </w:rPr>
          <w:t>4.4 Domaine secteur routier</w:t>
        </w:r>
        <w:r w:rsidR="00E14206">
          <w:rPr>
            <w:noProof/>
            <w:webHidden/>
          </w:rPr>
          <w:tab/>
        </w:r>
        <w:r w:rsidR="00E14206">
          <w:rPr>
            <w:noProof/>
            <w:webHidden/>
          </w:rPr>
          <w:fldChar w:fldCharType="begin"/>
        </w:r>
        <w:r w:rsidR="00E14206">
          <w:rPr>
            <w:noProof/>
            <w:webHidden/>
          </w:rPr>
          <w:instrText xml:space="preserve"> PAGEREF _Toc20505661 \h </w:instrText>
        </w:r>
        <w:r w:rsidR="00E14206">
          <w:rPr>
            <w:noProof/>
            <w:webHidden/>
          </w:rPr>
        </w:r>
        <w:r w:rsidR="00E14206">
          <w:rPr>
            <w:noProof/>
            <w:webHidden/>
          </w:rPr>
          <w:fldChar w:fldCharType="separate"/>
        </w:r>
        <w:r w:rsidR="00196BE5">
          <w:rPr>
            <w:noProof/>
            <w:webHidden/>
          </w:rPr>
          <w:t>55</w:t>
        </w:r>
        <w:r w:rsidR="00E14206">
          <w:rPr>
            <w:noProof/>
            <w:webHidden/>
          </w:rPr>
          <w:fldChar w:fldCharType="end"/>
        </w:r>
      </w:hyperlink>
    </w:p>
    <w:p w14:paraId="5AEDE659" w14:textId="77777777" w:rsidR="00E14206" w:rsidRDefault="00736FE4">
      <w:pPr>
        <w:pStyle w:val="TM1"/>
        <w:tabs>
          <w:tab w:val="right" w:leader="dot" w:pos="9182"/>
        </w:tabs>
        <w:rPr>
          <w:rFonts w:asciiTheme="minorHAnsi" w:hAnsiTheme="minorHAnsi"/>
          <w:b w:val="0"/>
          <w:bCs w:val="0"/>
          <w:caps w:val="0"/>
          <w:noProof/>
          <w:sz w:val="22"/>
          <w:szCs w:val="22"/>
          <w:lang w:val="de-DE" w:eastAsia="de-DE"/>
        </w:rPr>
      </w:pPr>
      <w:hyperlink w:anchor="_Toc20505662" w:history="1">
        <w:r w:rsidR="00E14206" w:rsidRPr="00704300">
          <w:rPr>
            <w:rStyle w:val="Lienhypertexte"/>
            <w:noProof/>
            <w:lang w:eastAsia="fr-FR"/>
          </w:rPr>
          <w:t>5. Coopération de l’UE et des autres bailleurs avec le Pays en matière d’environnement</w:t>
        </w:r>
        <w:r w:rsidR="00E14206">
          <w:rPr>
            <w:noProof/>
            <w:webHidden/>
          </w:rPr>
          <w:tab/>
        </w:r>
        <w:r w:rsidR="00E14206">
          <w:rPr>
            <w:noProof/>
            <w:webHidden/>
          </w:rPr>
          <w:fldChar w:fldCharType="begin"/>
        </w:r>
        <w:r w:rsidR="00E14206">
          <w:rPr>
            <w:noProof/>
            <w:webHidden/>
          </w:rPr>
          <w:instrText xml:space="preserve"> PAGEREF _Toc20505662 \h </w:instrText>
        </w:r>
        <w:r w:rsidR="00E14206">
          <w:rPr>
            <w:noProof/>
            <w:webHidden/>
          </w:rPr>
        </w:r>
        <w:r w:rsidR="00E14206">
          <w:rPr>
            <w:noProof/>
            <w:webHidden/>
          </w:rPr>
          <w:fldChar w:fldCharType="separate"/>
        </w:r>
        <w:r w:rsidR="00196BE5">
          <w:rPr>
            <w:noProof/>
            <w:webHidden/>
          </w:rPr>
          <w:t>57</w:t>
        </w:r>
        <w:r w:rsidR="00E14206">
          <w:rPr>
            <w:noProof/>
            <w:webHidden/>
          </w:rPr>
          <w:fldChar w:fldCharType="end"/>
        </w:r>
      </w:hyperlink>
    </w:p>
    <w:p w14:paraId="73AACAFB" w14:textId="77777777" w:rsidR="00E14206" w:rsidRDefault="00736FE4">
      <w:pPr>
        <w:pStyle w:val="TM2"/>
        <w:tabs>
          <w:tab w:val="right" w:leader="dot" w:pos="9182"/>
        </w:tabs>
        <w:rPr>
          <w:rFonts w:asciiTheme="minorHAnsi" w:hAnsiTheme="minorHAnsi"/>
          <w:smallCaps w:val="0"/>
          <w:noProof/>
          <w:sz w:val="22"/>
          <w:szCs w:val="22"/>
          <w:lang w:val="de-DE" w:eastAsia="de-DE"/>
        </w:rPr>
      </w:pPr>
      <w:hyperlink w:anchor="_Toc20505663" w:history="1">
        <w:r w:rsidR="00E14206" w:rsidRPr="00704300">
          <w:rPr>
            <w:rStyle w:val="Lienhypertexte"/>
            <w:noProof/>
            <w:lang w:eastAsia="fr-FR"/>
          </w:rPr>
          <w:t>5.1 Aspects concernant l’environnement dans la Coopération de l’UE avec le Mali</w:t>
        </w:r>
        <w:r w:rsidR="00E14206">
          <w:rPr>
            <w:noProof/>
            <w:webHidden/>
          </w:rPr>
          <w:tab/>
        </w:r>
        <w:r w:rsidR="00E14206">
          <w:rPr>
            <w:noProof/>
            <w:webHidden/>
          </w:rPr>
          <w:fldChar w:fldCharType="begin"/>
        </w:r>
        <w:r w:rsidR="00E14206">
          <w:rPr>
            <w:noProof/>
            <w:webHidden/>
          </w:rPr>
          <w:instrText xml:space="preserve"> PAGEREF _Toc20505663 \h </w:instrText>
        </w:r>
        <w:r w:rsidR="00E14206">
          <w:rPr>
            <w:noProof/>
            <w:webHidden/>
          </w:rPr>
        </w:r>
        <w:r w:rsidR="00E14206">
          <w:rPr>
            <w:noProof/>
            <w:webHidden/>
          </w:rPr>
          <w:fldChar w:fldCharType="separate"/>
        </w:r>
        <w:r w:rsidR="00196BE5">
          <w:rPr>
            <w:noProof/>
            <w:webHidden/>
          </w:rPr>
          <w:t>57</w:t>
        </w:r>
        <w:r w:rsidR="00E14206">
          <w:rPr>
            <w:noProof/>
            <w:webHidden/>
          </w:rPr>
          <w:fldChar w:fldCharType="end"/>
        </w:r>
      </w:hyperlink>
    </w:p>
    <w:p w14:paraId="7A39F98A" w14:textId="77777777" w:rsidR="00E14206" w:rsidRDefault="00736FE4">
      <w:pPr>
        <w:pStyle w:val="TM2"/>
        <w:tabs>
          <w:tab w:val="right" w:leader="dot" w:pos="9182"/>
        </w:tabs>
        <w:rPr>
          <w:rFonts w:asciiTheme="minorHAnsi" w:hAnsiTheme="minorHAnsi"/>
          <w:smallCaps w:val="0"/>
          <w:noProof/>
          <w:sz w:val="22"/>
          <w:szCs w:val="22"/>
          <w:lang w:val="de-DE" w:eastAsia="de-DE"/>
        </w:rPr>
      </w:pPr>
      <w:hyperlink w:anchor="_Toc20505664" w:history="1">
        <w:r w:rsidR="00E14206" w:rsidRPr="00704300">
          <w:rPr>
            <w:rStyle w:val="Lienhypertexte"/>
            <w:noProof/>
            <w:lang w:eastAsia="fr-FR"/>
          </w:rPr>
          <w:t>5.2 Aspects concernant l’environnement dans la Coopération non UE</w:t>
        </w:r>
        <w:r w:rsidR="00E14206">
          <w:rPr>
            <w:noProof/>
            <w:webHidden/>
          </w:rPr>
          <w:tab/>
        </w:r>
        <w:r w:rsidR="00E14206">
          <w:rPr>
            <w:noProof/>
            <w:webHidden/>
          </w:rPr>
          <w:fldChar w:fldCharType="begin"/>
        </w:r>
        <w:r w:rsidR="00E14206">
          <w:rPr>
            <w:noProof/>
            <w:webHidden/>
          </w:rPr>
          <w:instrText xml:space="preserve"> PAGEREF _Toc20505664 \h </w:instrText>
        </w:r>
        <w:r w:rsidR="00E14206">
          <w:rPr>
            <w:noProof/>
            <w:webHidden/>
          </w:rPr>
        </w:r>
        <w:r w:rsidR="00E14206">
          <w:rPr>
            <w:noProof/>
            <w:webHidden/>
          </w:rPr>
          <w:fldChar w:fldCharType="separate"/>
        </w:r>
        <w:r w:rsidR="00196BE5">
          <w:rPr>
            <w:noProof/>
            <w:webHidden/>
          </w:rPr>
          <w:t>58</w:t>
        </w:r>
        <w:r w:rsidR="00E14206">
          <w:rPr>
            <w:noProof/>
            <w:webHidden/>
          </w:rPr>
          <w:fldChar w:fldCharType="end"/>
        </w:r>
      </w:hyperlink>
    </w:p>
    <w:p w14:paraId="1D2714CD" w14:textId="77777777" w:rsidR="00E14206" w:rsidRDefault="00736FE4">
      <w:pPr>
        <w:pStyle w:val="TM2"/>
        <w:tabs>
          <w:tab w:val="right" w:leader="dot" w:pos="9182"/>
        </w:tabs>
        <w:rPr>
          <w:rFonts w:asciiTheme="minorHAnsi" w:hAnsiTheme="minorHAnsi"/>
          <w:smallCaps w:val="0"/>
          <w:noProof/>
          <w:sz w:val="22"/>
          <w:szCs w:val="22"/>
          <w:lang w:val="de-DE" w:eastAsia="de-DE"/>
        </w:rPr>
      </w:pPr>
      <w:hyperlink w:anchor="_Toc20505665" w:history="1">
        <w:r w:rsidR="00E14206" w:rsidRPr="00704300">
          <w:rPr>
            <w:rStyle w:val="Lienhypertexte"/>
            <w:noProof/>
            <w:lang w:eastAsia="fr-FR"/>
          </w:rPr>
          <w:t>5.3 Coordination des PTF</w:t>
        </w:r>
        <w:r w:rsidR="00E14206">
          <w:rPr>
            <w:noProof/>
            <w:webHidden/>
          </w:rPr>
          <w:tab/>
        </w:r>
        <w:r w:rsidR="00E14206">
          <w:rPr>
            <w:noProof/>
            <w:webHidden/>
          </w:rPr>
          <w:fldChar w:fldCharType="begin"/>
        </w:r>
        <w:r w:rsidR="00E14206">
          <w:rPr>
            <w:noProof/>
            <w:webHidden/>
          </w:rPr>
          <w:instrText xml:space="preserve"> PAGEREF _Toc20505665 \h </w:instrText>
        </w:r>
        <w:r w:rsidR="00E14206">
          <w:rPr>
            <w:noProof/>
            <w:webHidden/>
          </w:rPr>
        </w:r>
        <w:r w:rsidR="00E14206">
          <w:rPr>
            <w:noProof/>
            <w:webHidden/>
          </w:rPr>
          <w:fldChar w:fldCharType="separate"/>
        </w:r>
        <w:r w:rsidR="00196BE5">
          <w:rPr>
            <w:noProof/>
            <w:webHidden/>
          </w:rPr>
          <w:t>60</w:t>
        </w:r>
        <w:r w:rsidR="00E14206">
          <w:rPr>
            <w:noProof/>
            <w:webHidden/>
          </w:rPr>
          <w:fldChar w:fldCharType="end"/>
        </w:r>
      </w:hyperlink>
    </w:p>
    <w:p w14:paraId="7F55C513" w14:textId="77777777" w:rsidR="00E14206" w:rsidRDefault="00736FE4">
      <w:pPr>
        <w:pStyle w:val="TM1"/>
        <w:tabs>
          <w:tab w:val="right" w:leader="dot" w:pos="9182"/>
        </w:tabs>
        <w:rPr>
          <w:rFonts w:asciiTheme="minorHAnsi" w:hAnsiTheme="minorHAnsi"/>
          <w:b w:val="0"/>
          <w:bCs w:val="0"/>
          <w:caps w:val="0"/>
          <w:noProof/>
          <w:sz w:val="22"/>
          <w:szCs w:val="22"/>
          <w:lang w:val="de-DE" w:eastAsia="de-DE"/>
        </w:rPr>
      </w:pPr>
      <w:hyperlink w:anchor="_Toc20505666" w:history="1">
        <w:r w:rsidR="00E14206" w:rsidRPr="00704300">
          <w:rPr>
            <w:rStyle w:val="Lienhypertexte"/>
            <w:rFonts w:cs="Arial"/>
            <w:noProof/>
          </w:rPr>
          <w:t>6. Conclusions et recommandations</w:t>
        </w:r>
        <w:r w:rsidR="00E14206">
          <w:rPr>
            <w:noProof/>
            <w:webHidden/>
          </w:rPr>
          <w:tab/>
        </w:r>
        <w:r w:rsidR="00E14206">
          <w:rPr>
            <w:noProof/>
            <w:webHidden/>
          </w:rPr>
          <w:fldChar w:fldCharType="begin"/>
        </w:r>
        <w:r w:rsidR="00E14206">
          <w:rPr>
            <w:noProof/>
            <w:webHidden/>
          </w:rPr>
          <w:instrText xml:space="preserve"> PAGEREF _Toc20505666 \h </w:instrText>
        </w:r>
        <w:r w:rsidR="00E14206">
          <w:rPr>
            <w:noProof/>
            <w:webHidden/>
          </w:rPr>
        </w:r>
        <w:r w:rsidR="00E14206">
          <w:rPr>
            <w:noProof/>
            <w:webHidden/>
          </w:rPr>
          <w:fldChar w:fldCharType="separate"/>
        </w:r>
        <w:r w:rsidR="00196BE5">
          <w:rPr>
            <w:noProof/>
            <w:webHidden/>
          </w:rPr>
          <w:t>62</w:t>
        </w:r>
        <w:r w:rsidR="00E14206">
          <w:rPr>
            <w:noProof/>
            <w:webHidden/>
          </w:rPr>
          <w:fldChar w:fldCharType="end"/>
        </w:r>
      </w:hyperlink>
    </w:p>
    <w:p w14:paraId="18766A7B" w14:textId="77777777" w:rsidR="00E14206" w:rsidRDefault="00736FE4">
      <w:pPr>
        <w:pStyle w:val="TM2"/>
        <w:tabs>
          <w:tab w:val="right" w:leader="dot" w:pos="9182"/>
        </w:tabs>
        <w:rPr>
          <w:rFonts w:asciiTheme="minorHAnsi" w:hAnsiTheme="minorHAnsi"/>
          <w:smallCaps w:val="0"/>
          <w:noProof/>
          <w:sz w:val="22"/>
          <w:szCs w:val="22"/>
          <w:lang w:val="de-DE" w:eastAsia="de-DE"/>
        </w:rPr>
      </w:pPr>
      <w:hyperlink w:anchor="_Toc20505667" w:history="1">
        <w:r w:rsidR="00E14206" w:rsidRPr="00704300">
          <w:rPr>
            <w:rStyle w:val="Lienhypertexte"/>
            <w:noProof/>
            <w:lang w:eastAsia="fr-FR"/>
          </w:rPr>
          <w:t>6.1 Analyse de la prise en compte des recommandations du profil environnemental effectué en 2014</w:t>
        </w:r>
        <w:r w:rsidR="00E14206">
          <w:rPr>
            <w:noProof/>
            <w:webHidden/>
          </w:rPr>
          <w:tab/>
        </w:r>
        <w:r w:rsidR="00E14206">
          <w:rPr>
            <w:noProof/>
            <w:webHidden/>
          </w:rPr>
          <w:fldChar w:fldCharType="begin"/>
        </w:r>
        <w:r w:rsidR="00E14206">
          <w:rPr>
            <w:noProof/>
            <w:webHidden/>
          </w:rPr>
          <w:instrText xml:space="preserve"> PAGEREF _Toc20505667 \h </w:instrText>
        </w:r>
        <w:r w:rsidR="00E14206">
          <w:rPr>
            <w:noProof/>
            <w:webHidden/>
          </w:rPr>
        </w:r>
        <w:r w:rsidR="00E14206">
          <w:rPr>
            <w:noProof/>
            <w:webHidden/>
          </w:rPr>
          <w:fldChar w:fldCharType="separate"/>
        </w:r>
        <w:r w:rsidR="00196BE5">
          <w:rPr>
            <w:noProof/>
            <w:webHidden/>
          </w:rPr>
          <w:t>62</w:t>
        </w:r>
        <w:r w:rsidR="00E14206">
          <w:rPr>
            <w:noProof/>
            <w:webHidden/>
          </w:rPr>
          <w:fldChar w:fldCharType="end"/>
        </w:r>
      </w:hyperlink>
    </w:p>
    <w:p w14:paraId="11DFBED6" w14:textId="77777777" w:rsidR="00E14206" w:rsidRDefault="00736FE4">
      <w:pPr>
        <w:pStyle w:val="TM2"/>
        <w:tabs>
          <w:tab w:val="right" w:leader="dot" w:pos="9182"/>
        </w:tabs>
        <w:rPr>
          <w:rFonts w:asciiTheme="minorHAnsi" w:hAnsiTheme="minorHAnsi"/>
          <w:smallCaps w:val="0"/>
          <w:noProof/>
          <w:sz w:val="22"/>
          <w:szCs w:val="22"/>
          <w:lang w:val="de-DE" w:eastAsia="de-DE"/>
        </w:rPr>
      </w:pPr>
      <w:hyperlink w:anchor="_Toc20505668" w:history="1">
        <w:r w:rsidR="00E14206" w:rsidRPr="00704300">
          <w:rPr>
            <w:rStyle w:val="Lienhypertexte"/>
            <w:noProof/>
          </w:rPr>
          <w:t>6.2 Conclusions et recommadations</w:t>
        </w:r>
        <w:r w:rsidR="00E14206">
          <w:rPr>
            <w:noProof/>
            <w:webHidden/>
          </w:rPr>
          <w:tab/>
        </w:r>
        <w:r w:rsidR="00E14206">
          <w:rPr>
            <w:noProof/>
            <w:webHidden/>
          </w:rPr>
          <w:fldChar w:fldCharType="begin"/>
        </w:r>
        <w:r w:rsidR="00E14206">
          <w:rPr>
            <w:noProof/>
            <w:webHidden/>
          </w:rPr>
          <w:instrText xml:space="preserve"> PAGEREF _Toc20505668 \h </w:instrText>
        </w:r>
        <w:r w:rsidR="00E14206">
          <w:rPr>
            <w:noProof/>
            <w:webHidden/>
          </w:rPr>
        </w:r>
        <w:r w:rsidR="00E14206">
          <w:rPr>
            <w:noProof/>
            <w:webHidden/>
          </w:rPr>
          <w:fldChar w:fldCharType="separate"/>
        </w:r>
        <w:r w:rsidR="00196BE5">
          <w:rPr>
            <w:noProof/>
            <w:webHidden/>
          </w:rPr>
          <w:t>63</w:t>
        </w:r>
        <w:r w:rsidR="00E14206">
          <w:rPr>
            <w:noProof/>
            <w:webHidden/>
          </w:rPr>
          <w:fldChar w:fldCharType="end"/>
        </w:r>
      </w:hyperlink>
    </w:p>
    <w:p w14:paraId="4FA8DC87" w14:textId="77777777" w:rsidR="00E14206" w:rsidRDefault="00736FE4">
      <w:pPr>
        <w:pStyle w:val="TM1"/>
        <w:tabs>
          <w:tab w:val="right" w:leader="dot" w:pos="9182"/>
        </w:tabs>
        <w:rPr>
          <w:rFonts w:asciiTheme="minorHAnsi" w:hAnsiTheme="minorHAnsi"/>
          <w:b w:val="0"/>
          <w:bCs w:val="0"/>
          <w:caps w:val="0"/>
          <w:noProof/>
          <w:sz w:val="22"/>
          <w:szCs w:val="22"/>
          <w:lang w:val="de-DE" w:eastAsia="de-DE"/>
        </w:rPr>
      </w:pPr>
      <w:hyperlink w:anchor="_Toc20505669" w:history="1">
        <w:r w:rsidR="00E14206" w:rsidRPr="00704300">
          <w:rPr>
            <w:rStyle w:val="Lienhypertexte"/>
            <w:noProof/>
          </w:rPr>
          <w:t>Glossaire</w:t>
        </w:r>
        <w:r w:rsidR="00E14206">
          <w:rPr>
            <w:noProof/>
            <w:webHidden/>
          </w:rPr>
          <w:tab/>
        </w:r>
        <w:r w:rsidR="00E14206">
          <w:rPr>
            <w:noProof/>
            <w:webHidden/>
          </w:rPr>
          <w:fldChar w:fldCharType="begin"/>
        </w:r>
        <w:r w:rsidR="00E14206">
          <w:rPr>
            <w:noProof/>
            <w:webHidden/>
          </w:rPr>
          <w:instrText xml:space="preserve"> PAGEREF _Toc20505669 \h </w:instrText>
        </w:r>
        <w:r w:rsidR="00E14206">
          <w:rPr>
            <w:noProof/>
            <w:webHidden/>
          </w:rPr>
        </w:r>
        <w:r w:rsidR="00E14206">
          <w:rPr>
            <w:noProof/>
            <w:webHidden/>
          </w:rPr>
          <w:fldChar w:fldCharType="separate"/>
        </w:r>
        <w:r w:rsidR="00196BE5">
          <w:rPr>
            <w:noProof/>
            <w:webHidden/>
          </w:rPr>
          <w:t>69</w:t>
        </w:r>
        <w:r w:rsidR="00E14206">
          <w:rPr>
            <w:noProof/>
            <w:webHidden/>
          </w:rPr>
          <w:fldChar w:fldCharType="end"/>
        </w:r>
      </w:hyperlink>
    </w:p>
    <w:p w14:paraId="1C20F725" w14:textId="77777777" w:rsidR="00E14206" w:rsidRDefault="00736FE4">
      <w:pPr>
        <w:pStyle w:val="TM1"/>
        <w:tabs>
          <w:tab w:val="right" w:leader="dot" w:pos="9182"/>
        </w:tabs>
        <w:rPr>
          <w:rFonts w:asciiTheme="minorHAnsi" w:hAnsiTheme="minorHAnsi"/>
          <w:b w:val="0"/>
          <w:bCs w:val="0"/>
          <w:caps w:val="0"/>
          <w:noProof/>
          <w:sz w:val="22"/>
          <w:szCs w:val="22"/>
          <w:lang w:val="de-DE" w:eastAsia="de-DE"/>
        </w:rPr>
      </w:pPr>
      <w:hyperlink w:anchor="_Toc20505670" w:history="1">
        <w:r w:rsidR="00E14206" w:rsidRPr="00704300">
          <w:rPr>
            <w:rStyle w:val="Lienhypertexte"/>
            <w:noProof/>
          </w:rPr>
          <w:t>7. Annexes techniques</w:t>
        </w:r>
        <w:r w:rsidR="00E14206">
          <w:rPr>
            <w:noProof/>
            <w:webHidden/>
          </w:rPr>
          <w:tab/>
        </w:r>
        <w:r w:rsidR="00E14206">
          <w:rPr>
            <w:noProof/>
            <w:webHidden/>
          </w:rPr>
          <w:fldChar w:fldCharType="begin"/>
        </w:r>
        <w:r w:rsidR="00E14206">
          <w:rPr>
            <w:noProof/>
            <w:webHidden/>
          </w:rPr>
          <w:instrText xml:space="preserve"> PAGEREF _Toc20505670 \h </w:instrText>
        </w:r>
        <w:r w:rsidR="00E14206">
          <w:rPr>
            <w:noProof/>
            <w:webHidden/>
          </w:rPr>
        </w:r>
        <w:r w:rsidR="00E14206">
          <w:rPr>
            <w:noProof/>
            <w:webHidden/>
          </w:rPr>
          <w:fldChar w:fldCharType="separate"/>
        </w:r>
        <w:r w:rsidR="00196BE5">
          <w:rPr>
            <w:noProof/>
            <w:webHidden/>
          </w:rPr>
          <w:t>72</w:t>
        </w:r>
        <w:r w:rsidR="00E14206">
          <w:rPr>
            <w:noProof/>
            <w:webHidden/>
          </w:rPr>
          <w:fldChar w:fldCharType="end"/>
        </w:r>
      </w:hyperlink>
    </w:p>
    <w:p w14:paraId="37B60096" w14:textId="77777777" w:rsidR="00E14206" w:rsidRDefault="00736FE4">
      <w:pPr>
        <w:pStyle w:val="TM2"/>
        <w:tabs>
          <w:tab w:val="right" w:leader="dot" w:pos="9182"/>
        </w:tabs>
        <w:rPr>
          <w:rFonts w:asciiTheme="minorHAnsi" w:hAnsiTheme="minorHAnsi"/>
          <w:smallCaps w:val="0"/>
          <w:noProof/>
          <w:sz w:val="22"/>
          <w:szCs w:val="22"/>
          <w:lang w:val="de-DE" w:eastAsia="de-DE"/>
        </w:rPr>
      </w:pPr>
      <w:hyperlink w:anchor="_Toc20505671" w:history="1">
        <w:r w:rsidR="00E14206" w:rsidRPr="00704300">
          <w:rPr>
            <w:rStyle w:val="Lienhypertexte"/>
            <w:noProof/>
            <w:lang w:eastAsia="fr-FR"/>
          </w:rPr>
          <w:t>7.1 Cartographie environnementale du Pays</w:t>
        </w:r>
        <w:r w:rsidR="00E14206">
          <w:rPr>
            <w:noProof/>
            <w:webHidden/>
          </w:rPr>
          <w:tab/>
        </w:r>
        <w:r w:rsidR="00E14206">
          <w:rPr>
            <w:noProof/>
            <w:webHidden/>
          </w:rPr>
          <w:fldChar w:fldCharType="begin"/>
        </w:r>
        <w:r w:rsidR="00E14206">
          <w:rPr>
            <w:noProof/>
            <w:webHidden/>
          </w:rPr>
          <w:instrText xml:space="preserve"> PAGEREF _Toc20505671 \h </w:instrText>
        </w:r>
        <w:r w:rsidR="00E14206">
          <w:rPr>
            <w:noProof/>
            <w:webHidden/>
          </w:rPr>
        </w:r>
        <w:r w:rsidR="00E14206">
          <w:rPr>
            <w:noProof/>
            <w:webHidden/>
          </w:rPr>
          <w:fldChar w:fldCharType="separate"/>
        </w:r>
        <w:r w:rsidR="00196BE5">
          <w:rPr>
            <w:noProof/>
            <w:webHidden/>
          </w:rPr>
          <w:t>72</w:t>
        </w:r>
        <w:r w:rsidR="00E14206">
          <w:rPr>
            <w:noProof/>
            <w:webHidden/>
          </w:rPr>
          <w:fldChar w:fldCharType="end"/>
        </w:r>
      </w:hyperlink>
    </w:p>
    <w:p w14:paraId="5C415288"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72" w:history="1">
        <w:r w:rsidR="00E14206" w:rsidRPr="00704300">
          <w:rPr>
            <w:rStyle w:val="Lienhypertexte"/>
            <w:noProof/>
          </w:rPr>
          <w:t>Annexe 7.1.1 : Carte administrative du Mali</w:t>
        </w:r>
        <w:r w:rsidR="00E14206">
          <w:rPr>
            <w:noProof/>
            <w:webHidden/>
          </w:rPr>
          <w:tab/>
        </w:r>
        <w:r w:rsidR="00E14206">
          <w:rPr>
            <w:noProof/>
            <w:webHidden/>
          </w:rPr>
          <w:fldChar w:fldCharType="begin"/>
        </w:r>
        <w:r w:rsidR="00E14206">
          <w:rPr>
            <w:noProof/>
            <w:webHidden/>
          </w:rPr>
          <w:instrText xml:space="preserve"> PAGEREF _Toc20505672 \h </w:instrText>
        </w:r>
        <w:r w:rsidR="00E14206">
          <w:rPr>
            <w:noProof/>
            <w:webHidden/>
          </w:rPr>
        </w:r>
        <w:r w:rsidR="00E14206">
          <w:rPr>
            <w:noProof/>
            <w:webHidden/>
          </w:rPr>
          <w:fldChar w:fldCharType="separate"/>
        </w:r>
        <w:r w:rsidR="00196BE5">
          <w:rPr>
            <w:noProof/>
            <w:webHidden/>
          </w:rPr>
          <w:t>72</w:t>
        </w:r>
        <w:r w:rsidR="00E14206">
          <w:rPr>
            <w:noProof/>
            <w:webHidden/>
          </w:rPr>
          <w:fldChar w:fldCharType="end"/>
        </w:r>
      </w:hyperlink>
    </w:p>
    <w:p w14:paraId="510815A7"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73" w:history="1">
        <w:r w:rsidR="00E14206" w:rsidRPr="00704300">
          <w:rPr>
            <w:rStyle w:val="Lienhypertexte"/>
            <w:noProof/>
          </w:rPr>
          <w:t>Annexe 7.1.2 : Carte des principales unités éco-climatiques du Mali</w:t>
        </w:r>
        <w:r w:rsidR="00E14206">
          <w:rPr>
            <w:noProof/>
            <w:webHidden/>
          </w:rPr>
          <w:tab/>
        </w:r>
        <w:r w:rsidR="00E14206">
          <w:rPr>
            <w:noProof/>
            <w:webHidden/>
          </w:rPr>
          <w:fldChar w:fldCharType="begin"/>
        </w:r>
        <w:r w:rsidR="00E14206">
          <w:rPr>
            <w:noProof/>
            <w:webHidden/>
          </w:rPr>
          <w:instrText xml:space="preserve"> PAGEREF _Toc20505673 \h </w:instrText>
        </w:r>
        <w:r w:rsidR="00E14206">
          <w:rPr>
            <w:noProof/>
            <w:webHidden/>
          </w:rPr>
        </w:r>
        <w:r w:rsidR="00E14206">
          <w:rPr>
            <w:noProof/>
            <w:webHidden/>
          </w:rPr>
          <w:fldChar w:fldCharType="separate"/>
        </w:r>
        <w:r w:rsidR="00196BE5">
          <w:rPr>
            <w:noProof/>
            <w:webHidden/>
          </w:rPr>
          <w:t>73</w:t>
        </w:r>
        <w:r w:rsidR="00E14206">
          <w:rPr>
            <w:noProof/>
            <w:webHidden/>
          </w:rPr>
          <w:fldChar w:fldCharType="end"/>
        </w:r>
      </w:hyperlink>
    </w:p>
    <w:p w14:paraId="3E33973D"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74" w:history="1">
        <w:r w:rsidR="00E14206" w:rsidRPr="00704300">
          <w:rPr>
            <w:rStyle w:val="Lienhypertexte"/>
            <w:noProof/>
          </w:rPr>
          <w:t>Annexe 7.1.3 : Carte de l’occupation des sols du Mali</w:t>
        </w:r>
        <w:r w:rsidR="00E14206">
          <w:rPr>
            <w:noProof/>
            <w:webHidden/>
          </w:rPr>
          <w:tab/>
        </w:r>
        <w:r w:rsidR="00E14206">
          <w:rPr>
            <w:noProof/>
            <w:webHidden/>
          </w:rPr>
          <w:fldChar w:fldCharType="begin"/>
        </w:r>
        <w:r w:rsidR="00E14206">
          <w:rPr>
            <w:noProof/>
            <w:webHidden/>
          </w:rPr>
          <w:instrText xml:space="preserve"> PAGEREF _Toc20505674 \h </w:instrText>
        </w:r>
        <w:r w:rsidR="00E14206">
          <w:rPr>
            <w:noProof/>
            <w:webHidden/>
          </w:rPr>
        </w:r>
        <w:r w:rsidR="00E14206">
          <w:rPr>
            <w:noProof/>
            <w:webHidden/>
          </w:rPr>
          <w:fldChar w:fldCharType="separate"/>
        </w:r>
        <w:r w:rsidR="00196BE5">
          <w:rPr>
            <w:noProof/>
            <w:webHidden/>
          </w:rPr>
          <w:t>74</w:t>
        </w:r>
        <w:r w:rsidR="00E14206">
          <w:rPr>
            <w:noProof/>
            <w:webHidden/>
          </w:rPr>
          <w:fldChar w:fldCharType="end"/>
        </w:r>
      </w:hyperlink>
    </w:p>
    <w:p w14:paraId="5C3DC464"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75" w:history="1">
        <w:r w:rsidR="00E14206" w:rsidRPr="00704300">
          <w:rPr>
            <w:rStyle w:val="Lienhypertexte"/>
            <w:noProof/>
          </w:rPr>
          <w:t>Annexe 7.1.4 : Carte de la répartition de la population par cercle</w:t>
        </w:r>
        <w:r w:rsidR="00E14206">
          <w:rPr>
            <w:noProof/>
            <w:webHidden/>
          </w:rPr>
          <w:tab/>
        </w:r>
        <w:r w:rsidR="00E14206">
          <w:rPr>
            <w:noProof/>
            <w:webHidden/>
          </w:rPr>
          <w:fldChar w:fldCharType="begin"/>
        </w:r>
        <w:r w:rsidR="00E14206">
          <w:rPr>
            <w:noProof/>
            <w:webHidden/>
          </w:rPr>
          <w:instrText xml:space="preserve"> PAGEREF _Toc20505675 \h </w:instrText>
        </w:r>
        <w:r w:rsidR="00E14206">
          <w:rPr>
            <w:noProof/>
            <w:webHidden/>
          </w:rPr>
        </w:r>
        <w:r w:rsidR="00E14206">
          <w:rPr>
            <w:noProof/>
            <w:webHidden/>
          </w:rPr>
          <w:fldChar w:fldCharType="separate"/>
        </w:r>
        <w:r w:rsidR="00196BE5">
          <w:rPr>
            <w:noProof/>
            <w:webHidden/>
          </w:rPr>
          <w:t>75</w:t>
        </w:r>
        <w:r w:rsidR="00E14206">
          <w:rPr>
            <w:noProof/>
            <w:webHidden/>
          </w:rPr>
          <w:fldChar w:fldCharType="end"/>
        </w:r>
      </w:hyperlink>
    </w:p>
    <w:p w14:paraId="48A42A3C"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76" w:history="1">
        <w:r w:rsidR="00E14206" w:rsidRPr="00704300">
          <w:rPr>
            <w:rStyle w:val="Lienhypertexte"/>
            <w:noProof/>
          </w:rPr>
          <w:t>Annexe 7.1.5 : Carte des reliefs, villes et communication</w:t>
        </w:r>
        <w:r w:rsidR="00E14206">
          <w:rPr>
            <w:noProof/>
            <w:webHidden/>
          </w:rPr>
          <w:tab/>
        </w:r>
        <w:r w:rsidR="00E14206">
          <w:rPr>
            <w:noProof/>
            <w:webHidden/>
          </w:rPr>
          <w:fldChar w:fldCharType="begin"/>
        </w:r>
        <w:r w:rsidR="00E14206">
          <w:rPr>
            <w:noProof/>
            <w:webHidden/>
          </w:rPr>
          <w:instrText xml:space="preserve"> PAGEREF _Toc20505676 \h </w:instrText>
        </w:r>
        <w:r w:rsidR="00E14206">
          <w:rPr>
            <w:noProof/>
            <w:webHidden/>
          </w:rPr>
        </w:r>
        <w:r w:rsidR="00E14206">
          <w:rPr>
            <w:noProof/>
            <w:webHidden/>
          </w:rPr>
          <w:fldChar w:fldCharType="separate"/>
        </w:r>
        <w:r w:rsidR="00196BE5">
          <w:rPr>
            <w:noProof/>
            <w:webHidden/>
          </w:rPr>
          <w:t>76</w:t>
        </w:r>
        <w:r w:rsidR="00E14206">
          <w:rPr>
            <w:noProof/>
            <w:webHidden/>
          </w:rPr>
          <w:fldChar w:fldCharType="end"/>
        </w:r>
      </w:hyperlink>
    </w:p>
    <w:p w14:paraId="5CF52DF1"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77" w:history="1">
        <w:r w:rsidR="00E14206" w:rsidRPr="00704300">
          <w:rPr>
            <w:rStyle w:val="Lienhypertexte"/>
            <w:noProof/>
          </w:rPr>
          <w:t>Annexe 7.1.6 : Carte de la végétation du Mali</w:t>
        </w:r>
        <w:r w:rsidR="00E14206">
          <w:rPr>
            <w:noProof/>
            <w:webHidden/>
          </w:rPr>
          <w:tab/>
        </w:r>
        <w:r w:rsidR="00E14206">
          <w:rPr>
            <w:noProof/>
            <w:webHidden/>
          </w:rPr>
          <w:fldChar w:fldCharType="begin"/>
        </w:r>
        <w:r w:rsidR="00E14206">
          <w:rPr>
            <w:noProof/>
            <w:webHidden/>
          </w:rPr>
          <w:instrText xml:space="preserve"> PAGEREF _Toc20505677 \h </w:instrText>
        </w:r>
        <w:r w:rsidR="00E14206">
          <w:rPr>
            <w:noProof/>
            <w:webHidden/>
          </w:rPr>
        </w:r>
        <w:r w:rsidR="00E14206">
          <w:rPr>
            <w:noProof/>
            <w:webHidden/>
          </w:rPr>
          <w:fldChar w:fldCharType="separate"/>
        </w:r>
        <w:r w:rsidR="00196BE5">
          <w:rPr>
            <w:noProof/>
            <w:webHidden/>
          </w:rPr>
          <w:t>77</w:t>
        </w:r>
        <w:r w:rsidR="00E14206">
          <w:rPr>
            <w:noProof/>
            <w:webHidden/>
          </w:rPr>
          <w:fldChar w:fldCharType="end"/>
        </w:r>
      </w:hyperlink>
    </w:p>
    <w:p w14:paraId="44F050D7"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78" w:history="1">
        <w:r w:rsidR="00E14206" w:rsidRPr="00704300">
          <w:rPr>
            <w:rStyle w:val="Lienhypertexte"/>
            <w:noProof/>
          </w:rPr>
          <w:t>Annexe 7.1.7 : Carte des bassins versants de l’Afrique de l’Ouest</w:t>
        </w:r>
        <w:r w:rsidR="00E14206">
          <w:rPr>
            <w:noProof/>
            <w:webHidden/>
          </w:rPr>
          <w:tab/>
        </w:r>
        <w:r w:rsidR="00E14206">
          <w:rPr>
            <w:noProof/>
            <w:webHidden/>
          </w:rPr>
          <w:fldChar w:fldCharType="begin"/>
        </w:r>
        <w:r w:rsidR="00E14206">
          <w:rPr>
            <w:noProof/>
            <w:webHidden/>
          </w:rPr>
          <w:instrText xml:space="preserve"> PAGEREF _Toc20505678 \h </w:instrText>
        </w:r>
        <w:r w:rsidR="00E14206">
          <w:rPr>
            <w:noProof/>
            <w:webHidden/>
          </w:rPr>
        </w:r>
        <w:r w:rsidR="00E14206">
          <w:rPr>
            <w:noProof/>
            <w:webHidden/>
          </w:rPr>
          <w:fldChar w:fldCharType="separate"/>
        </w:r>
        <w:r w:rsidR="00196BE5">
          <w:rPr>
            <w:noProof/>
            <w:webHidden/>
          </w:rPr>
          <w:t>78</w:t>
        </w:r>
        <w:r w:rsidR="00E14206">
          <w:rPr>
            <w:noProof/>
            <w:webHidden/>
          </w:rPr>
          <w:fldChar w:fldCharType="end"/>
        </w:r>
      </w:hyperlink>
    </w:p>
    <w:p w14:paraId="525A1D39"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79" w:history="1">
        <w:r w:rsidR="00E14206" w:rsidRPr="00704300">
          <w:rPr>
            <w:rStyle w:val="Lienhypertexte"/>
            <w:noProof/>
          </w:rPr>
          <w:t>Annexe 7.1.8 : Carte de localisation du Niger supérieur guinéen et malien et des principaux barrages</w:t>
        </w:r>
        <w:r w:rsidR="00E14206">
          <w:rPr>
            <w:noProof/>
            <w:webHidden/>
          </w:rPr>
          <w:tab/>
        </w:r>
        <w:r w:rsidR="00E14206">
          <w:rPr>
            <w:noProof/>
            <w:webHidden/>
          </w:rPr>
          <w:fldChar w:fldCharType="begin"/>
        </w:r>
        <w:r w:rsidR="00E14206">
          <w:rPr>
            <w:noProof/>
            <w:webHidden/>
          </w:rPr>
          <w:instrText xml:space="preserve"> PAGEREF _Toc20505679 \h </w:instrText>
        </w:r>
        <w:r w:rsidR="00E14206">
          <w:rPr>
            <w:noProof/>
            <w:webHidden/>
          </w:rPr>
        </w:r>
        <w:r w:rsidR="00E14206">
          <w:rPr>
            <w:noProof/>
            <w:webHidden/>
          </w:rPr>
          <w:fldChar w:fldCharType="separate"/>
        </w:r>
        <w:r w:rsidR="00196BE5">
          <w:rPr>
            <w:noProof/>
            <w:webHidden/>
          </w:rPr>
          <w:t>79</w:t>
        </w:r>
        <w:r w:rsidR="00E14206">
          <w:rPr>
            <w:noProof/>
            <w:webHidden/>
          </w:rPr>
          <w:fldChar w:fldCharType="end"/>
        </w:r>
      </w:hyperlink>
    </w:p>
    <w:p w14:paraId="661FFABB"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80" w:history="1">
        <w:r w:rsidR="00E14206" w:rsidRPr="00704300">
          <w:rPr>
            <w:rStyle w:val="Lienhypertexte"/>
            <w:noProof/>
          </w:rPr>
          <w:t>Annexe 7.1.9 : Carte de la répartition des villages selon leur taux d’équipement en points d’eau modernes par région au Mali</w:t>
        </w:r>
        <w:r w:rsidR="00E14206">
          <w:rPr>
            <w:noProof/>
            <w:webHidden/>
          </w:rPr>
          <w:tab/>
        </w:r>
        <w:r w:rsidR="00E14206">
          <w:rPr>
            <w:noProof/>
            <w:webHidden/>
          </w:rPr>
          <w:fldChar w:fldCharType="begin"/>
        </w:r>
        <w:r w:rsidR="00E14206">
          <w:rPr>
            <w:noProof/>
            <w:webHidden/>
          </w:rPr>
          <w:instrText xml:space="preserve"> PAGEREF _Toc20505680 \h </w:instrText>
        </w:r>
        <w:r w:rsidR="00E14206">
          <w:rPr>
            <w:noProof/>
            <w:webHidden/>
          </w:rPr>
        </w:r>
        <w:r w:rsidR="00E14206">
          <w:rPr>
            <w:noProof/>
            <w:webHidden/>
          </w:rPr>
          <w:fldChar w:fldCharType="separate"/>
        </w:r>
        <w:r w:rsidR="00196BE5">
          <w:rPr>
            <w:noProof/>
            <w:webHidden/>
          </w:rPr>
          <w:t>80</w:t>
        </w:r>
        <w:r w:rsidR="00E14206">
          <w:rPr>
            <w:noProof/>
            <w:webHidden/>
          </w:rPr>
          <w:fldChar w:fldCharType="end"/>
        </w:r>
      </w:hyperlink>
    </w:p>
    <w:p w14:paraId="73E2CEC4"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81" w:history="1">
        <w:r w:rsidR="00E14206" w:rsidRPr="00704300">
          <w:rPr>
            <w:rStyle w:val="Lienhypertexte"/>
            <w:noProof/>
          </w:rPr>
          <w:t>Annexe 7.1.10 : Carte des mines d’or en exploitation</w:t>
        </w:r>
        <w:r w:rsidR="00E14206">
          <w:rPr>
            <w:noProof/>
            <w:webHidden/>
          </w:rPr>
          <w:tab/>
        </w:r>
        <w:r w:rsidR="00E14206">
          <w:rPr>
            <w:noProof/>
            <w:webHidden/>
          </w:rPr>
          <w:fldChar w:fldCharType="begin"/>
        </w:r>
        <w:r w:rsidR="00E14206">
          <w:rPr>
            <w:noProof/>
            <w:webHidden/>
          </w:rPr>
          <w:instrText xml:space="preserve"> PAGEREF _Toc20505681 \h </w:instrText>
        </w:r>
        <w:r w:rsidR="00E14206">
          <w:rPr>
            <w:noProof/>
            <w:webHidden/>
          </w:rPr>
        </w:r>
        <w:r w:rsidR="00E14206">
          <w:rPr>
            <w:noProof/>
            <w:webHidden/>
          </w:rPr>
          <w:fldChar w:fldCharType="separate"/>
        </w:r>
        <w:r w:rsidR="00196BE5">
          <w:rPr>
            <w:noProof/>
            <w:webHidden/>
          </w:rPr>
          <w:t>81</w:t>
        </w:r>
        <w:r w:rsidR="00E14206">
          <w:rPr>
            <w:noProof/>
            <w:webHidden/>
          </w:rPr>
          <w:fldChar w:fldCharType="end"/>
        </w:r>
      </w:hyperlink>
    </w:p>
    <w:p w14:paraId="5F23388D"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82" w:history="1">
        <w:r w:rsidR="00E14206" w:rsidRPr="00704300">
          <w:rPr>
            <w:rStyle w:val="Lienhypertexte"/>
            <w:noProof/>
          </w:rPr>
          <w:t>Annexe 7.1.11 : Carte des diverses formes de pressions anthropiques dans les aires protégées et forêts de la zone Mali Ouest</w:t>
        </w:r>
        <w:r w:rsidR="00E14206">
          <w:rPr>
            <w:noProof/>
            <w:webHidden/>
          </w:rPr>
          <w:tab/>
        </w:r>
        <w:r w:rsidR="00E14206">
          <w:rPr>
            <w:noProof/>
            <w:webHidden/>
          </w:rPr>
          <w:fldChar w:fldCharType="begin"/>
        </w:r>
        <w:r w:rsidR="00E14206">
          <w:rPr>
            <w:noProof/>
            <w:webHidden/>
          </w:rPr>
          <w:instrText xml:space="preserve"> PAGEREF _Toc20505682 \h </w:instrText>
        </w:r>
        <w:r w:rsidR="00E14206">
          <w:rPr>
            <w:noProof/>
            <w:webHidden/>
          </w:rPr>
        </w:r>
        <w:r w:rsidR="00E14206">
          <w:rPr>
            <w:noProof/>
            <w:webHidden/>
          </w:rPr>
          <w:fldChar w:fldCharType="separate"/>
        </w:r>
        <w:r w:rsidR="00196BE5">
          <w:rPr>
            <w:noProof/>
            <w:webHidden/>
          </w:rPr>
          <w:t>82</w:t>
        </w:r>
        <w:r w:rsidR="00E14206">
          <w:rPr>
            <w:noProof/>
            <w:webHidden/>
          </w:rPr>
          <w:fldChar w:fldCharType="end"/>
        </w:r>
      </w:hyperlink>
    </w:p>
    <w:p w14:paraId="653D6318"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83" w:history="1">
        <w:r w:rsidR="00E14206" w:rsidRPr="00704300">
          <w:rPr>
            <w:rStyle w:val="Lienhypertexte"/>
            <w:noProof/>
          </w:rPr>
          <w:t>Annexe 7.1.12 : Carte de risque et vulnérabilité liés à la sécheresse</w:t>
        </w:r>
        <w:r w:rsidR="00E14206">
          <w:rPr>
            <w:noProof/>
            <w:webHidden/>
          </w:rPr>
          <w:tab/>
        </w:r>
        <w:r w:rsidR="00E14206">
          <w:rPr>
            <w:noProof/>
            <w:webHidden/>
          </w:rPr>
          <w:fldChar w:fldCharType="begin"/>
        </w:r>
        <w:r w:rsidR="00E14206">
          <w:rPr>
            <w:noProof/>
            <w:webHidden/>
          </w:rPr>
          <w:instrText xml:space="preserve"> PAGEREF _Toc20505683 \h </w:instrText>
        </w:r>
        <w:r w:rsidR="00E14206">
          <w:rPr>
            <w:noProof/>
            <w:webHidden/>
          </w:rPr>
        </w:r>
        <w:r w:rsidR="00E14206">
          <w:rPr>
            <w:noProof/>
            <w:webHidden/>
          </w:rPr>
          <w:fldChar w:fldCharType="separate"/>
        </w:r>
        <w:r w:rsidR="00196BE5">
          <w:rPr>
            <w:noProof/>
            <w:webHidden/>
          </w:rPr>
          <w:t>83</w:t>
        </w:r>
        <w:r w:rsidR="00E14206">
          <w:rPr>
            <w:noProof/>
            <w:webHidden/>
          </w:rPr>
          <w:fldChar w:fldCharType="end"/>
        </w:r>
      </w:hyperlink>
    </w:p>
    <w:p w14:paraId="7F0F82CE"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84" w:history="1">
        <w:r w:rsidR="00E14206" w:rsidRPr="00704300">
          <w:rPr>
            <w:rStyle w:val="Lienhypertexte"/>
            <w:noProof/>
          </w:rPr>
          <w:t>Annexe 7.1.13 : Carte de risque et vulnérabilité liés aux feux de brousse</w:t>
        </w:r>
        <w:r w:rsidR="00E14206">
          <w:rPr>
            <w:noProof/>
            <w:webHidden/>
          </w:rPr>
          <w:tab/>
        </w:r>
        <w:r w:rsidR="00E14206">
          <w:rPr>
            <w:noProof/>
            <w:webHidden/>
          </w:rPr>
          <w:fldChar w:fldCharType="begin"/>
        </w:r>
        <w:r w:rsidR="00E14206">
          <w:rPr>
            <w:noProof/>
            <w:webHidden/>
          </w:rPr>
          <w:instrText xml:space="preserve"> PAGEREF _Toc20505684 \h </w:instrText>
        </w:r>
        <w:r w:rsidR="00E14206">
          <w:rPr>
            <w:noProof/>
            <w:webHidden/>
          </w:rPr>
        </w:r>
        <w:r w:rsidR="00E14206">
          <w:rPr>
            <w:noProof/>
            <w:webHidden/>
          </w:rPr>
          <w:fldChar w:fldCharType="separate"/>
        </w:r>
        <w:r w:rsidR="00196BE5">
          <w:rPr>
            <w:noProof/>
            <w:webHidden/>
          </w:rPr>
          <w:t>84</w:t>
        </w:r>
        <w:r w:rsidR="00E14206">
          <w:rPr>
            <w:noProof/>
            <w:webHidden/>
          </w:rPr>
          <w:fldChar w:fldCharType="end"/>
        </w:r>
      </w:hyperlink>
    </w:p>
    <w:p w14:paraId="111A190B"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85" w:history="1">
        <w:r w:rsidR="00E14206" w:rsidRPr="00704300">
          <w:rPr>
            <w:rStyle w:val="Lienhypertexte"/>
            <w:noProof/>
          </w:rPr>
          <w:t>Annexe 7.1.14 : Carte de risque et vulnérabilité liés à l’inondation</w:t>
        </w:r>
        <w:r w:rsidR="00E14206">
          <w:rPr>
            <w:noProof/>
            <w:webHidden/>
          </w:rPr>
          <w:tab/>
        </w:r>
        <w:r w:rsidR="00E14206">
          <w:rPr>
            <w:noProof/>
            <w:webHidden/>
          </w:rPr>
          <w:fldChar w:fldCharType="begin"/>
        </w:r>
        <w:r w:rsidR="00E14206">
          <w:rPr>
            <w:noProof/>
            <w:webHidden/>
          </w:rPr>
          <w:instrText xml:space="preserve"> PAGEREF _Toc20505685 \h </w:instrText>
        </w:r>
        <w:r w:rsidR="00E14206">
          <w:rPr>
            <w:noProof/>
            <w:webHidden/>
          </w:rPr>
        </w:r>
        <w:r w:rsidR="00E14206">
          <w:rPr>
            <w:noProof/>
            <w:webHidden/>
          </w:rPr>
          <w:fldChar w:fldCharType="separate"/>
        </w:r>
        <w:r w:rsidR="00196BE5">
          <w:rPr>
            <w:noProof/>
            <w:webHidden/>
          </w:rPr>
          <w:t>85</w:t>
        </w:r>
        <w:r w:rsidR="00E14206">
          <w:rPr>
            <w:noProof/>
            <w:webHidden/>
          </w:rPr>
          <w:fldChar w:fldCharType="end"/>
        </w:r>
      </w:hyperlink>
    </w:p>
    <w:p w14:paraId="313F6661"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86" w:history="1">
        <w:r w:rsidR="00E14206" w:rsidRPr="00704300">
          <w:rPr>
            <w:rStyle w:val="Lienhypertexte"/>
            <w:noProof/>
          </w:rPr>
          <w:t>Annexe 7.1.15: Carte de pourcentage de la population en insécurité alimentaire 2013 – 2017</w:t>
        </w:r>
        <w:r w:rsidR="00E14206">
          <w:rPr>
            <w:noProof/>
            <w:webHidden/>
          </w:rPr>
          <w:tab/>
        </w:r>
        <w:r w:rsidR="00E14206">
          <w:rPr>
            <w:noProof/>
            <w:webHidden/>
          </w:rPr>
          <w:fldChar w:fldCharType="begin"/>
        </w:r>
        <w:r w:rsidR="00E14206">
          <w:rPr>
            <w:noProof/>
            <w:webHidden/>
          </w:rPr>
          <w:instrText xml:space="preserve"> PAGEREF _Toc20505686 \h </w:instrText>
        </w:r>
        <w:r w:rsidR="00E14206">
          <w:rPr>
            <w:noProof/>
            <w:webHidden/>
          </w:rPr>
        </w:r>
        <w:r w:rsidR="00E14206">
          <w:rPr>
            <w:noProof/>
            <w:webHidden/>
          </w:rPr>
          <w:fldChar w:fldCharType="separate"/>
        </w:r>
        <w:r w:rsidR="00196BE5">
          <w:rPr>
            <w:noProof/>
            <w:webHidden/>
          </w:rPr>
          <w:t>86</w:t>
        </w:r>
        <w:r w:rsidR="00E14206">
          <w:rPr>
            <w:noProof/>
            <w:webHidden/>
          </w:rPr>
          <w:fldChar w:fldCharType="end"/>
        </w:r>
      </w:hyperlink>
    </w:p>
    <w:p w14:paraId="68477798"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87" w:history="1">
        <w:r w:rsidR="00E14206" w:rsidRPr="00704300">
          <w:rPr>
            <w:rStyle w:val="Lienhypertexte"/>
            <w:noProof/>
          </w:rPr>
          <w:t>Annexe 7.1.16 : Carte de niveau de risque aux inondations à l’échelle du cercle</w:t>
        </w:r>
        <w:r w:rsidR="00E14206">
          <w:rPr>
            <w:noProof/>
            <w:webHidden/>
          </w:rPr>
          <w:tab/>
        </w:r>
        <w:r w:rsidR="00E14206">
          <w:rPr>
            <w:noProof/>
            <w:webHidden/>
          </w:rPr>
          <w:fldChar w:fldCharType="begin"/>
        </w:r>
        <w:r w:rsidR="00E14206">
          <w:rPr>
            <w:noProof/>
            <w:webHidden/>
          </w:rPr>
          <w:instrText xml:space="preserve"> PAGEREF _Toc20505687 \h </w:instrText>
        </w:r>
        <w:r w:rsidR="00E14206">
          <w:rPr>
            <w:noProof/>
            <w:webHidden/>
          </w:rPr>
        </w:r>
        <w:r w:rsidR="00E14206">
          <w:rPr>
            <w:noProof/>
            <w:webHidden/>
          </w:rPr>
          <w:fldChar w:fldCharType="separate"/>
        </w:r>
        <w:r w:rsidR="00196BE5">
          <w:rPr>
            <w:noProof/>
            <w:webHidden/>
          </w:rPr>
          <w:t>87</w:t>
        </w:r>
        <w:r w:rsidR="00E14206">
          <w:rPr>
            <w:noProof/>
            <w:webHidden/>
          </w:rPr>
          <w:fldChar w:fldCharType="end"/>
        </w:r>
      </w:hyperlink>
    </w:p>
    <w:p w14:paraId="18C3F2B0"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88" w:history="1">
        <w:r w:rsidR="00E14206" w:rsidRPr="00704300">
          <w:rPr>
            <w:rStyle w:val="Lienhypertexte"/>
            <w:noProof/>
          </w:rPr>
          <w:t>Annexe 7.1.17 : Carte de potentiel de séquestration du carbone du Mali</w:t>
        </w:r>
        <w:r w:rsidR="00E14206">
          <w:rPr>
            <w:noProof/>
            <w:webHidden/>
          </w:rPr>
          <w:tab/>
        </w:r>
        <w:r w:rsidR="00E14206">
          <w:rPr>
            <w:noProof/>
            <w:webHidden/>
          </w:rPr>
          <w:fldChar w:fldCharType="begin"/>
        </w:r>
        <w:r w:rsidR="00E14206">
          <w:rPr>
            <w:noProof/>
            <w:webHidden/>
          </w:rPr>
          <w:instrText xml:space="preserve"> PAGEREF _Toc20505688 \h </w:instrText>
        </w:r>
        <w:r w:rsidR="00E14206">
          <w:rPr>
            <w:noProof/>
            <w:webHidden/>
          </w:rPr>
        </w:r>
        <w:r w:rsidR="00E14206">
          <w:rPr>
            <w:noProof/>
            <w:webHidden/>
          </w:rPr>
          <w:fldChar w:fldCharType="separate"/>
        </w:r>
        <w:r w:rsidR="00196BE5">
          <w:rPr>
            <w:noProof/>
            <w:webHidden/>
          </w:rPr>
          <w:t>88</w:t>
        </w:r>
        <w:r w:rsidR="00E14206">
          <w:rPr>
            <w:noProof/>
            <w:webHidden/>
          </w:rPr>
          <w:fldChar w:fldCharType="end"/>
        </w:r>
      </w:hyperlink>
    </w:p>
    <w:p w14:paraId="30421611"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89" w:history="1">
        <w:r w:rsidR="00E14206" w:rsidRPr="00704300">
          <w:rPr>
            <w:rStyle w:val="Lienhypertexte"/>
            <w:noProof/>
          </w:rPr>
          <w:t>Annexe 7.1.18 : Carte des zones de moyens d'existence, les caractéristiques de production et les risques aux changements climatiques</w:t>
        </w:r>
        <w:r w:rsidR="00E14206">
          <w:rPr>
            <w:noProof/>
            <w:webHidden/>
          </w:rPr>
          <w:tab/>
        </w:r>
        <w:r w:rsidR="00E14206">
          <w:rPr>
            <w:noProof/>
            <w:webHidden/>
          </w:rPr>
          <w:fldChar w:fldCharType="begin"/>
        </w:r>
        <w:r w:rsidR="00E14206">
          <w:rPr>
            <w:noProof/>
            <w:webHidden/>
          </w:rPr>
          <w:instrText xml:space="preserve"> PAGEREF _Toc20505689 \h </w:instrText>
        </w:r>
        <w:r w:rsidR="00E14206">
          <w:rPr>
            <w:noProof/>
            <w:webHidden/>
          </w:rPr>
        </w:r>
        <w:r w:rsidR="00E14206">
          <w:rPr>
            <w:noProof/>
            <w:webHidden/>
          </w:rPr>
          <w:fldChar w:fldCharType="separate"/>
        </w:r>
        <w:r w:rsidR="00196BE5">
          <w:rPr>
            <w:noProof/>
            <w:webHidden/>
          </w:rPr>
          <w:t>89</w:t>
        </w:r>
        <w:r w:rsidR="00E14206">
          <w:rPr>
            <w:noProof/>
            <w:webHidden/>
          </w:rPr>
          <w:fldChar w:fldCharType="end"/>
        </w:r>
      </w:hyperlink>
    </w:p>
    <w:p w14:paraId="725552A1"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90" w:history="1">
        <w:r w:rsidR="00E14206" w:rsidRPr="00704300">
          <w:rPr>
            <w:rStyle w:val="Lienhypertexte"/>
            <w:noProof/>
          </w:rPr>
          <w:t>Annexe 7.1.19 : Carte de l’agglomération de Bamako</w:t>
        </w:r>
        <w:r w:rsidR="00E14206">
          <w:rPr>
            <w:noProof/>
            <w:webHidden/>
          </w:rPr>
          <w:tab/>
        </w:r>
        <w:r w:rsidR="00E14206">
          <w:rPr>
            <w:noProof/>
            <w:webHidden/>
          </w:rPr>
          <w:fldChar w:fldCharType="begin"/>
        </w:r>
        <w:r w:rsidR="00E14206">
          <w:rPr>
            <w:noProof/>
            <w:webHidden/>
          </w:rPr>
          <w:instrText xml:space="preserve"> PAGEREF _Toc20505690 \h </w:instrText>
        </w:r>
        <w:r w:rsidR="00E14206">
          <w:rPr>
            <w:noProof/>
            <w:webHidden/>
          </w:rPr>
        </w:r>
        <w:r w:rsidR="00E14206">
          <w:rPr>
            <w:noProof/>
            <w:webHidden/>
          </w:rPr>
          <w:fldChar w:fldCharType="separate"/>
        </w:r>
        <w:r w:rsidR="00196BE5">
          <w:rPr>
            <w:noProof/>
            <w:webHidden/>
          </w:rPr>
          <w:t>90</w:t>
        </w:r>
        <w:r w:rsidR="00E14206">
          <w:rPr>
            <w:noProof/>
            <w:webHidden/>
          </w:rPr>
          <w:fldChar w:fldCharType="end"/>
        </w:r>
      </w:hyperlink>
    </w:p>
    <w:p w14:paraId="4E4FDD21"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91" w:history="1">
        <w:r w:rsidR="00E14206" w:rsidRPr="00704300">
          <w:rPr>
            <w:rStyle w:val="Lienhypertexte"/>
            <w:noProof/>
          </w:rPr>
          <w:t>Annexe 7.1.20 : Carte de zone de forte insécurité</w:t>
        </w:r>
        <w:r w:rsidR="00E14206">
          <w:rPr>
            <w:noProof/>
            <w:webHidden/>
          </w:rPr>
          <w:tab/>
        </w:r>
        <w:r w:rsidR="00E14206">
          <w:rPr>
            <w:noProof/>
            <w:webHidden/>
          </w:rPr>
          <w:fldChar w:fldCharType="begin"/>
        </w:r>
        <w:r w:rsidR="00E14206">
          <w:rPr>
            <w:noProof/>
            <w:webHidden/>
          </w:rPr>
          <w:instrText xml:space="preserve"> PAGEREF _Toc20505691 \h </w:instrText>
        </w:r>
        <w:r w:rsidR="00E14206">
          <w:rPr>
            <w:noProof/>
            <w:webHidden/>
          </w:rPr>
        </w:r>
        <w:r w:rsidR="00E14206">
          <w:rPr>
            <w:noProof/>
            <w:webHidden/>
          </w:rPr>
          <w:fldChar w:fldCharType="separate"/>
        </w:r>
        <w:r w:rsidR="00196BE5">
          <w:rPr>
            <w:noProof/>
            <w:webHidden/>
          </w:rPr>
          <w:t>91</w:t>
        </w:r>
        <w:r w:rsidR="00E14206">
          <w:rPr>
            <w:noProof/>
            <w:webHidden/>
          </w:rPr>
          <w:fldChar w:fldCharType="end"/>
        </w:r>
      </w:hyperlink>
    </w:p>
    <w:p w14:paraId="68E31187" w14:textId="77777777" w:rsidR="00E14206" w:rsidRDefault="00736FE4">
      <w:pPr>
        <w:pStyle w:val="TM2"/>
        <w:tabs>
          <w:tab w:val="right" w:leader="dot" w:pos="9182"/>
        </w:tabs>
        <w:rPr>
          <w:rFonts w:asciiTheme="minorHAnsi" w:hAnsiTheme="minorHAnsi"/>
          <w:smallCaps w:val="0"/>
          <w:noProof/>
          <w:sz w:val="22"/>
          <w:szCs w:val="22"/>
          <w:lang w:val="de-DE" w:eastAsia="de-DE"/>
        </w:rPr>
      </w:pPr>
      <w:hyperlink w:anchor="_Toc20505692" w:history="1">
        <w:r w:rsidR="00E14206" w:rsidRPr="00704300">
          <w:rPr>
            <w:rStyle w:val="Lienhypertexte"/>
            <w:noProof/>
          </w:rPr>
          <w:t>7.2 Liste de référence des documents de politique environnementale, autres documents de bases ou plans d’action</w:t>
        </w:r>
        <w:r w:rsidR="00E14206">
          <w:rPr>
            <w:noProof/>
            <w:webHidden/>
          </w:rPr>
          <w:tab/>
        </w:r>
        <w:r w:rsidR="00E14206">
          <w:rPr>
            <w:noProof/>
            <w:webHidden/>
          </w:rPr>
          <w:fldChar w:fldCharType="begin"/>
        </w:r>
        <w:r w:rsidR="00E14206">
          <w:rPr>
            <w:noProof/>
            <w:webHidden/>
          </w:rPr>
          <w:instrText xml:space="preserve"> PAGEREF _Toc20505692 \h </w:instrText>
        </w:r>
        <w:r w:rsidR="00E14206">
          <w:rPr>
            <w:noProof/>
            <w:webHidden/>
          </w:rPr>
        </w:r>
        <w:r w:rsidR="00E14206">
          <w:rPr>
            <w:noProof/>
            <w:webHidden/>
          </w:rPr>
          <w:fldChar w:fldCharType="separate"/>
        </w:r>
        <w:r w:rsidR="00196BE5">
          <w:rPr>
            <w:noProof/>
            <w:webHidden/>
          </w:rPr>
          <w:t>92</w:t>
        </w:r>
        <w:r w:rsidR="00E14206">
          <w:rPr>
            <w:noProof/>
            <w:webHidden/>
          </w:rPr>
          <w:fldChar w:fldCharType="end"/>
        </w:r>
      </w:hyperlink>
    </w:p>
    <w:p w14:paraId="6A246060"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93" w:history="1">
        <w:r w:rsidR="00E14206" w:rsidRPr="00704300">
          <w:rPr>
            <w:rStyle w:val="Lienhypertexte"/>
            <w:noProof/>
          </w:rPr>
          <w:t>7.2.1 Politiques, plans et stratégies en matière d’environnement</w:t>
        </w:r>
        <w:r w:rsidR="00E14206">
          <w:rPr>
            <w:noProof/>
            <w:webHidden/>
          </w:rPr>
          <w:tab/>
        </w:r>
        <w:r w:rsidR="00E14206">
          <w:rPr>
            <w:noProof/>
            <w:webHidden/>
          </w:rPr>
          <w:fldChar w:fldCharType="begin"/>
        </w:r>
        <w:r w:rsidR="00E14206">
          <w:rPr>
            <w:noProof/>
            <w:webHidden/>
          </w:rPr>
          <w:instrText xml:space="preserve"> PAGEREF _Toc20505693 \h </w:instrText>
        </w:r>
        <w:r w:rsidR="00E14206">
          <w:rPr>
            <w:noProof/>
            <w:webHidden/>
          </w:rPr>
        </w:r>
        <w:r w:rsidR="00E14206">
          <w:rPr>
            <w:noProof/>
            <w:webHidden/>
          </w:rPr>
          <w:fldChar w:fldCharType="separate"/>
        </w:r>
        <w:r w:rsidR="00196BE5">
          <w:rPr>
            <w:noProof/>
            <w:webHidden/>
          </w:rPr>
          <w:t>92</w:t>
        </w:r>
        <w:r w:rsidR="00E14206">
          <w:rPr>
            <w:noProof/>
            <w:webHidden/>
          </w:rPr>
          <w:fldChar w:fldCharType="end"/>
        </w:r>
      </w:hyperlink>
    </w:p>
    <w:p w14:paraId="10923824"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94" w:history="1">
        <w:r w:rsidR="00E14206" w:rsidRPr="00704300">
          <w:rPr>
            <w:rStyle w:val="Lienhypertexte"/>
            <w:noProof/>
          </w:rPr>
          <w:t>7.2.2 Accords internationaux</w:t>
        </w:r>
        <w:r w:rsidR="00E14206">
          <w:rPr>
            <w:noProof/>
            <w:webHidden/>
          </w:rPr>
          <w:tab/>
        </w:r>
        <w:r w:rsidR="00E14206">
          <w:rPr>
            <w:noProof/>
            <w:webHidden/>
          </w:rPr>
          <w:fldChar w:fldCharType="begin"/>
        </w:r>
        <w:r w:rsidR="00E14206">
          <w:rPr>
            <w:noProof/>
            <w:webHidden/>
          </w:rPr>
          <w:instrText xml:space="preserve"> PAGEREF _Toc20505694 \h </w:instrText>
        </w:r>
        <w:r w:rsidR="00E14206">
          <w:rPr>
            <w:noProof/>
            <w:webHidden/>
          </w:rPr>
        </w:r>
        <w:r w:rsidR="00E14206">
          <w:rPr>
            <w:noProof/>
            <w:webHidden/>
          </w:rPr>
          <w:fldChar w:fldCharType="separate"/>
        </w:r>
        <w:r w:rsidR="00196BE5">
          <w:rPr>
            <w:noProof/>
            <w:webHidden/>
          </w:rPr>
          <w:t>95</w:t>
        </w:r>
        <w:r w:rsidR="00E14206">
          <w:rPr>
            <w:noProof/>
            <w:webHidden/>
          </w:rPr>
          <w:fldChar w:fldCharType="end"/>
        </w:r>
      </w:hyperlink>
    </w:p>
    <w:p w14:paraId="54807AD1"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95" w:history="1">
        <w:r w:rsidR="00E14206" w:rsidRPr="00704300">
          <w:rPr>
            <w:rStyle w:val="Lienhypertexte"/>
            <w:noProof/>
          </w:rPr>
          <w:t>7.2.</w:t>
        </w:r>
        <w:r w:rsidR="00E14206" w:rsidRPr="00704300">
          <w:rPr>
            <w:rStyle w:val="Lienhypertexte"/>
            <w:caps/>
            <w:noProof/>
          </w:rPr>
          <w:t xml:space="preserve">3 </w:t>
        </w:r>
        <w:r w:rsidR="00E14206" w:rsidRPr="00704300">
          <w:rPr>
            <w:rStyle w:val="Lienhypertexte"/>
            <w:noProof/>
          </w:rPr>
          <w:t>Textes législatifs et réglementaires principaux ayant trait à l’environnement modifie</w:t>
        </w:r>
        <w:r w:rsidR="00E14206">
          <w:rPr>
            <w:noProof/>
            <w:webHidden/>
          </w:rPr>
          <w:tab/>
        </w:r>
        <w:r w:rsidR="00E14206">
          <w:rPr>
            <w:noProof/>
            <w:webHidden/>
          </w:rPr>
          <w:fldChar w:fldCharType="begin"/>
        </w:r>
        <w:r w:rsidR="00E14206">
          <w:rPr>
            <w:noProof/>
            <w:webHidden/>
          </w:rPr>
          <w:instrText xml:space="preserve"> PAGEREF _Toc20505695 \h </w:instrText>
        </w:r>
        <w:r w:rsidR="00E14206">
          <w:rPr>
            <w:noProof/>
            <w:webHidden/>
          </w:rPr>
        </w:r>
        <w:r w:rsidR="00E14206">
          <w:rPr>
            <w:noProof/>
            <w:webHidden/>
          </w:rPr>
          <w:fldChar w:fldCharType="separate"/>
        </w:r>
        <w:r w:rsidR="00196BE5">
          <w:rPr>
            <w:noProof/>
            <w:webHidden/>
          </w:rPr>
          <w:t>96</w:t>
        </w:r>
        <w:r w:rsidR="00E14206">
          <w:rPr>
            <w:noProof/>
            <w:webHidden/>
          </w:rPr>
          <w:fldChar w:fldCharType="end"/>
        </w:r>
      </w:hyperlink>
    </w:p>
    <w:p w14:paraId="5FF4978A" w14:textId="77777777" w:rsidR="00E14206" w:rsidRDefault="00736FE4">
      <w:pPr>
        <w:pStyle w:val="TM2"/>
        <w:tabs>
          <w:tab w:val="right" w:leader="dot" w:pos="9182"/>
        </w:tabs>
        <w:rPr>
          <w:rFonts w:asciiTheme="minorHAnsi" w:hAnsiTheme="minorHAnsi"/>
          <w:smallCaps w:val="0"/>
          <w:noProof/>
          <w:sz w:val="22"/>
          <w:szCs w:val="22"/>
          <w:lang w:val="de-DE" w:eastAsia="de-DE"/>
        </w:rPr>
      </w:pPr>
      <w:hyperlink w:anchor="_Toc20505696" w:history="1">
        <w:r w:rsidR="00E14206" w:rsidRPr="00704300">
          <w:rPr>
            <w:rStyle w:val="Lienhypertexte"/>
            <w:noProof/>
            <w:lang w:eastAsia="fr-FR"/>
          </w:rPr>
          <w:t>7.3 Fiche technique par secteur reprenant les principales recommandations</w:t>
        </w:r>
        <w:r w:rsidR="00E14206">
          <w:rPr>
            <w:noProof/>
            <w:webHidden/>
          </w:rPr>
          <w:tab/>
        </w:r>
        <w:r w:rsidR="00E14206">
          <w:rPr>
            <w:noProof/>
            <w:webHidden/>
          </w:rPr>
          <w:fldChar w:fldCharType="begin"/>
        </w:r>
        <w:r w:rsidR="00E14206">
          <w:rPr>
            <w:noProof/>
            <w:webHidden/>
          </w:rPr>
          <w:instrText xml:space="preserve"> PAGEREF _Toc20505696 \h </w:instrText>
        </w:r>
        <w:r w:rsidR="00E14206">
          <w:rPr>
            <w:noProof/>
            <w:webHidden/>
          </w:rPr>
        </w:r>
        <w:r w:rsidR="00E14206">
          <w:rPr>
            <w:noProof/>
            <w:webHidden/>
          </w:rPr>
          <w:fldChar w:fldCharType="separate"/>
        </w:r>
        <w:r w:rsidR="00196BE5">
          <w:rPr>
            <w:noProof/>
            <w:webHidden/>
          </w:rPr>
          <w:t>101</w:t>
        </w:r>
        <w:r w:rsidR="00E14206">
          <w:rPr>
            <w:noProof/>
            <w:webHidden/>
          </w:rPr>
          <w:fldChar w:fldCharType="end"/>
        </w:r>
      </w:hyperlink>
    </w:p>
    <w:p w14:paraId="45666D63"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97" w:history="1">
        <w:r w:rsidR="00E14206" w:rsidRPr="00704300">
          <w:rPr>
            <w:rStyle w:val="Lienhypertexte"/>
            <w:rFonts w:eastAsia="Calibri" w:cs="Arial"/>
            <w:b/>
            <w:bCs/>
            <w:noProof/>
            <w:lang w:val="fr-FR" w:eastAsia="fr-FR"/>
          </w:rPr>
          <w:t>7.3.1 Principales recommandations domaine ‘Réforme de l’Etat et gouvernance’</w:t>
        </w:r>
        <w:r w:rsidR="00E14206">
          <w:rPr>
            <w:noProof/>
            <w:webHidden/>
          </w:rPr>
          <w:tab/>
        </w:r>
        <w:r w:rsidR="00E14206">
          <w:rPr>
            <w:noProof/>
            <w:webHidden/>
          </w:rPr>
          <w:fldChar w:fldCharType="begin"/>
        </w:r>
        <w:r w:rsidR="00E14206">
          <w:rPr>
            <w:noProof/>
            <w:webHidden/>
          </w:rPr>
          <w:instrText xml:space="preserve"> PAGEREF _Toc20505697 \h </w:instrText>
        </w:r>
        <w:r w:rsidR="00E14206">
          <w:rPr>
            <w:noProof/>
            <w:webHidden/>
          </w:rPr>
        </w:r>
        <w:r w:rsidR="00E14206">
          <w:rPr>
            <w:noProof/>
            <w:webHidden/>
          </w:rPr>
          <w:fldChar w:fldCharType="separate"/>
        </w:r>
        <w:r w:rsidR="00196BE5">
          <w:rPr>
            <w:noProof/>
            <w:webHidden/>
          </w:rPr>
          <w:t>101</w:t>
        </w:r>
        <w:r w:rsidR="00E14206">
          <w:rPr>
            <w:noProof/>
            <w:webHidden/>
          </w:rPr>
          <w:fldChar w:fldCharType="end"/>
        </w:r>
      </w:hyperlink>
    </w:p>
    <w:p w14:paraId="057F4A28"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98" w:history="1">
        <w:r w:rsidR="00E14206" w:rsidRPr="00704300">
          <w:rPr>
            <w:rStyle w:val="Lienhypertexte"/>
            <w:rFonts w:eastAsia="Calibri" w:cs="Arial"/>
            <w:b/>
            <w:bCs/>
            <w:noProof/>
            <w:lang w:val="fr-FR" w:eastAsia="fr-FR"/>
          </w:rPr>
          <w:t>7.3.2 Principales recommandations secteur ‘Développement rural et la sécurité alimentaire’</w:t>
        </w:r>
        <w:r w:rsidR="00E14206">
          <w:rPr>
            <w:noProof/>
            <w:webHidden/>
          </w:rPr>
          <w:tab/>
        </w:r>
        <w:r w:rsidR="00E14206">
          <w:rPr>
            <w:noProof/>
            <w:webHidden/>
          </w:rPr>
          <w:fldChar w:fldCharType="begin"/>
        </w:r>
        <w:r w:rsidR="00E14206">
          <w:rPr>
            <w:noProof/>
            <w:webHidden/>
          </w:rPr>
          <w:instrText xml:space="preserve"> PAGEREF _Toc20505698 \h </w:instrText>
        </w:r>
        <w:r w:rsidR="00E14206">
          <w:rPr>
            <w:noProof/>
            <w:webHidden/>
          </w:rPr>
        </w:r>
        <w:r w:rsidR="00E14206">
          <w:rPr>
            <w:noProof/>
            <w:webHidden/>
          </w:rPr>
          <w:fldChar w:fldCharType="separate"/>
        </w:r>
        <w:r w:rsidR="00196BE5">
          <w:rPr>
            <w:noProof/>
            <w:webHidden/>
          </w:rPr>
          <w:t>104</w:t>
        </w:r>
        <w:r w:rsidR="00E14206">
          <w:rPr>
            <w:noProof/>
            <w:webHidden/>
          </w:rPr>
          <w:fldChar w:fldCharType="end"/>
        </w:r>
      </w:hyperlink>
    </w:p>
    <w:p w14:paraId="7F4C962D"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699" w:history="1">
        <w:r w:rsidR="00E14206" w:rsidRPr="00704300">
          <w:rPr>
            <w:rStyle w:val="Lienhypertexte"/>
            <w:rFonts w:eastAsia="Calibri" w:cs="Arial"/>
            <w:b/>
            <w:bCs/>
            <w:noProof/>
            <w:lang w:val="fr-FR" w:eastAsia="fr-FR"/>
          </w:rPr>
          <w:t>7.3.3 Principales recommandations secteur ‘Education - formation’</w:t>
        </w:r>
        <w:r w:rsidR="00E14206">
          <w:rPr>
            <w:noProof/>
            <w:webHidden/>
          </w:rPr>
          <w:tab/>
        </w:r>
        <w:r w:rsidR="00E14206">
          <w:rPr>
            <w:noProof/>
            <w:webHidden/>
          </w:rPr>
          <w:fldChar w:fldCharType="begin"/>
        </w:r>
        <w:r w:rsidR="00E14206">
          <w:rPr>
            <w:noProof/>
            <w:webHidden/>
          </w:rPr>
          <w:instrText xml:space="preserve"> PAGEREF _Toc20505699 \h </w:instrText>
        </w:r>
        <w:r w:rsidR="00E14206">
          <w:rPr>
            <w:noProof/>
            <w:webHidden/>
          </w:rPr>
        </w:r>
        <w:r w:rsidR="00E14206">
          <w:rPr>
            <w:noProof/>
            <w:webHidden/>
          </w:rPr>
          <w:fldChar w:fldCharType="separate"/>
        </w:r>
        <w:r w:rsidR="00196BE5">
          <w:rPr>
            <w:noProof/>
            <w:webHidden/>
          </w:rPr>
          <w:t>106</w:t>
        </w:r>
        <w:r w:rsidR="00E14206">
          <w:rPr>
            <w:noProof/>
            <w:webHidden/>
          </w:rPr>
          <w:fldChar w:fldCharType="end"/>
        </w:r>
      </w:hyperlink>
    </w:p>
    <w:p w14:paraId="382A3EA6"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700" w:history="1">
        <w:r w:rsidR="00E14206" w:rsidRPr="00704300">
          <w:rPr>
            <w:rStyle w:val="Lienhypertexte"/>
            <w:rFonts w:eastAsia="Calibri" w:cs="Arial"/>
            <w:b/>
            <w:bCs/>
            <w:noProof/>
            <w:lang w:val="fr-FR" w:eastAsia="fr-FR"/>
          </w:rPr>
          <w:t>7.3.4 Principales recommandations secteur ‘Route’</w:t>
        </w:r>
        <w:r w:rsidR="00E14206">
          <w:rPr>
            <w:noProof/>
            <w:webHidden/>
          </w:rPr>
          <w:tab/>
        </w:r>
        <w:r w:rsidR="00E14206">
          <w:rPr>
            <w:noProof/>
            <w:webHidden/>
          </w:rPr>
          <w:fldChar w:fldCharType="begin"/>
        </w:r>
        <w:r w:rsidR="00E14206">
          <w:rPr>
            <w:noProof/>
            <w:webHidden/>
          </w:rPr>
          <w:instrText xml:space="preserve"> PAGEREF _Toc20505700 \h </w:instrText>
        </w:r>
        <w:r w:rsidR="00E14206">
          <w:rPr>
            <w:noProof/>
            <w:webHidden/>
          </w:rPr>
        </w:r>
        <w:r w:rsidR="00E14206">
          <w:rPr>
            <w:noProof/>
            <w:webHidden/>
          </w:rPr>
          <w:fldChar w:fldCharType="separate"/>
        </w:r>
        <w:r w:rsidR="00196BE5">
          <w:rPr>
            <w:noProof/>
            <w:webHidden/>
          </w:rPr>
          <w:t>107</w:t>
        </w:r>
        <w:r w:rsidR="00E14206">
          <w:rPr>
            <w:noProof/>
            <w:webHidden/>
          </w:rPr>
          <w:fldChar w:fldCharType="end"/>
        </w:r>
      </w:hyperlink>
    </w:p>
    <w:p w14:paraId="47B23B59"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701" w:history="1">
        <w:r w:rsidR="00E14206" w:rsidRPr="00704300">
          <w:rPr>
            <w:rStyle w:val="Lienhypertexte"/>
            <w:rFonts w:eastAsia="Calibri" w:cs="Arial"/>
            <w:b/>
            <w:bCs/>
            <w:noProof/>
            <w:lang w:val="fr-FR" w:eastAsia="fr-FR"/>
          </w:rPr>
          <w:t>7.3.5 Principales recommandations secteur ‘développement urbain’ (en cas d’un secteur spécifique dans le post 11</w:t>
        </w:r>
        <w:r w:rsidR="00E14206" w:rsidRPr="00704300">
          <w:rPr>
            <w:rStyle w:val="Lienhypertexte"/>
            <w:rFonts w:eastAsia="Calibri" w:cs="Arial"/>
            <w:b/>
            <w:bCs/>
            <w:noProof/>
            <w:vertAlign w:val="superscript"/>
            <w:lang w:val="fr-FR" w:eastAsia="fr-FR"/>
          </w:rPr>
          <w:t>ème</w:t>
        </w:r>
        <w:r w:rsidR="00E14206" w:rsidRPr="00704300">
          <w:rPr>
            <w:rStyle w:val="Lienhypertexte"/>
            <w:rFonts w:eastAsia="Calibri" w:cs="Arial"/>
            <w:b/>
            <w:bCs/>
            <w:noProof/>
            <w:lang w:val="fr-FR" w:eastAsia="fr-FR"/>
          </w:rPr>
          <w:t xml:space="preserve"> FED)</w:t>
        </w:r>
        <w:r w:rsidR="00E14206">
          <w:rPr>
            <w:noProof/>
            <w:webHidden/>
          </w:rPr>
          <w:tab/>
        </w:r>
        <w:r w:rsidR="00E14206">
          <w:rPr>
            <w:noProof/>
            <w:webHidden/>
          </w:rPr>
          <w:fldChar w:fldCharType="begin"/>
        </w:r>
        <w:r w:rsidR="00E14206">
          <w:rPr>
            <w:noProof/>
            <w:webHidden/>
          </w:rPr>
          <w:instrText xml:space="preserve"> PAGEREF _Toc20505701 \h </w:instrText>
        </w:r>
        <w:r w:rsidR="00E14206">
          <w:rPr>
            <w:noProof/>
            <w:webHidden/>
          </w:rPr>
        </w:r>
        <w:r w:rsidR="00E14206">
          <w:rPr>
            <w:noProof/>
            <w:webHidden/>
          </w:rPr>
          <w:fldChar w:fldCharType="separate"/>
        </w:r>
        <w:r w:rsidR="00196BE5">
          <w:rPr>
            <w:noProof/>
            <w:webHidden/>
          </w:rPr>
          <w:t>108</w:t>
        </w:r>
        <w:r w:rsidR="00E14206">
          <w:rPr>
            <w:noProof/>
            <w:webHidden/>
          </w:rPr>
          <w:fldChar w:fldCharType="end"/>
        </w:r>
      </w:hyperlink>
    </w:p>
    <w:p w14:paraId="1B9BA565" w14:textId="77777777" w:rsidR="00E14206" w:rsidRDefault="00736FE4">
      <w:pPr>
        <w:pStyle w:val="TM2"/>
        <w:tabs>
          <w:tab w:val="right" w:leader="dot" w:pos="9182"/>
        </w:tabs>
        <w:rPr>
          <w:rFonts w:asciiTheme="minorHAnsi" w:hAnsiTheme="minorHAnsi"/>
          <w:smallCaps w:val="0"/>
          <w:noProof/>
          <w:sz w:val="22"/>
          <w:szCs w:val="22"/>
          <w:lang w:val="de-DE" w:eastAsia="de-DE"/>
        </w:rPr>
      </w:pPr>
      <w:hyperlink w:anchor="_Toc20505702" w:history="1">
        <w:r w:rsidR="00E14206" w:rsidRPr="00704300">
          <w:rPr>
            <w:rStyle w:val="Lienhypertexte"/>
            <w:noProof/>
            <w:lang w:eastAsia="fr-FR"/>
          </w:rPr>
          <w:t>7.4 Autre information technique se rapportant au sujet</w:t>
        </w:r>
        <w:r w:rsidR="00E14206">
          <w:rPr>
            <w:noProof/>
            <w:webHidden/>
          </w:rPr>
          <w:tab/>
        </w:r>
        <w:r w:rsidR="00E14206">
          <w:rPr>
            <w:noProof/>
            <w:webHidden/>
          </w:rPr>
          <w:fldChar w:fldCharType="begin"/>
        </w:r>
        <w:r w:rsidR="00E14206">
          <w:rPr>
            <w:noProof/>
            <w:webHidden/>
          </w:rPr>
          <w:instrText xml:space="preserve"> PAGEREF _Toc20505702 \h </w:instrText>
        </w:r>
        <w:r w:rsidR="00E14206">
          <w:rPr>
            <w:noProof/>
            <w:webHidden/>
          </w:rPr>
        </w:r>
        <w:r w:rsidR="00E14206">
          <w:rPr>
            <w:noProof/>
            <w:webHidden/>
          </w:rPr>
          <w:fldChar w:fldCharType="separate"/>
        </w:r>
        <w:r w:rsidR="00196BE5">
          <w:rPr>
            <w:noProof/>
            <w:webHidden/>
          </w:rPr>
          <w:t>109</w:t>
        </w:r>
        <w:r w:rsidR="00E14206">
          <w:rPr>
            <w:noProof/>
            <w:webHidden/>
          </w:rPr>
          <w:fldChar w:fldCharType="end"/>
        </w:r>
      </w:hyperlink>
    </w:p>
    <w:p w14:paraId="3D24C1EC"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703" w:history="1">
        <w:r w:rsidR="00E14206" w:rsidRPr="00704300">
          <w:rPr>
            <w:rStyle w:val="Lienhypertexte"/>
            <w:rFonts w:eastAsia="SimSun"/>
            <w:noProof/>
            <w:lang w:eastAsia="zh-CN"/>
          </w:rPr>
          <w:t>7.4.1 </w:t>
        </w:r>
        <w:r w:rsidR="00E14206" w:rsidRPr="00704300">
          <w:rPr>
            <w:rStyle w:val="Lienhypertexte"/>
            <w:noProof/>
          </w:rPr>
          <w:t>Recommandations PEP 2014 et niveau de réalisation septembre 2019</w:t>
        </w:r>
        <w:r w:rsidR="00E14206">
          <w:rPr>
            <w:noProof/>
            <w:webHidden/>
          </w:rPr>
          <w:tab/>
        </w:r>
        <w:r w:rsidR="00E14206">
          <w:rPr>
            <w:noProof/>
            <w:webHidden/>
          </w:rPr>
          <w:fldChar w:fldCharType="begin"/>
        </w:r>
        <w:r w:rsidR="00E14206">
          <w:rPr>
            <w:noProof/>
            <w:webHidden/>
          </w:rPr>
          <w:instrText xml:space="preserve"> PAGEREF _Toc20505703 \h </w:instrText>
        </w:r>
        <w:r w:rsidR="00E14206">
          <w:rPr>
            <w:noProof/>
            <w:webHidden/>
          </w:rPr>
        </w:r>
        <w:r w:rsidR="00E14206">
          <w:rPr>
            <w:noProof/>
            <w:webHidden/>
          </w:rPr>
          <w:fldChar w:fldCharType="separate"/>
        </w:r>
        <w:r w:rsidR="00196BE5">
          <w:rPr>
            <w:noProof/>
            <w:webHidden/>
          </w:rPr>
          <w:t>109</w:t>
        </w:r>
        <w:r w:rsidR="00E14206">
          <w:rPr>
            <w:noProof/>
            <w:webHidden/>
          </w:rPr>
          <w:fldChar w:fldCharType="end"/>
        </w:r>
      </w:hyperlink>
    </w:p>
    <w:p w14:paraId="46305758"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704" w:history="1">
        <w:r w:rsidR="00E14206" w:rsidRPr="00704300">
          <w:rPr>
            <w:rStyle w:val="Lienhypertexte"/>
            <w:rFonts w:eastAsia="SimSun"/>
            <w:noProof/>
            <w:lang w:eastAsia="zh-CN"/>
          </w:rPr>
          <w:t>7.4.2 </w:t>
        </w:r>
        <w:r w:rsidR="00E14206" w:rsidRPr="00704300">
          <w:rPr>
            <w:rStyle w:val="Lienhypertexte"/>
            <w:noProof/>
          </w:rPr>
          <w:t>Usage/ utilité de certains produits de la cueillette</w:t>
        </w:r>
        <w:r w:rsidR="00E14206">
          <w:rPr>
            <w:noProof/>
            <w:webHidden/>
          </w:rPr>
          <w:tab/>
        </w:r>
        <w:r w:rsidR="00E14206">
          <w:rPr>
            <w:noProof/>
            <w:webHidden/>
          </w:rPr>
          <w:fldChar w:fldCharType="begin"/>
        </w:r>
        <w:r w:rsidR="00E14206">
          <w:rPr>
            <w:noProof/>
            <w:webHidden/>
          </w:rPr>
          <w:instrText xml:space="preserve"> PAGEREF _Toc20505704 \h </w:instrText>
        </w:r>
        <w:r w:rsidR="00E14206">
          <w:rPr>
            <w:noProof/>
            <w:webHidden/>
          </w:rPr>
        </w:r>
        <w:r w:rsidR="00E14206">
          <w:rPr>
            <w:noProof/>
            <w:webHidden/>
          </w:rPr>
          <w:fldChar w:fldCharType="separate"/>
        </w:r>
        <w:r w:rsidR="00196BE5">
          <w:rPr>
            <w:noProof/>
            <w:webHidden/>
          </w:rPr>
          <w:t>115</w:t>
        </w:r>
        <w:r w:rsidR="00E14206">
          <w:rPr>
            <w:noProof/>
            <w:webHidden/>
          </w:rPr>
          <w:fldChar w:fldCharType="end"/>
        </w:r>
      </w:hyperlink>
    </w:p>
    <w:p w14:paraId="4793B84A"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705" w:history="1">
        <w:r w:rsidR="00E14206" w:rsidRPr="00704300">
          <w:rPr>
            <w:rStyle w:val="Lienhypertexte"/>
            <w:noProof/>
          </w:rPr>
          <w:t>7.4.3 Parcs – réserves de faune sanctuaire – zones d’intérêt cynégétique et sites RAMSAR du Mali</w:t>
        </w:r>
        <w:r w:rsidR="00E14206">
          <w:rPr>
            <w:noProof/>
            <w:webHidden/>
          </w:rPr>
          <w:tab/>
        </w:r>
        <w:r w:rsidR="00E14206">
          <w:rPr>
            <w:noProof/>
            <w:webHidden/>
          </w:rPr>
          <w:fldChar w:fldCharType="begin"/>
        </w:r>
        <w:r w:rsidR="00E14206">
          <w:rPr>
            <w:noProof/>
            <w:webHidden/>
          </w:rPr>
          <w:instrText xml:space="preserve"> PAGEREF _Toc20505705 \h </w:instrText>
        </w:r>
        <w:r w:rsidR="00E14206">
          <w:rPr>
            <w:noProof/>
            <w:webHidden/>
          </w:rPr>
        </w:r>
        <w:r w:rsidR="00E14206">
          <w:rPr>
            <w:noProof/>
            <w:webHidden/>
          </w:rPr>
          <w:fldChar w:fldCharType="separate"/>
        </w:r>
        <w:r w:rsidR="00196BE5">
          <w:rPr>
            <w:noProof/>
            <w:webHidden/>
          </w:rPr>
          <w:t>116</w:t>
        </w:r>
        <w:r w:rsidR="00E14206">
          <w:rPr>
            <w:noProof/>
            <w:webHidden/>
          </w:rPr>
          <w:fldChar w:fldCharType="end"/>
        </w:r>
      </w:hyperlink>
    </w:p>
    <w:p w14:paraId="0911C940"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706" w:history="1">
        <w:r w:rsidR="00E14206" w:rsidRPr="00704300">
          <w:rPr>
            <w:rStyle w:val="Lienhypertexte"/>
            <w:noProof/>
          </w:rPr>
          <w:t>7.4.4 Menaces des Aires Protégées</w:t>
        </w:r>
        <w:r w:rsidR="00E14206">
          <w:rPr>
            <w:noProof/>
            <w:webHidden/>
          </w:rPr>
          <w:tab/>
        </w:r>
        <w:r w:rsidR="00E14206">
          <w:rPr>
            <w:noProof/>
            <w:webHidden/>
          </w:rPr>
          <w:fldChar w:fldCharType="begin"/>
        </w:r>
        <w:r w:rsidR="00E14206">
          <w:rPr>
            <w:noProof/>
            <w:webHidden/>
          </w:rPr>
          <w:instrText xml:space="preserve"> PAGEREF _Toc20505706 \h </w:instrText>
        </w:r>
        <w:r w:rsidR="00E14206">
          <w:rPr>
            <w:noProof/>
            <w:webHidden/>
          </w:rPr>
        </w:r>
        <w:r w:rsidR="00E14206">
          <w:rPr>
            <w:noProof/>
            <w:webHidden/>
          </w:rPr>
          <w:fldChar w:fldCharType="separate"/>
        </w:r>
        <w:r w:rsidR="00196BE5">
          <w:rPr>
            <w:noProof/>
            <w:webHidden/>
          </w:rPr>
          <w:t>118</w:t>
        </w:r>
        <w:r w:rsidR="00E14206">
          <w:rPr>
            <w:noProof/>
            <w:webHidden/>
          </w:rPr>
          <w:fldChar w:fldCharType="end"/>
        </w:r>
      </w:hyperlink>
    </w:p>
    <w:p w14:paraId="0A6251FA"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707" w:history="1">
        <w:r w:rsidR="00E14206" w:rsidRPr="00704300">
          <w:rPr>
            <w:rStyle w:val="Lienhypertexte"/>
            <w:noProof/>
          </w:rPr>
          <w:t>7.4.5 L’évolution des débits du fleuve Niger</w:t>
        </w:r>
        <w:r w:rsidR="00E14206">
          <w:rPr>
            <w:noProof/>
            <w:webHidden/>
          </w:rPr>
          <w:tab/>
        </w:r>
        <w:r w:rsidR="00E14206">
          <w:rPr>
            <w:noProof/>
            <w:webHidden/>
          </w:rPr>
          <w:fldChar w:fldCharType="begin"/>
        </w:r>
        <w:r w:rsidR="00E14206">
          <w:rPr>
            <w:noProof/>
            <w:webHidden/>
          </w:rPr>
          <w:instrText xml:space="preserve"> PAGEREF _Toc20505707 \h </w:instrText>
        </w:r>
        <w:r w:rsidR="00E14206">
          <w:rPr>
            <w:noProof/>
            <w:webHidden/>
          </w:rPr>
        </w:r>
        <w:r w:rsidR="00E14206">
          <w:rPr>
            <w:noProof/>
            <w:webHidden/>
          </w:rPr>
          <w:fldChar w:fldCharType="separate"/>
        </w:r>
        <w:r w:rsidR="00196BE5">
          <w:rPr>
            <w:noProof/>
            <w:webHidden/>
          </w:rPr>
          <w:t>119</w:t>
        </w:r>
        <w:r w:rsidR="00E14206">
          <w:rPr>
            <w:noProof/>
            <w:webHidden/>
          </w:rPr>
          <w:fldChar w:fldCharType="end"/>
        </w:r>
      </w:hyperlink>
    </w:p>
    <w:p w14:paraId="78EFA05C"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708" w:history="1">
        <w:r w:rsidR="00E14206" w:rsidRPr="00704300">
          <w:rPr>
            <w:rStyle w:val="Lienhypertexte"/>
            <w:noProof/>
          </w:rPr>
          <w:t>7.4.6 Production, réserves, emplois et taxes des mines aurifères</w:t>
        </w:r>
        <w:r w:rsidR="00E14206">
          <w:rPr>
            <w:noProof/>
            <w:webHidden/>
          </w:rPr>
          <w:tab/>
        </w:r>
        <w:r w:rsidR="00E14206">
          <w:rPr>
            <w:noProof/>
            <w:webHidden/>
          </w:rPr>
          <w:fldChar w:fldCharType="begin"/>
        </w:r>
        <w:r w:rsidR="00E14206">
          <w:rPr>
            <w:noProof/>
            <w:webHidden/>
          </w:rPr>
          <w:instrText xml:space="preserve"> PAGEREF _Toc20505708 \h </w:instrText>
        </w:r>
        <w:r w:rsidR="00E14206">
          <w:rPr>
            <w:noProof/>
            <w:webHidden/>
          </w:rPr>
        </w:r>
        <w:r w:rsidR="00E14206">
          <w:rPr>
            <w:noProof/>
            <w:webHidden/>
          </w:rPr>
          <w:fldChar w:fldCharType="separate"/>
        </w:r>
        <w:r w:rsidR="00196BE5">
          <w:rPr>
            <w:noProof/>
            <w:webHidden/>
          </w:rPr>
          <w:t>120</w:t>
        </w:r>
        <w:r w:rsidR="00E14206">
          <w:rPr>
            <w:noProof/>
            <w:webHidden/>
          </w:rPr>
          <w:fldChar w:fldCharType="end"/>
        </w:r>
      </w:hyperlink>
    </w:p>
    <w:p w14:paraId="1BE7E0A3"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709" w:history="1">
        <w:r w:rsidR="00E14206" w:rsidRPr="00704300">
          <w:rPr>
            <w:rStyle w:val="Lienhypertexte"/>
            <w:noProof/>
          </w:rPr>
          <w:t>7.4.7 L’agriculture</w:t>
        </w:r>
        <w:r w:rsidR="00E14206">
          <w:rPr>
            <w:noProof/>
            <w:webHidden/>
          </w:rPr>
          <w:tab/>
        </w:r>
        <w:r w:rsidR="00E14206">
          <w:rPr>
            <w:noProof/>
            <w:webHidden/>
          </w:rPr>
          <w:fldChar w:fldCharType="begin"/>
        </w:r>
        <w:r w:rsidR="00E14206">
          <w:rPr>
            <w:noProof/>
            <w:webHidden/>
          </w:rPr>
          <w:instrText xml:space="preserve"> PAGEREF _Toc20505709 \h </w:instrText>
        </w:r>
        <w:r w:rsidR="00E14206">
          <w:rPr>
            <w:noProof/>
            <w:webHidden/>
          </w:rPr>
        </w:r>
        <w:r w:rsidR="00E14206">
          <w:rPr>
            <w:noProof/>
            <w:webHidden/>
          </w:rPr>
          <w:fldChar w:fldCharType="separate"/>
        </w:r>
        <w:r w:rsidR="00196BE5">
          <w:rPr>
            <w:noProof/>
            <w:webHidden/>
          </w:rPr>
          <w:t>121</w:t>
        </w:r>
        <w:r w:rsidR="00E14206">
          <w:rPr>
            <w:noProof/>
            <w:webHidden/>
          </w:rPr>
          <w:fldChar w:fldCharType="end"/>
        </w:r>
      </w:hyperlink>
    </w:p>
    <w:p w14:paraId="29A18064"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710" w:history="1">
        <w:r w:rsidR="00E14206" w:rsidRPr="00704300">
          <w:rPr>
            <w:rStyle w:val="Lienhypertexte"/>
            <w:noProof/>
          </w:rPr>
          <w:t>7.4.8 Bois – Energie à Bamako</w:t>
        </w:r>
        <w:r w:rsidR="00E14206">
          <w:rPr>
            <w:noProof/>
            <w:webHidden/>
          </w:rPr>
          <w:tab/>
        </w:r>
        <w:r w:rsidR="00E14206">
          <w:rPr>
            <w:noProof/>
            <w:webHidden/>
          </w:rPr>
          <w:fldChar w:fldCharType="begin"/>
        </w:r>
        <w:r w:rsidR="00E14206">
          <w:rPr>
            <w:noProof/>
            <w:webHidden/>
          </w:rPr>
          <w:instrText xml:space="preserve"> PAGEREF _Toc20505710 \h </w:instrText>
        </w:r>
        <w:r w:rsidR="00E14206">
          <w:rPr>
            <w:noProof/>
            <w:webHidden/>
          </w:rPr>
        </w:r>
        <w:r w:rsidR="00E14206">
          <w:rPr>
            <w:noProof/>
            <w:webHidden/>
          </w:rPr>
          <w:fldChar w:fldCharType="separate"/>
        </w:r>
        <w:r w:rsidR="00196BE5">
          <w:rPr>
            <w:noProof/>
            <w:webHidden/>
          </w:rPr>
          <w:t>122</w:t>
        </w:r>
        <w:r w:rsidR="00E14206">
          <w:rPr>
            <w:noProof/>
            <w:webHidden/>
          </w:rPr>
          <w:fldChar w:fldCharType="end"/>
        </w:r>
      </w:hyperlink>
    </w:p>
    <w:p w14:paraId="33C7587E"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711" w:history="1">
        <w:r w:rsidR="00E14206" w:rsidRPr="00704300">
          <w:rPr>
            <w:rStyle w:val="Lienhypertexte"/>
            <w:noProof/>
          </w:rPr>
          <w:t>7.4.9 Emission GES et leurs sources</w:t>
        </w:r>
        <w:r w:rsidR="00E14206">
          <w:rPr>
            <w:noProof/>
            <w:webHidden/>
          </w:rPr>
          <w:tab/>
        </w:r>
        <w:r w:rsidR="00E14206">
          <w:rPr>
            <w:noProof/>
            <w:webHidden/>
          </w:rPr>
          <w:fldChar w:fldCharType="begin"/>
        </w:r>
        <w:r w:rsidR="00E14206">
          <w:rPr>
            <w:noProof/>
            <w:webHidden/>
          </w:rPr>
          <w:instrText xml:space="preserve"> PAGEREF _Toc20505711 \h </w:instrText>
        </w:r>
        <w:r w:rsidR="00E14206">
          <w:rPr>
            <w:noProof/>
            <w:webHidden/>
          </w:rPr>
        </w:r>
        <w:r w:rsidR="00E14206">
          <w:rPr>
            <w:noProof/>
            <w:webHidden/>
          </w:rPr>
          <w:fldChar w:fldCharType="separate"/>
        </w:r>
        <w:r w:rsidR="00196BE5">
          <w:rPr>
            <w:noProof/>
            <w:webHidden/>
          </w:rPr>
          <w:t>123</w:t>
        </w:r>
        <w:r w:rsidR="00E14206">
          <w:rPr>
            <w:noProof/>
            <w:webHidden/>
          </w:rPr>
          <w:fldChar w:fldCharType="end"/>
        </w:r>
      </w:hyperlink>
    </w:p>
    <w:p w14:paraId="019A9D4A"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712" w:history="1">
        <w:r w:rsidR="00E14206" w:rsidRPr="00704300">
          <w:rPr>
            <w:rStyle w:val="Lienhypertexte"/>
            <w:noProof/>
          </w:rPr>
          <w:t>7.4.10 Top Twelve catastrophes naturelles (1900 – 2017) du Mali</w:t>
        </w:r>
        <w:r w:rsidR="00E14206">
          <w:rPr>
            <w:noProof/>
            <w:webHidden/>
          </w:rPr>
          <w:tab/>
        </w:r>
        <w:r w:rsidR="00E14206">
          <w:rPr>
            <w:noProof/>
            <w:webHidden/>
          </w:rPr>
          <w:fldChar w:fldCharType="begin"/>
        </w:r>
        <w:r w:rsidR="00E14206">
          <w:rPr>
            <w:noProof/>
            <w:webHidden/>
          </w:rPr>
          <w:instrText xml:space="preserve"> PAGEREF _Toc20505712 \h </w:instrText>
        </w:r>
        <w:r w:rsidR="00E14206">
          <w:rPr>
            <w:noProof/>
            <w:webHidden/>
          </w:rPr>
        </w:r>
        <w:r w:rsidR="00E14206">
          <w:rPr>
            <w:noProof/>
            <w:webHidden/>
          </w:rPr>
          <w:fldChar w:fldCharType="separate"/>
        </w:r>
        <w:r w:rsidR="00196BE5">
          <w:rPr>
            <w:noProof/>
            <w:webHidden/>
          </w:rPr>
          <w:t>124</w:t>
        </w:r>
        <w:r w:rsidR="00E14206">
          <w:rPr>
            <w:noProof/>
            <w:webHidden/>
          </w:rPr>
          <w:fldChar w:fldCharType="end"/>
        </w:r>
      </w:hyperlink>
    </w:p>
    <w:p w14:paraId="2390C640"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713" w:history="1">
        <w:r w:rsidR="00E14206" w:rsidRPr="00704300">
          <w:rPr>
            <w:rStyle w:val="Lienhypertexte"/>
            <w:noProof/>
          </w:rPr>
          <w:t>7.4.11 Positionnement global des PTF</w:t>
        </w:r>
        <w:r w:rsidR="00E14206">
          <w:rPr>
            <w:noProof/>
            <w:webHidden/>
          </w:rPr>
          <w:tab/>
        </w:r>
        <w:r w:rsidR="00E14206">
          <w:rPr>
            <w:noProof/>
            <w:webHidden/>
          </w:rPr>
          <w:fldChar w:fldCharType="begin"/>
        </w:r>
        <w:r w:rsidR="00E14206">
          <w:rPr>
            <w:noProof/>
            <w:webHidden/>
          </w:rPr>
          <w:instrText xml:space="preserve"> PAGEREF _Toc20505713 \h </w:instrText>
        </w:r>
        <w:r w:rsidR="00E14206">
          <w:rPr>
            <w:noProof/>
            <w:webHidden/>
          </w:rPr>
        </w:r>
        <w:r w:rsidR="00E14206">
          <w:rPr>
            <w:noProof/>
            <w:webHidden/>
          </w:rPr>
          <w:fldChar w:fldCharType="separate"/>
        </w:r>
        <w:r w:rsidR="00196BE5">
          <w:rPr>
            <w:noProof/>
            <w:webHidden/>
          </w:rPr>
          <w:t>125</w:t>
        </w:r>
        <w:r w:rsidR="00E14206">
          <w:rPr>
            <w:noProof/>
            <w:webHidden/>
          </w:rPr>
          <w:fldChar w:fldCharType="end"/>
        </w:r>
      </w:hyperlink>
    </w:p>
    <w:p w14:paraId="041238BB"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714" w:history="1">
        <w:r w:rsidR="00E14206" w:rsidRPr="00704300">
          <w:rPr>
            <w:rStyle w:val="Lienhypertexte"/>
            <w:noProof/>
          </w:rPr>
          <w:t>7.4.12 Projets relatifs à l’Environnement des bailleurs de fonds au Mali (liste non – exhaustive)</w:t>
        </w:r>
        <w:r w:rsidR="00E14206">
          <w:rPr>
            <w:noProof/>
            <w:webHidden/>
          </w:rPr>
          <w:tab/>
        </w:r>
        <w:r w:rsidR="00E14206">
          <w:rPr>
            <w:noProof/>
            <w:webHidden/>
          </w:rPr>
          <w:fldChar w:fldCharType="begin"/>
        </w:r>
        <w:r w:rsidR="00E14206">
          <w:rPr>
            <w:noProof/>
            <w:webHidden/>
          </w:rPr>
          <w:instrText xml:space="preserve"> PAGEREF _Toc20505714 \h </w:instrText>
        </w:r>
        <w:r w:rsidR="00E14206">
          <w:rPr>
            <w:noProof/>
            <w:webHidden/>
          </w:rPr>
        </w:r>
        <w:r w:rsidR="00E14206">
          <w:rPr>
            <w:noProof/>
            <w:webHidden/>
          </w:rPr>
          <w:fldChar w:fldCharType="separate"/>
        </w:r>
        <w:r w:rsidR="00196BE5">
          <w:rPr>
            <w:noProof/>
            <w:webHidden/>
          </w:rPr>
          <w:t>127</w:t>
        </w:r>
        <w:r w:rsidR="00E14206">
          <w:rPr>
            <w:noProof/>
            <w:webHidden/>
          </w:rPr>
          <w:fldChar w:fldCharType="end"/>
        </w:r>
      </w:hyperlink>
    </w:p>
    <w:p w14:paraId="4A1714BE"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715" w:history="1">
        <w:r w:rsidR="00E14206" w:rsidRPr="00704300">
          <w:rPr>
            <w:rStyle w:val="Lienhypertexte"/>
            <w:noProof/>
          </w:rPr>
          <w:t>7.4.13 Mesures de poussières PM 10, de COV à Bamako (BURGEAP – IGIP, 2010)</w:t>
        </w:r>
        <w:r w:rsidR="00E14206">
          <w:rPr>
            <w:noProof/>
            <w:webHidden/>
          </w:rPr>
          <w:tab/>
        </w:r>
        <w:r w:rsidR="00E14206">
          <w:rPr>
            <w:noProof/>
            <w:webHidden/>
          </w:rPr>
          <w:fldChar w:fldCharType="begin"/>
        </w:r>
        <w:r w:rsidR="00E14206">
          <w:rPr>
            <w:noProof/>
            <w:webHidden/>
          </w:rPr>
          <w:instrText xml:space="preserve"> PAGEREF _Toc20505715 \h </w:instrText>
        </w:r>
        <w:r w:rsidR="00E14206">
          <w:rPr>
            <w:noProof/>
            <w:webHidden/>
          </w:rPr>
        </w:r>
        <w:r w:rsidR="00E14206">
          <w:rPr>
            <w:noProof/>
            <w:webHidden/>
          </w:rPr>
          <w:fldChar w:fldCharType="separate"/>
        </w:r>
        <w:r w:rsidR="00196BE5">
          <w:rPr>
            <w:noProof/>
            <w:webHidden/>
          </w:rPr>
          <w:t>134</w:t>
        </w:r>
        <w:r w:rsidR="00E14206">
          <w:rPr>
            <w:noProof/>
            <w:webHidden/>
          </w:rPr>
          <w:fldChar w:fldCharType="end"/>
        </w:r>
      </w:hyperlink>
    </w:p>
    <w:p w14:paraId="7283A50F" w14:textId="77777777" w:rsidR="00E14206" w:rsidRDefault="00736FE4">
      <w:pPr>
        <w:pStyle w:val="TM3"/>
        <w:tabs>
          <w:tab w:val="right" w:leader="dot" w:pos="9182"/>
        </w:tabs>
        <w:rPr>
          <w:rFonts w:asciiTheme="minorHAnsi" w:hAnsiTheme="minorHAnsi"/>
          <w:i w:val="0"/>
          <w:iCs w:val="0"/>
          <w:noProof/>
          <w:sz w:val="22"/>
          <w:szCs w:val="22"/>
          <w:lang w:val="de-DE" w:eastAsia="de-DE"/>
        </w:rPr>
      </w:pPr>
      <w:hyperlink w:anchor="_Toc20505716" w:history="1">
        <w:r w:rsidR="00E14206" w:rsidRPr="00704300">
          <w:rPr>
            <w:rStyle w:val="Lienhypertexte"/>
            <w:noProof/>
          </w:rPr>
          <w:t>7.4.14 Malnutrition au Mali</w:t>
        </w:r>
        <w:r w:rsidR="00E14206">
          <w:rPr>
            <w:noProof/>
            <w:webHidden/>
          </w:rPr>
          <w:tab/>
        </w:r>
        <w:r w:rsidR="00E14206">
          <w:rPr>
            <w:noProof/>
            <w:webHidden/>
          </w:rPr>
          <w:fldChar w:fldCharType="begin"/>
        </w:r>
        <w:r w:rsidR="00E14206">
          <w:rPr>
            <w:noProof/>
            <w:webHidden/>
          </w:rPr>
          <w:instrText xml:space="preserve"> PAGEREF _Toc20505716 \h </w:instrText>
        </w:r>
        <w:r w:rsidR="00E14206">
          <w:rPr>
            <w:noProof/>
            <w:webHidden/>
          </w:rPr>
        </w:r>
        <w:r w:rsidR="00E14206">
          <w:rPr>
            <w:noProof/>
            <w:webHidden/>
          </w:rPr>
          <w:fldChar w:fldCharType="separate"/>
        </w:r>
        <w:r w:rsidR="00196BE5">
          <w:rPr>
            <w:noProof/>
            <w:webHidden/>
          </w:rPr>
          <w:t>135</w:t>
        </w:r>
        <w:r w:rsidR="00E14206">
          <w:rPr>
            <w:noProof/>
            <w:webHidden/>
          </w:rPr>
          <w:fldChar w:fldCharType="end"/>
        </w:r>
      </w:hyperlink>
    </w:p>
    <w:p w14:paraId="3F60257D" w14:textId="77777777" w:rsidR="00E14206" w:rsidRDefault="00736FE4">
      <w:pPr>
        <w:pStyle w:val="TM1"/>
        <w:tabs>
          <w:tab w:val="right" w:leader="dot" w:pos="9182"/>
        </w:tabs>
        <w:rPr>
          <w:rFonts w:asciiTheme="minorHAnsi" w:hAnsiTheme="minorHAnsi"/>
          <w:b w:val="0"/>
          <w:bCs w:val="0"/>
          <w:caps w:val="0"/>
          <w:noProof/>
          <w:sz w:val="22"/>
          <w:szCs w:val="22"/>
          <w:lang w:val="de-DE" w:eastAsia="de-DE"/>
        </w:rPr>
      </w:pPr>
      <w:hyperlink w:anchor="_Toc20505717" w:history="1">
        <w:r w:rsidR="00E14206" w:rsidRPr="00704300">
          <w:rPr>
            <w:rStyle w:val="Lienhypertexte"/>
            <w:noProof/>
            <w:lang w:eastAsia="fr-FR"/>
          </w:rPr>
          <w:t>8. Annexes administratives</w:t>
        </w:r>
        <w:r w:rsidR="00E14206">
          <w:rPr>
            <w:noProof/>
            <w:webHidden/>
          </w:rPr>
          <w:tab/>
        </w:r>
        <w:r w:rsidR="00E14206">
          <w:rPr>
            <w:noProof/>
            <w:webHidden/>
          </w:rPr>
          <w:fldChar w:fldCharType="begin"/>
        </w:r>
        <w:r w:rsidR="00E14206">
          <w:rPr>
            <w:noProof/>
            <w:webHidden/>
          </w:rPr>
          <w:instrText xml:space="preserve"> PAGEREF _Toc20505717 \h </w:instrText>
        </w:r>
        <w:r w:rsidR="00E14206">
          <w:rPr>
            <w:noProof/>
            <w:webHidden/>
          </w:rPr>
        </w:r>
        <w:r w:rsidR="00E14206">
          <w:rPr>
            <w:noProof/>
            <w:webHidden/>
          </w:rPr>
          <w:fldChar w:fldCharType="separate"/>
        </w:r>
        <w:r w:rsidR="00196BE5">
          <w:rPr>
            <w:noProof/>
            <w:webHidden/>
          </w:rPr>
          <w:t>136</w:t>
        </w:r>
        <w:r w:rsidR="00E14206">
          <w:rPr>
            <w:noProof/>
            <w:webHidden/>
          </w:rPr>
          <w:fldChar w:fldCharType="end"/>
        </w:r>
      </w:hyperlink>
    </w:p>
    <w:p w14:paraId="668AFBC2" w14:textId="77777777" w:rsidR="00E14206" w:rsidRDefault="00736FE4">
      <w:pPr>
        <w:pStyle w:val="TM2"/>
        <w:tabs>
          <w:tab w:val="right" w:leader="dot" w:pos="9182"/>
        </w:tabs>
        <w:rPr>
          <w:rFonts w:asciiTheme="minorHAnsi" w:hAnsiTheme="minorHAnsi"/>
          <w:smallCaps w:val="0"/>
          <w:noProof/>
          <w:sz w:val="22"/>
          <w:szCs w:val="22"/>
          <w:lang w:val="de-DE" w:eastAsia="de-DE"/>
        </w:rPr>
      </w:pPr>
      <w:hyperlink w:anchor="_Toc20505718" w:history="1">
        <w:r w:rsidR="00E14206" w:rsidRPr="00704300">
          <w:rPr>
            <w:rStyle w:val="Lienhypertexte"/>
            <w:noProof/>
            <w:lang w:eastAsia="fr-FR"/>
          </w:rPr>
          <w:t>8.1 Méthodes d’étude employées / plan de travail</w:t>
        </w:r>
        <w:r w:rsidR="00E14206">
          <w:rPr>
            <w:noProof/>
            <w:webHidden/>
          </w:rPr>
          <w:tab/>
        </w:r>
        <w:r w:rsidR="00E14206">
          <w:rPr>
            <w:noProof/>
            <w:webHidden/>
          </w:rPr>
          <w:fldChar w:fldCharType="begin"/>
        </w:r>
        <w:r w:rsidR="00E14206">
          <w:rPr>
            <w:noProof/>
            <w:webHidden/>
          </w:rPr>
          <w:instrText xml:space="preserve"> PAGEREF _Toc20505718 \h </w:instrText>
        </w:r>
        <w:r w:rsidR="00E14206">
          <w:rPr>
            <w:noProof/>
            <w:webHidden/>
          </w:rPr>
        </w:r>
        <w:r w:rsidR="00E14206">
          <w:rPr>
            <w:noProof/>
            <w:webHidden/>
          </w:rPr>
          <w:fldChar w:fldCharType="separate"/>
        </w:r>
        <w:r w:rsidR="00196BE5">
          <w:rPr>
            <w:noProof/>
            <w:webHidden/>
          </w:rPr>
          <w:t>136</w:t>
        </w:r>
        <w:r w:rsidR="00E14206">
          <w:rPr>
            <w:noProof/>
            <w:webHidden/>
          </w:rPr>
          <w:fldChar w:fldCharType="end"/>
        </w:r>
      </w:hyperlink>
    </w:p>
    <w:p w14:paraId="7CE92906" w14:textId="77777777" w:rsidR="00E14206" w:rsidRDefault="00736FE4">
      <w:pPr>
        <w:pStyle w:val="TM2"/>
        <w:tabs>
          <w:tab w:val="right" w:leader="dot" w:pos="9182"/>
        </w:tabs>
        <w:rPr>
          <w:rFonts w:asciiTheme="minorHAnsi" w:hAnsiTheme="minorHAnsi"/>
          <w:smallCaps w:val="0"/>
          <w:noProof/>
          <w:sz w:val="22"/>
          <w:szCs w:val="22"/>
          <w:lang w:val="de-DE" w:eastAsia="de-DE"/>
        </w:rPr>
      </w:pPr>
      <w:hyperlink w:anchor="_Toc20505719" w:history="1">
        <w:r w:rsidR="00E14206" w:rsidRPr="00704300">
          <w:rPr>
            <w:rStyle w:val="Lienhypertexte"/>
            <w:noProof/>
            <w:lang w:eastAsia="fr-FR"/>
          </w:rPr>
          <w:t>8.2 Programme et calendrier de la mission</w:t>
        </w:r>
        <w:r w:rsidR="00E14206">
          <w:rPr>
            <w:noProof/>
            <w:webHidden/>
          </w:rPr>
          <w:tab/>
        </w:r>
        <w:r w:rsidR="00E14206">
          <w:rPr>
            <w:noProof/>
            <w:webHidden/>
          </w:rPr>
          <w:fldChar w:fldCharType="begin"/>
        </w:r>
        <w:r w:rsidR="00E14206">
          <w:rPr>
            <w:noProof/>
            <w:webHidden/>
          </w:rPr>
          <w:instrText xml:space="preserve"> PAGEREF _Toc20505719 \h </w:instrText>
        </w:r>
        <w:r w:rsidR="00E14206">
          <w:rPr>
            <w:noProof/>
            <w:webHidden/>
          </w:rPr>
        </w:r>
        <w:r w:rsidR="00E14206">
          <w:rPr>
            <w:noProof/>
            <w:webHidden/>
          </w:rPr>
          <w:fldChar w:fldCharType="separate"/>
        </w:r>
        <w:r w:rsidR="00196BE5">
          <w:rPr>
            <w:noProof/>
            <w:webHidden/>
          </w:rPr>
          <w:t>138</w:t>
        </w:r>
        <w:r w:rsidR="00E14206">
          <w:rPr>
            <w:noProof/>
            <w:webHidden/>
          </w:rPr>
          <w:fldChar w:fldCharType="end"/>
        </w:r>
      </w:hyperlink>
    </w:p>
    <w:p w14:paraId="17D7CC6F" w14:textId="77777777" w:rsidR="00E14206" w:rsidRDefault="00736FE4">
      <w:pPr>
        <w:pStyle w:val="TM2"/>
        <w:tabs>
          <w:tab w:val="right" w:leader="dot" w:pos="9182"/>
        </w:tabs>
        <w:rPr>
          <w:rFonts w:asciiTheme="minorHAnsi" w:hAnsiTheme="minorHAnsi"/>
          <w:smallCaps w:val="0"/>
          <w:noProof/>
          <w:sz w:val="22"/>
          <w:szCs w:val="22"/>
          <w:lang w:val="de-DE" w:eastAsia="de-DE"/>
        </w:rPr>
      </w:pPr>
      <w:hyperlink w:anchor="_Toc20505720" w:history="1">
        <w:r w:rsidR="00E14206" w:rsidRPr="00704300">
          <w:rPr>
            <w:rStyle w:val="Lienhypertexte"/>
            <w:noProof/>
            <w:lang w:eastAsia="fr-FR"/>
          </w:rPr>
          <w:t>8.3 Compte rendu des missions sur le terrain</w:t>
        </w:r>
        <w:r w:rsidR="00E14206">
          <w:rPr>
            <w:noProof/>
            <w:webHidden/>
          </w:rPr>
          <w:tab/>
        </w:r>
        <w:r w:rsidR="00E14206">
          <w:rPr>
            <w:noProof/>
            <w:webHidden/>
          </w:rPr>
          <w:fldChar w:fldCharType="begin"/>
        </w:r>
        <w:r w:rsidR="00E14206">
          <w:rPr>
            <w:noProof/>
            <w:webHidden/>
          </w:rPr>
          <w:instrText xml:space="preserve"> PAGEREF _Toc20505720 \h </w:instrText>
        </w:r>
        <w:r w:rsidR="00E14206">
          <w:rPr>
            <w:noProof/>
            <w:webHidden/>
          </w:rPr>
        </w:r>
        <w:r w:rsidR="00E14206">
          <w:rPr>
            <w:noProof/>
            <w:webHidden/>
          </w:rPr>
          <w:fldChar w:fldCharType="separate"/>
        </w:r>
        <w:r w:rsidR="00196BE5">
          <w:rPr>
            <w:noProof/>
            <w:webHidden/>
          </w:rPr>
          <w:t>139</w:t>
        </w:r>
        <w:r w:rsidR="00E14206">
          <w:rPr>
            <w:noProof/>
            <w:webHidden/>
          </w:rPr>
          <w:fldChar w:fldCharType="end"/>
        </w:r>
      </w:hyperlink>
    </w:p>
    <w:p w14:paraId="4CCA7E8A" w14:textId="77777777" w:rsidR="00E14206" w:rsidRDefault="00736FE4">
      <w:pPr>
        <w:pStyle w:val="TM2"/>
        <w:tabs>
          <w:tab w:val="right" w:leader="dot" w:pos="9182"/>
        </w:tabs>
        <w:rPr>
          <w:rFonts w:asciiTheme="minorHAnsi" w:hAnsiTheme="minorHAnsi"/>
          <w:smallCaps w:val="0"/>
          <w:noProof/>
          <w:sz w:val="22"/>
          <w:szCs w:val="22"/>
          <w:lang w:val="de-DE" w:eastAsia="de-DE"/>
        </w:rPr>
      </w:pPr>
      <w:hyperlink w:anchor="_Toc20505721" w:history="1">
        <w:r w:rsidR="00E14206" w:rsidRPr="00704300">
          <w:rPr>
            <w:rStyle w:val="Lienhypertexte"/>
            <w:noProof/>
            <w:lang w:eastAsia="fr-FR"/>
          </w:rPr>
          <w:t>8.4 Personnes / organisations consultées, avec références institutionnelles et contact</w:t>
        </w:r>
        <w:r w:rsidR="00E14206">
          <w:rPr>
            <w:noProof/>
            <w:webHidden/>
          </w:rPr>
          <w:tab/>
        </w:r>
        <w:r w:rsidR="00E14206">
          <w:rPr>
            <w:noProof/>
            <w:webHidden/>
          </w:rPr>
          <w:fldChar w:fldCharType="begin"/>
        </w:r>
        <w:r w:rsidR="00E14206">
          <w:rPr>
            <w:noProof/>
            <w:webHidden/>
          </w:rPr>
          <w:instrText xml:space="preserve"> PAGEREF _Toc20505721 \h </w:instrText>
        </w:r>
        <w:r w:rsidR="00E14206">
          <w:rPr>
            <w:noProof/>
            <w:webHidden/>
          </w:rPr>
        </w:r>
        <w:r w:rsidR="00E14206">
          <w:rPr>
            <w:noProof/>
            <w:webHidden/>
          </w:rPr>
          <w:fldChar w:fldCharType="separate"/>
        </w:r>
        <w:r w:rsidR="00196BE5">
          <w:rPr>
            <w:noProof/>
            <w:webHidden/>
          </w:rPr>
          <w:t>140</w:t>
        </w:r>
        <w:r w:rsidR="00E14206">
          <w:rPr>
            <w:noProof/>
            <w:webHidden/>
          </w:rPr>
          <w:fldChar w:fldCharType="end"/>
        </w:r>
      </w:hyperlink>
    </w:p>
    <w:p w14:paraId="0F65412A" w14:textId="77777777" w:rsidR="00E14206" w:rsidRDefault="00736FE4">
      <w:pPr>
        <w:pStyle w:val="TM2"/>
        <w:tabs>
          <w:tab w:val="right" w:leader="dot" w:pos="9182"/>
        </w:tabs>
        <w:rPr>
          <w:rFonts w:asciiTheme="minorHAnsi" w:hAnsiTheme="minorHAnsi"/>
          <w:smallCaps w:val="0"/>
          <w:noProof/>
          <w:sz w:val="22"/>
          <w:szCs w:val="22"/>
          <w:lang w:val="de-DE" w:eastAsia="de-DE"/>
        </w:rPr>
      </w:pPr>
      <w:hyperlink w:anchor="_Toc20505722" w:history="1">
        <w:r w:rsidR="00E14206" w:rsidRPr="00704300">
          <w:rPr>
            <w:rStyle w:val="Lienhypertexte"/>
            <w:noProof/>
          </w:rPr>
          <w:t>8.5 Liste de la documentation consultée</w:t>
        </w:r>
        <w:r w:rsidR="00E14206">
          <w:rPr>
            <w:noProof/>
            <w:webHidden/>
          </w:rPr>
          <w:tab/>
        </w:r>
        <w:r w:rsidR="00E14206">
          <w:rPr>
            <w:noProof/>
            <w:webHidden/>
          </w:rPr>
          <w:fldChar w:fldCharType="begin"/>
        </w:r>
        <w:r w:rsidR="00E14206">
          <w:rPr>
            <w:noProof/>
            <w:webHidden/>
          </w:rPr>
          <w:instrText xml:space="preserve"> PAGEREF _Toc20505722 \h </w:instrText>
        </w:r>
        <w:r w:rsidR="00E14206">
          <w:rPr>
            <w:noProof/>
            <w:webHidden/>
          </w:rPr>
        </w:r>
        <w:r w:rsidR="00E14206">
          <w:rPr>
            <w:noProof/>
            <w:webHidden/>
          </w:rPr>
          <w:fldChar w:fldCharType="separate"/>
        </w:r>
        <w:r w:rsidR="00196BE5">
          <w:rPr>
            <w:noProof/>
            <w:webHidden/>
          </w:rPr>
          <w:t>143</w:t>
        </w:r>
        <w:r w:rsidR="00E14206">
          <w:rPr>
            <w:noProof/>
            <w:webHidden/>
          </w:rPr>
          <w:fldChar w:fldCharType="end"/>
        </w:r>
      </w:hyperlink>
    </w:p>
    <w:p w14:paraId="3A81913F" w14:textId="77777777" w:rsidR="00E14206" w:rsidRDefault="00736FE4">
      <w:pPr>
        <w:pStyle w:val="TM2"/>
        <w:tabs>
          <w:tab w:val="right" w:leader="dot" w:pos="9182"/>
        </w:tabs>
        <w:rPr>
          <w:rFonts w:asciiTheme="minorHAnsi" w:hAnsiTheme="minorHAnsi"/>
          <w:smallCaps w:val="0"/>
          <w:noProof/>
          <w:sz w:val="22"/>
          <w:szCs w:val="22"/>
          <w:lang w:val="de-DE" w:eastAsia="de-DE"/>
        </w:rPr>
      </w:pPr>
      <w:hyperlink w:anchor="_Toc20505723" w:history="1">
        <w:r w:rsidR="00E14206" w:rsidRPr="00704300">
          <w:rPr>
            <w:rStyle w:val="Lienhypertexte"/>
            <w:noProof/>
            <w:lang w:eastAsia="fr-FR"/>
          </w:rPr>
          <w:t>8.6 Curriculum vitae des consultants</w:t>
        </w:r>
        <w:r w:rsidR="00E14206">
          <w:rPr>
            <w:noProof/>
            <w:webHidden/>
          </w:rPr>
          <w:tab/>
        </w:r>
        <w:r w:rsidR="00E14206">
          <w:rPr>
            <w:noProof/>
            <w:webHidden/>
          </w:rPr>
          <w:fldChar w:fldCharType="begin"/>
        </w:r>
        <w:r w:rsidR="00E14206">
          <w:rPr>
            <w:noProof/>
            <w:webHidden/>
          </w:rPr>
          <w:instrText xml:space="preserve"> PAGEREF _Toc20505723 \h </w:instrText>
        </w:r>
        <w:r w:rsidR="00E14206">
          <w:rPr>
            <w:noProof/>
            <w:webHidden/>
          </w:rPr>
        </w:r>
        <w:r w:rsidR="00E14206">
          <w:rPr>
            <w:noProof/>
            <w:webHidden/>
          </w:rPr>
          <w:fldChar w:fldCharType="separate"/>
        </w:r>
        <w:r w:rsidR="00196BE5">
          <w:rPr>
            <w:noProof/>
            <w:webHidden/>
          </w:rPr>
          <w:t>146</w:t>
        </w:r>
        <w:r w:rsidR="00E14206">
          <w:rPr>
            <w:noProof/>
            <w:webHidden/>
          </w:rPr>
          <w:fldChar w:fldCharType="end"/>
        </w:r>
      </w:hyperlink>
    </w:p>
    <w:p w14:paraId="17ADDF14" w14:textId="77777777" w:rsidR="00E14206" w:rsidRDefault="00736FE4">
      <w:pPr>
        <w:pStyle w:val="TM2"/>
        <w:tabs>
          <w:tab w:val="right" w:leader="dot" w:pos="9182"/>
        </w:tabs>
        <w:rPr>
          <w:rFonts w:asciiTheme="minorHAnsi" w:hAnsiTheme="minorHAnsi"/>
          <w:smallCaps w:val="0"/>
          <w:noProof/>
          <w:sz w:val="22"/>
          <w:szCs w:val="22"/>
          <w:lang w:val="de-DE" w:eastAsia="de-DE"/>
        </w:rPr>
      </w:pPr>
      <w:hyperlink w:anchor="_Toc20505724" w:history="1">
        <w:r w:rsidR="00E14206" w:rsidRPr="00704300">
          <w:rPr>
            <w:rStyle w:val="Lienhypertexte"/>
            <w:noProof/>
            <w:lang w:eastAsia="fr-FR"/>
          </w:rPr>
          <w:t>8.7 Termes de Référence pour ce PEP</w:t>
        </w:r>
        <w:r w:rsidR="00E14206">
          <w:rPr>
            <w:noProof/>
            <w:webHidden/>
          </w:rPr>
          <w:tab/>
        </w:r>
        <w:r w:rsidR="00E14206">
          <w:rPr>
            <w:noProof/>
            <w:webHidden/>
          </w:rPr>
          <w:fldChar w:fldCharType="begin"/>
        </w:r>
        <w:r w:rsidR="00E14206">
          <w:rPr>
            <w:noProof/>
            <w:webHidden/>
          </w:rPr>
          <w:instrText xml:space="preserve"> PAGEREF _Toc20505724 \h </w:instrText>
        </w:r>
        <w:r w:rsidR="00E14206">
          <w:rPr>
            <w:noProof/>
            <w:webHidden/>
          </w:rPr>
        </w:r>
        <w:r w:rsidR="00E14206">
          <w:rPr>
            <w:noProof/>
            <w:webHidden/>
          </w:rPr>
          <w:fldChar w:fldCharType="separate"/>
        </w:r>
        <w:r w:rsidR="00196BE5">
          <w:rPr>
            <w:noProof/>
            <w:webHidden/>
          </w:rPr>
          <w:t>148</w:t>
        </w:r>
        <w:r w:rsidR="00E14206">
          <w:rPr>
            <w:noProof/>
            <w:webHidden/>
          </w:rPr>
          <w:fldChar w:fldCharType="end"/>
        </w:r>
      </w:hyperlink>
    </w:p>
    <w:p w14:paraId="0453B6CB" w14:textId="77777777" w:rsidR="00C92EEC" w:rsidRPr="000B2680" w:rsidRDefault="009525D4" w:rsidP="001A0A21">
      <w:pPr>
        <w:spacing w:after="0" w:line="240" w:lineRule="auto"/>
        <w:rPr>
          <w:rFonts w:eastAsiaTheme="majorEastAsia" w:cs="Arial"/>
          <w:b/>
          <w:bCs/>
          <w:sz w:val="20"/>
          <w:szCs w:val="20"/>
          <w:lang w:val="fr-FR"/>
        </w:rPr>
      </w:pPr>
      <w:r w:rsidRPr="001A0A21">
        <w:rPr>
          <w:rFonts w:cs="Arial"/>
          <w:sz w:val="20"/>
          <w:szCs w:val="20"/>
          <w:lang w:val="fr-FR"/>
        </w:rPr>
        <w:fldChar w:fldCharType="end"/>
      </w:r>
      <w:r w:rsidR="00C92EEC" w:rsidRPr="000B2680">
        <w:rPr>
          <w:rFonts w:cs="Arial"/>
          <w:sz w:val="20"/>
          <w:szCs w:val="20"/>
          <w:lang w:val="fr-FR"/>
        </w:rPr>
        <w:br w:type="page"/>
      </w:r>
      <w:bookmarkStart w:id="0" w:name="_GoBack"/>
      <w:bookmarkEnd w:id="0"/>
    </w:p>
    <w:p w14:paraId="1A9849E3" w14:textId="77777777" w:rsidR="00802BA9" w:rsidRDefault="00802BA9" w:rsidP="00500D2D">
      <w:pPr>
        <w:pStyle w:val="Titre1"/>
      </w:pPr>
      <w:bookmarkStart w:id="1" w:name="_Toc20505606"/>
      <w:bookmarkStart w:id="2" w:name="_Toc393900249"/>
      <w:r>
        <w:lastRenderedPageBreak/>
        <w:t>Abréviations</w:t>
      </w:r>
      <w:bookmarkEnd w:id="1"/>
    </w:p>
    <w:p w14:paraId="5F574F85" w14:textId="77777777" w:rsidR="00802BA9" w:rsidRDefault="00802BA9" w:rsidP="00802BA9">
      <w:pPr>
        <w:pStyle w:val="Pardeliste"/>
        <w:spacing w:after="0" w:line="240" w:lineRule="auto"/>
        <w:ind w:left="0"/>
        <w:rPr>
          <w:rFonts w:eastAsia="Calibri" w:cs="Times New Roman"/>
          <w:bCs/>
          <w:color w:val="0070C0"/>
          <w:sz w:val="20"/>
          <w:szCs w:val="20"/>
          <w:lang w:val="fr-FR"/>
        </w:rPr>
      </w:pPr>
    </w:p>
    <w:p w14:paraId="33929B27" w14:textId="77777777" w:rsidR="00802BA9" w:rsidRPr="00C80A26" w:rsidRDefault="00802BA9" w:rsidP="00802BA9">
      <w:pPr>
        <w:spacing w:after="0" w:line="240" w:lineRule="auto"/>
        <w:rPr>
          <w:rFonts w:cs="Arial"/>
          <w:sz w:val="20"/>
          <w:szCs w:val="20"/>
          <w:lang w:val="fr-FR"/>
        </w:rPr>
      </w:pPr>
      <w:r w:rsidRPr="00C80A26">
        <w:rPr>
          <w:rFonts w:cs="Arial"/>
          <w:sz w:val="20"/>
          <w:szCs w:val="20"/>
          <w:lang w:val="fr-FR"/>
        </w:rPr>
        <w:t>ABFN :</w:t>
      </w:r>
      <w:r w:rsidRPr="00C80A26">
        <w:rPr>
          <w:rFonts w:cs="Arial"/>
          <w:sz w:val="20"/>
          <w:szCs w:val="20"/>
          <w:lang w:val="fr-FR"/>
        </w:rPr>
        <w:tab/>
      </w:r>
      <w:r w:rsidRPr="00C80A26">
        <w:rPr>
          <w:rFonts w:cs="Arial"/>
          <w:sz w:val="20"/>
          <w:szCs w:val="20"/>
          <w:lang w:val="fr-FR"/>
        </w:rPr>
        <w:tab/>
        <w:t>Autorité du Bassin du Fleuve Niger</w:t>
      </w:r>
    </w:p>
    <w:p w14:paraId="1A56E7FC" w14:textId="77777777" w:rsidR="00802BA9" w:rsidRPr="00C80A26" w:rsidRDefault="00802BA9" w:rsidP="00802BA9">
      <w:pPr>
        <w:pStyle w:val="Pardeliste"/>
        <w:spacing w:after="0" w:line="240" w:lineRule="auto"/>
        <w:ind w:left="0"/>
        <w:rPr>
          <w:rFonts w:eastAsia="Calibri" w:cs="Times New Roman"/>
          <w:bCs/>
          <w:sz w:val="20"/>
          <w:szCs w:val="20"/>
          <w:lang w:val="fr-FR"/>
        </w:rPr>
      </w:pPr>
      <w:r w:rsidRPr="00C80A26">
        <w:rPr>
          <w:rFonts w:eastAsia="Calibri" w:cs="Times New Roman"/>
          <w:bCs/>
          <w:sz w:val="20"/>
          <w:szCs w:val="20"/>
          <w:lang w:val="fr-FR"/>
        </w:rPr>
        <w:t xml:space="preserve">ABN : </w:t>
      </w:r>
      <w:r w:rsidRPr="00C80A26">
        <w:rPr>
          <w:rFonts w:eastAsia="Calibri" w:cs="Times New Roman"/>
          <w:bCs/>
          <w:sz w:val="20"/>
          <w:szCs w:val="20"/>
          <w:lang w:val="fr-FR"/>
        </w:rPr>
        <w:tab/>
      </w:r>
      <w:r w:rsidRPr="00C80A26">
        <w:rPr>
          <w:rFonts w:eastAsia="Calibri" w:cs="Times New Roman"/>
          <w:bCs/>
          <w:sz w:val="20"/>
          <w:szCs w:val="20"/>
          <w:lang w:val="fr-FR"/>
        </w:rPr>
        <w:tab/>
        <w:t>Autorité du Bassin du Niger</w:t>
      </w:r>
    </w:p>
    <w:p w14:paraId="130E6699" w14:textId="77777777" w:rsidR="00802BA9" w:rsidRPr="00C80A26" w:rsidRDefault="00802BA9" w:rsidP="00802BA9">
      <w:pPr>
        <w:pStyle w:val="Pardeliste"/>
        <w:spacing w:after="0" w:line="240" w:lineRule="auto"/>
        <w:ind w:left="0"/>
        <w:rPr>
          <w:rFonts w:eastAsia="Calibri" w:cs="Times New Roman"/>
          <w:bCs/>
          <w:sz w:val="20"/>
          <w:szCs w:val="20"/>
          <w:lang w:val="fr-FR"/>
        </w:rPr>
      </w:pPr>
      <w:r w:rsidRPr="00C80A26">
        <w:rPr>
          <w:rFonts w:eastAsia="Calibri" w:cs="Times New Roman"/>
          <w:bCs/>
          <w:sz w:val="20"/>
          <w:szCs w:val="20"/>
          <w:lang w:val="fr-FR"/>
        </w:rPr>
        <w:t>AEDD :</w:t>
      </w:r>
      <w:r w:rsidRPr="00C80A26">
        <w:rPr>
          <w:rFonts w:eastAsia="Calibri" w:cs="Times New Roman"/>
          <w:bCs/>
          <w:sz w:val="20"/>
          <w:szCs w:val="20"/>
          <w:lang w:val="fr-FR"/>
        </w:rPr>
        <w:tab/>
      </w:r>
      <w:r w:rsidRPr="00C80A26">
        <w:rPr>
          <w:rFonts w:eastAsia="Calibri" w:cs="Times New Roman"/>
          <w:bCs/>
          <w:sz w:val="20"/>
          <w:szCs w:val="20"/>
          <w:lang w:val="fr-FR"/>
        </w:rPr>
        <w:tab/>
        <w:t>Agence de l’Environnement et du Développement durable</w:t>
      </w:r>
    </w:p>
    <w:p w14:paraId="2A82A9F7" w14:textId="77777777" w:rsidR="00802BA9" w:rsidRPr="00C80A26" w:rsidRDefault="00802BA9" w:rsidP="00802BA9">
      <w:pPr>
        <w:pStyle w:val="Pardeliste"/>
        <w:spacing w:after="0" w:line="240" w:lineRule="auto"/>
        <w:ind w:left="0"/>
        <w:rPr>
          <w:rFonts w:eastAsia="Calibri" w:cs="Times New Roman"/>
          <w:bCs/>
          <w:sz w:val="20"/>
          <w:szCs w:val="20"/>
          <w:lang w:val="fr-FR"/>
        </w:rPr>
      </w:pPr>
      <w:r w:rsidRPr="00C80A26">
        <w:rPr>
          <w:rFonts w:eastAsia="Calibri" w:cs="Times New Roman"/>
          <w:bCs/>
          <w:sz w:val="20"/>
          <w:szCs w:val="20"/>
          <w:lang w:val="fr-FR"/>
        </w:rPr>
        <w:t>AFD :</w:t>
      </w:r>
      <w:r w:rsidRPr="00C80A26">
        <w:rPr>
          <w:rFonts w:eastAsia="Calibri" w:cs="Times New Roman"/>
          <w:bCs/>
          <w:sz w:val="20"/>
          <w:szCs w:val="20"/>
          <w:lang w:val="fr-FR"/>
        </w:rPr>
        <w:tab/>
      </w:r>
      <w:r w:rsidRPr="00C80A26">
        <w:rPr>
          <w:rFonts w:eastAsia="Calibri" w:cs="Times New Roman"/>
          <w:bCs/>
          <w:sz w:val="20"/>
          <w:szCs w:val="20"/>
          <w:lang w:val="fr-FR"/>
        </w:rPr>
        <w:tab/>
        <w:t>Agence Française de Développement</w:t>
      </w:r>
    </w:p>
    <w:p w14:paraId="71BF2CEA" w14:textId="77777777" w:rsidR="00802BA9" w:rsidRPr="00C80A26" w:rsidRDefault="00802BA9" w:rsidP="00802BA9">
      <w:pPr>
        <w:pStyle w:val="Pardeliste"/>
        <w:spacing w:after="0" w:line="240" w:lineRule="auto"/>
        <w:ind w:left="0"/>
        <w:rPr>
          <w:rFonts w:eastAsia="Calibri" w:cs="Times New Roman"/>
          <w:bCs/>
          <w:sz w:val="20"/>
          <w:szCs w:val="20"/>
          <w:lang w:val="fr-FR"/>
        </w:rPr>
      </w:pPr>
      <w:r w:rsidRPr="00C80A26">
        <w:rPr>
          <w:rFonts w:eastAsia="Calibri" w:cs="Times New Roman"/>
          <w:bCs/>
          <w:sz w:val="20"/>
          <w:szCs w:val="20"/>
          <w:lang w:val="fr-FR"/>
        </w:rPr>
        <w:t xml:space="preserve">AGCC : </w:t>
      </w:r>
      <w:r w:rsidRPr="00C80A26">
        <w:rPr>
          <w:rFonts w:eastAsia="Calibri" w:cs="Times New Roman"/>
          <w:bCs/>
          <w:sz w:val="20"/>
          <w:szCs w:val="20"/>
          <w:lang w:val="fr-FR"/>
        </w:rPr>
        <w:tab/>
      </w:r>
      <w:r w:rsidRPr="00C80A26">
        <w:rPr>
          <w:rFonts w:eastAsia="Calibri" w:cs="Times New Roman"/>
          <w:bCs/>
          <w:sz w:val="20"/>
          <w:szCs w:val="20"/>
          <w:lang w:val="fr-FR"/>
        </w:rPr>
        <w:tab/>
        <w:t>Alliance Globale sur le Changement Climatique</w:t>
      </w:r>
    </w:p>
    <w:p w14:paraId="4E2AF216" w14:textId="77777777" w:rsidR="00802BA9" w:rsidRPr="00C80A26" w:rsidRDefault="00802BA9" w:rsidP="00802BA9">
      <w:pPr>
        <w:pStyle w:val="Pardeliste"/>
        <w:spacing w:after="0" w:line="240" w:lineRule="auto"/>
        <w:ind w:left="0"/>
        <w:rPr>
          <w:rFonts w:eastAsia="Calibri" w:cs="Times New Roman"/>
          <w:bCs/>
          <w:sz w:val="20"/>
          <w:szCs w:val="20"/>
          <w:lang w:val="fr-FR"/>
        </w:rPr>
      </w:pPr>
      <w:r w:rsidRPr="00C80A26">
        <w:rPr>
          <w:rFonts w:eastAsia="Calibri" w:cs="Times New Roman"/>
          <w:bCs/>
          <w:sz w:val="20"/>
          <w:szCs w:val="20"/>
          <w:lang w:val="fr-FR"/>
        </w:rPr>
        <w:t xml:space="preserve">AGIR : </w:t>
      </w:r>
      <w:r w:rsidRPr="00C80A26">
        <w:rPr>
          <w:rFonts w:eastAsia="Calibri" w:cs="Times New Roman"/>
          <w:bCs/>
          <w:sz w:val="20"/>
          <w:szCs w:val="20"/>
          <w:lang w:val="fr-FR"/>
        </w:rPr>
        <w:tab/>
      </w:r>
      <w:r w:rsidRPr="00C80A26">
        <w:rPr>
          <w:rFonts w:eastAsia="Calibri" w:cs="Times New Roman"/>
          <w:bCs/>
          <w:sz w:val="20"/>
          <w:szCs w:val="20"/>
          <w:lang w:val="fr-FR"/>
        </w:rPr>
        <w:tab/>
        <w:t>Alliance Globale pour l’Initiative Résilience</w:t>
      </w:r>
    </w:p>
    <w:p w14:paraId="6096112E" w14:textId="77777777" w:rsidR="00802BA9" w:rsidRPr="00C80A26" w:rsidRDefault="00802BA9" w:rsidP="00802BA9">
      <w:pPr>
        <w:pStyle w:val="Pardeliste"/>
        <w:spacing w:after="0" w:line="240" w:lineRule="auto"/>
        <w:ind w:left="0"/>
        <w:rPr>
          <w:rFonts w:eastAsia="Calibri" w:cs="Times New Roman"/>
          <w:bCs/>
          <w:sz w:val="20"/>
          <w:szCs w:val="20"/>
          <w:lang w:val="fr-FR"/>
        </w:rPr>
      </w:pPr>
      <w:r w:rsidRPr="00C80A26">
        <w:rPr>
          <w:rFonts w:eastAsia="Calibri" w:cs="Times New Roman"/>
          <w:bCs/>
          <w:sz w:val="20"/>
          <w:szCs w:val="20"/>
          <w:lang w:val="fr-FR"/>
        </w:rPr>
        <w:t>ALG :</w:t>
      </w:r>
      <w:r w:rsidRPr="00C80A26">
        <w:rPr>
          <w:rFonts w:eastAsia="Calibri" w:cs="Times New Roman"/>
          <w:bCs/>
          <w:sz w:val="20"/>
          <w:szCs w:val="20"/>
          <w:lang w:val="fr-FR"/>
        </w:rPr>
        <w:tab/>
      </w:r>
      <w:r w:rsidRPr="00C80A26">
        <w:rPr>
          <w:rFonts w:eastAsia="Calibri" w:cs="Times New Roman"/>
          <w:bCs/>
          <w:sz w:val="20"/>
          <w:szCs w:val="20"/>
          <w:lang w:val="fr-FR"/>
        </w:rPr>
        <w:tab/>
        <w:t>Autorité pour le Développement Intégré de la Région du Liptako – Gourma</w:t>
      </w:r>
    </w:p>
    <w:p w14:paraId="781DEDB8" w14:textId="77777777" w:rsidR="00802BA9" w:rsidRPr="00C80A26" w:rsidRDefault="00802BA9" w:rsidP="00802BA9">
      <w:pPr>
        <w:pStyle w:val="Pardeliste"/>
        <w:spacing w:after="0" w:line="240" w:lineRule="auto"/>
        <w:ind w:left="0"/>
        <w:rPr>
          <w:rFonts w:eastAsia="Calibri" w:cs="Times New Roman"/>
          <w:bCs/>
          <w:sz w:val="20"/>
          <w:szCs w:val="20"/>
          <w:lang w:val="fr-FR"/>
        </w:rPr>
      </w:pPr>
      <w:r w:rsidRPr="00C80A26">
        <w:rPr>
          <w:rFonts w:eastAsia="Calibri" w:cs="Times New Roman"/>
          <w:bCs/>
          <w:sz w:val="20"/>
          <w:szCs w:val="20"/>
          <w:lang w:val="fr-FR"/>
        </w:rPr>
        <w:t>AMADER :</w:t>
      </w:r>
      <w:r w:rsidRPr="00C80A26">
        <w:rPr>
          <w:rFonts w:eastAsia="Calibri" w:cs="Times New Roman"/>
          <w:bCs/>
          <w:sz w:val="20"/>
          <w:szCs w:val="20"/>
          <w:lang w:val="fr-FR"/>
        </w:rPr>
        <w:tab/>
        <w:t>Agence Malienne pour l’Energie Domestique et l’Electrification Rurale</w:t>
      </w:r>
    </w:p>
    <w:p w14:paraId="2F35AE25"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 xml:space="preserve">AMCC : </w:t>
      </w:r>
      <w:r w:rsidRPr="00A02048">
        <w:rPr>
          <w:rFonts w:eastAsia="Calibri" w:cs="Times New Roman"/>
          <w:bCs/>
          <w:sz w:val="20"/>
          <w:szCs w:val="20"/>
          <w:lang w:val="fr-FR"/>
        </w:rPr>
        <w:tab/>
      </w:r>
      <w:r w:rsidRPr="00A02048">
        <w:rPr>
          <w:rFonts w:eastAsia="Calibri" w:cs="Times New Roman"/>
          <w:bCs/>
          <w:sz w:val="20"/>
          <w:szCs w:val="20"/>
          <w:lang w:val="fr-FR"/>
        </w:rPr>
        <w:tab/>
        <w:t>Alliance Mondiale contre le changement Climatique</w:t>
      </w:r>
    </w:p>
    <w:p w14:paraId="3966967C" w14:textId="77777777" w:rsidR="00802BA9" w:rsidRPr="00A02048" w:rsidRDefault="00802BA9" w:rsidP="00802BA9">
      <w:pPr>
        <w:pStyle w:val="Pardeliste"/>
        <w:spacing w:after="0" w:line="240" w:lineRule="auto"/>
        <w:ind w:left="0"/>
        <w:rPr>
          <w:rFonts w:cs="Arial"/>
          <w:sz w:val="20"/>
          <w:szCs w:val="20"/>
          <w:lang w:val="fr-FR"/>
        </w:rPr>
      </w:pPr>
      <w:r w:rsidRPr="00A02048">
        <w:rPr>
          <w:rFonts w:cs="Arial"/>
          <w:sz w:val="20"/>
          <w:szCs w:val="20"/>
          <w:lang w:val="fr-FR"/>
        </w:rPr>
        <w:t>AME :</w:t>
      </w:r>
      <w:r w:rsidRPr="00A02048">
        <w:rPr>
          <w:rFonts w:cs="Arial"/>
          <w:sz w:val="20"/>
          <w:szCs w:val="20"/>
          <w:lang w:val="fr-FR"/>
        </w:rPr>
        <w:tab/>
      </w:r>
      <w:r w:rsidRPr="00A02048">
        <w:rPr>
          <w:rFonts w:cs="Arial"/>
          <w:sz w:val="20"/>
          <w:szCs w:val="20"/>
          <w:lang w:val="fr-FR"/>
        </w:rPr>
        <w:tab/>
        <w:t>Accords Multilatéraux sur l'Environnement</w:t>
      </w:r>
    </w:p>
    <w:p w14:paraId="2FA7F31B" w14:textId="77777777" w:rsidR="008D7226" w:rsidRPr="00A02048" w:rsidRDefault="008D7226" w:rsidP="008D7226">
      <w:pPr>
        <w:spacing w:after="0" w:line="240" w:lineRule="auto"/>
        <w:contextualSpacing/>
        <w:rPr>
          <w:rFonts w:cs="Arial"/>
          <w:sz w:val="20"/>
          <w:szCs w:val="20"/>
          <w:lang w:val="fr-FR"/>
        </w:rPr>
      </w:pPr>
      <w:r w:rsidRPr="00A02048">
        <w:rPr>
          <w:rFonts w:cs="Arial"/>
          <w:sz w:val="20"/>
          <w:szCs w:val="20"/>
          <w:lang w:val="fr-FR"/>
        </w:rPr>
        <w:t>ANM :</w:t>
      </w:r>
      <w:r w:rsidRPr="00A02048">
        <w:rPr>
          <w:rFonts w:cs="Arial"/>
          <w:sz w:val="20"/>
          <w:szCs w:val="20"/>
          <w:lang w:val="fr-FR"/>
        </w:rPr>
        <w:tab/>
      </w:r>
      <w:r w:rsidRPr="00A02048">
        <w:rPr>
          <w:rFonts w:cs="Arial"/>
          <w:sz w:val="20"/>
          <w:szCs w:val="20"/>
          <w:lang w:val="fr-FR"/>
        </w:rPr>
        <w:tab/>
        <w:t>Agence Nationale de la Météorologie (Mali-Météo)</w:t>
      </w:r>
    </w:p>
    <w:p w14:paraId="59262767" w14:textId="77777777" w:rsidR="00802BA9" w:rsidRPr="00A02048" w:rsidRDefault="00802BA9" w:rsidP="00802BA9">
      <w:pPr>
        <w:pStyle w:val="Pardeliste"/>
        <w:spacing w:after="0" w:line="240" w:lineRule="auto"/>
        <w:ind w:left="0"/>
        <w:rPr>
          <w:rFonts w:cs="Arial"/>
          <w:sz w:val="20"/>
          <w:szCs w:val="20"/>
          <w:lang w:val="fr-FR"/>
        </w:rPr>
      </w:pPr>
      <w:r w:rsidRPr="00A02048">
        <w:rPr>
          <w:rFonts w:cs="Arial"/>
          <w:sz w:val="20"/>
          <w:szCs w:val="20"/>
          <w:lang w:val="fr-FR"/>
        </w:rPr>
        <w:t xml:space="preserve">ANGESEM : </w:t>
      </w:r>
      <w:r w:rsidRPr="00A02048">
        <w:rPr>
          <w:rFonts w:cs="Arial"/>
          <w:sz w:val="20"/>
          <w:szCs w:val="20"/>
          <w:lang w:val="fr-FR"/>
        </w:rPr>
        <w:tab/>
        <w:t>Agence Nationale de Gestion des Stations d’Epuration au Mali</w:t>
      </w:r>
    </w:p>
    <w:p w14:paraId="27C27708" w14:textId="77777777" w:rsidR="00802BA9" w:rsidRPr="00A02048" w:rsidRDefault="00802BA9" w:rsidP="00802BA9">
      <w:pPr>
        <w:pStyle w:val="Pardeliste"/>
        <w:spacing w:after="0" w:line="240" w:lineRule="auto"/>
        <w:ind w:left="0"/>
        <w:rPr>
          <w:rFonts w:cs="Arial"/>
          <w:sz w:val="20"/>
          <w:szCs w:val="20"/>
          <w:lang w:val="fr-FR"/>
        </w:rPr>
      </w:pPr>
      <w:r w:rsidRPr="00A02048">
        <w:rPr>
          <w:rFonts w:cs="Arial"/>
          <w:sz w:val="20"/>
          <w:szCs w:val="20"/>
          <w:lang w:val="fr-FR"/>
        </w:rPr>
        <w:t xml:space="preserve">AP : </w:t>
      </w:r>
      <w:r w:rsidRPr="00A02048">
        <w:rPr>
          <w:rFonts w:cs="Arial"/>
          <w:sz w:val="20"/>
          <w:szCs w:val="20"/>
          <w:lang w:val="fr-FR"/>
        </w:rPr>
        <w:tab/>
      </w:r>
      <w:r w:rsidRPr="00A02048">
        <w:rPr>
          <w:rFonts w:cs="Arial"/>
          <w:sz w:val="20"/>
          <w:szCs w:val="20"/>
          <w:lang w:val="fr-FR"/>
        </w:rPr>
        <w:tab/>
        <w:t>Aires Protégées</w:t>
      </w:r>
    </w:p>
    <w:p w14:paraId="6A5D34DC" w14:textId="77777777" w:rsidR="00802BA9" w:rsidRPr="00A02048" w:rsidRDefault="00802BA9" w:rsidP="00802BA9">
      <w:pPr>
        <w:pStyle w:val="Pardeliste"/>
        <w:spacing w:after="0" w:line="240" w:lineRule="auto"/>
        <w:ind w:left="0"/>
        <w:rPr>
          <w:rFonts w:cs="Arial"/>
          <w:sz w:val="20"/>
          <w:szCs w:val="20"/>
          <w:lang w:val="fr-FR"/>
        </w:rPr>
      </w:pPr>
      <w:r w:rsidRPr="00A02048">
        <w:rPr>
          <w:rFonts w:cs="Arial"/>
          <w:sz w:val="20"/>
          <w:szCs w:val="20"/>
          <w:lang w:val="fr-FR"/>
        </w:rPr>
        <w:t>API :</w:t>
      </w:r>
      <w:r w:rsidRPr="00A02048">
        <w:rPr>
          <w:rFonts w:cs="Arial"/>
          <w:sz w:val="20"/>
          <w:szCs w:val="20"/>
          <w:lang w:val="fr-FR"/>
        </w:rPr>
        <w:tab/>
      </w:r>
      <w:r w:rsidRPr="00A02048">
        <w:rPr>
          <w:rFonts w:cs="Arial"/>
          <w:sz w:val="20"/>
          <w:szCs w:val="20"/>
          <w:lang w:val="fr-FR"/>
        </w:rPr>
        <w:tab/>
        <w:t>Agence pour la Promotion des Investissements</w:t>
      </w:r>
    </w:p>
    <w:p w14:paraId="14C1DCA7" w14:textId="77777777" w:rsidR="00802BA9" w:rsidRPr="00A02048" w:rsidRDefault="00802BA9" w:rsidP="00802BA9">
      <w:pPr>
        <w:pStyle w:val="Pardeliste"/>
        <w:spacing w:after="0" w:line="240" w:lineRule="auto"/>
        <w:ind w:left="0"/>
        <w:rPr>
          <w:rFonts w:cs="Arial"/>
          <w:sz w:val="20"/>
          <w:szCs w:val="20"/>
          <w:lang w:val="fr-FR"/>
        </w:rPr>
      </w:pPr>
      <w:r w:rsidRPr="00A02048">
        <w:rPr>
          <w:rFonts w:cs="Arial"/>
          <w:sz w:val="20"/>
          <w:szCs w:val="20"/>
          <w:lang w:val="fr-FR"/>
        </w:rPr>
        <w:t xml:space="preserve">APD : </w:t>
      </w:r>
      <w:r w:rsidRPr="00A02048">
        <w:rPr>
          <w:rFonts w:cs="Arial"/>
          <w:sz w:val="20"/>
          <w:szCs w:val="20"/>
          <w:lang w:val="fr-FR"/>
        </w:rPr>
        <w:tab/>
      </w:r>
      <w:r w:rsidRPr="00A02048">
        <w:rPr>
          <w:rFonts w:cs="Arial"/>
          <w:sz w:val="20"/>
          <w:szCs w:val="20"/>
          <w:lang w:val="fr-FR"/>
        </w:rPr>
        <w:tab/>
        <w:t>Aide Publique au Développement</w:t>
      </w:r>
    </w:p>
    <w:p w14:paraId="6C3AA864" w14:textId="77777777" w:rsidR="00802BA9" w:rsidRPr="00A02048" w:rsidRDefault="00802BA9" w:rsidP="00802BA9">
      <w:pPr>
        <w:pStyle w:val="Pardeliste"/>
        <w:spacing w:after="0" w:line="240" w:lineRule="auto"/>
        <w:ind w:left="0"/>
        <w:rPr>
          <w:rFonts w:cs="Arial"/>
          <w:sz w:val="20"/>
          <w:szCs w:val="20"/>
          <w:lang w:val="fr-FR"/>
        </w:rPr>
      </w:pPr>
      <w:r w:rsidRPr="00A02048">
        <w:rPr>
          <w:rFonts w:cs="Arial"/>
          <w:sz w:val="20"/>
          <w:szCs w:val="20"/>
          <w:lang w:val="fr-FR"/>
        </w:rPr>
        <w:t>BAD :</w:t>
      </w:r>
      <w:r w:rsidRPr="00A02048">
        <w:rPr>
          <w:rFonts w:cs="Arial"/>
          <w:sz w:val="20"/>
          <w:szCs w:val="20"/>
          <w:lang w:val="fr-FR"/>
        </w:rPr>
        <w:tab/>
      </w:r>
      <w:r w:rsidRPr="00A02048">
        <w:rPr>
          <w:rFonts w:cs="Arial"/>
          <w:sz w:val="20"/>
          <w:szCs w:val="20"/>
          <w:lang w:val="fr-FR"/>
        </w:rPr>
        <w:tab/>
        <w:t>Banque Africaine De Développement</w:t>
      </w:r>
    </w:p>
    <w:p w14:paraId="215AE73C" w14:textId="77777777" w:rsidR="00802BA9" w:rsidRPr="00A02048" w:rsidRDefault="00802BA9" w:rsidP="00802BA9">
      <w:pPr>
        <w:pStyle w:val="Pardeliste"/>
        <w:spacing w:after="0" w:line="240" w:lineRule="auto"/>
        <w:ind w:left="0"/>
        <w:rPr>
          <w:rFonts w:cs="Arial"/>
          <w:sz w:val="20"/>
          <w:szCs w:val="20"/>
          <w:lang w:val="fr-FR"/>
        </w:rPr>
      </w:pPr>
      <w:r w:rsidRPr="00A02048">
        <w:rPr>
          <w:rFonts w:cs="Arial"/>
          <w:sz w:val="20"/>
          <w:szCs w:val="20"/>
          <w:lang w:val="fr-FR"/>
        </w:rPr>
        <w:t>BM :</w:t>
      </w:r>
      <w:r w:rsidRPr="00A02048">
        <w:rPr>
          <w:rFonts w:cs="Arial"/>
          <w:sz w:val="20"/>
          <w:szCs w:val="20"/>
          <w:lang w:val="fr-FR"/>
        </w:rPr>
        <w:tab/>
      </w:r>
      <w:r w:rsidRPr="00A02048">
        <w:rPr>
          <w:rFonts w:cs="Arial"/>
          <w:sz w:val="20"/>
          <w:szCs w:val="20"/>
          <w:lang w:val="fr-FR"/>
        </w:rPr>
        <w:tab/>
        <w:t>Banque Mondiale</w:t>
      </w:r>
    </w:p>
    <w:p w14:paraId="3765B9A5" w14:textId="77777777" w:rsidR="00802BA9" w:rsidRPr="00A02048" w:rsidRDefault="00802BA9" w:rsidP="00802BA9">
      <w:pPr>
        <w:pStyle w:val="Pardeliste"/>
        <w:spacing w:after="0" w:line="240" w:lineRule="auto"/>
        <w:ind w:left="0"/>
        <w:rPr>
          <w:rFonts w:cs="Arial"/>
          <w:sz w:val="20"/>
          <w:szCs w:val="20"/>
          <w:lang w:val="fr-FR"/>
        </w:rPr>
      </w:pPr>
      <w:r w:rsidRPr="00A02048">
        <w:rPr>
          <w:rFonts w:cs="Arial"/>
          <w:sz w:val="20"/>
          <w:szCs w:val="20"/>
          <w:lang w:val="fr-FR"/>
        </w:rPr>
        <w:t>BSI :</w:t>
      </w:r>
      <w:r w:rsidRPr="00A02048">
        <w:rPr>
          <w:rFonts w:cs="Arial"/>
          <w:sz w:val="20"/>
          <w:szCs w:val="20"/>
          <w:lang w:val="fr-FR"/>
        </w:rPr>
        <w:tab/>
      </w:r>
      <w:r w:rsidRPr="00A02048">
        <w:rPr>
          <w:rFonts w:cs="Arial"/>
          <w:sz w:val="20"/>
          <w:szCs w:val="20"/>
          <w:lang w:val="fr-FR"/>
        </w:rPr>
        <w:tab/>
        <w:t>Budget Spécial d’Investissement</w:t>
      </w:r>
    </w:p>
    <w:p w14:paraId="548FC868" w14:textId="77777777" w:rsidR="00802BA9" w:rsidRPr="00A02048" w:rsidRDefault="00802BA9" w:rsidP="00802BA9">
      <w:pPr>
        <w:pStyle w:val="Pardeliste"/>
        <w:spacing w:after="0" w:line="240" w:lineRule="auto"/>
        <w:ind w:left="0"/>
        <w:rPr>
          <w:rFonts w:cs="Arial"/>
          <w:sz w:val="20"/>
          <w:szCs w:val="20"/>
          <w:lang w:val="fr-FR"/>
        </w:rPr>
      </w:pPr>
      <w:r w:rsidRPr="00A02048">
        <w:rPr>
          <w:rFonts w:cs="Arial"/>
          <w:sz w:val="20"/>
          <w:szCs w:val="20"/>
          <w:lang w:val="fr-FR"/>
        </w:rPr>
        <w:t>CC :</w:t>
      </w:r>
      <w:r w:rsidRPr="00A02048">
        <w:rPr>
          <w:rFonts w:cs="Arial"/>
          <w:sz w:val="20"/>
          <w:szCs w:val="20"/>
          <w:lang w:val="fr-FR"/>
        </w:rPr>
        <w:tab/>
      </w:r>
      <w:r w:rsidRPr="00A02048">
        <w:rPr>
          <w:rFonts w:cs="Arial"/>
          <w:sz w:val="20"/>
          <w:szCs w:val="20"/>
          <w:lang w:val="fr-FR"/>
        </w:rPr>
        <w:tab/>
        <w:t>Changements Climatiques</w:t>
      </w:r>
    </w:p>
    <w:p w14:paraId="2B0812FA" w14:textId="77777777" w:rsidR="00802BA9" w:rsidRPr="00A02048" w:rsidRDefault="00802BA9" w:rsidP="00802BA9">
      <w:pPr>
        <w:pStyle w:val="Pardeliste"/>
        <w:spacing w:after="0" w:line="240" w:lineRule="auto"/>
        <w:ind w:left="0"/>
        <w:rPr>
          <w:rFonts w:cs="Arial"/>
          <w:sz w:val="20"/>
          <w:szCs w:val="20"/>
          <w:lang w:val="fr-FR"/>
        </w:rPr>
      </w:pPr>
      <w:r w:rsidRPr="00A02048">
        <w:rPr>
          <w:rFonts w:cs="Arial"/>
          <w:sz w:val="20"/>
          <w:szCs w:val="20"/>
          <w:lang w:val="fr-FR"/>
        </w:rPr>
        <w:t>CCA/ONG :</w:t>
      </w:r>
      <w:r w:rsidRPr="00A02048">
        <w:rPr>
          <w:rFonts w:cs="Arial"/>
          <w:sz w:val="20"/>
          <w:szCs w:val="20"/>
          <w:lang w:val="fr-FR"/>
        </w:rPr>
        <w:tab/>
        <w:t>Comité de Coordination des Actions des ONG</w:t>
      </w:r>
    </w:p>
    <w:p w14:paraId="6FCCC873" w14:textId="77777777" w:rsidR="00802BA9" w:rsidRPr="00A02048" w:rsidRDefault="00802BA9" w:rsidP="00802BA9">
      <w:pPr>
        <w:pStyle w:val="Pardeliste"/>
        <w:spacing w:after="0" w:line="240" w:lineRule="auto"/>
        <w:ind w:left="0"/>
        <w:rPr>
          <w:rFonts w:cs="Arial"/>
          <w:sz w:val="20"/>
          <w:szCs w:val="20"/>
          <w:lang w:val="fr-FR"/>
        </w:rPr>
      </w:pPr>
      <w:r w:rsidRPr="00A02048">
        <w:rPr>
          <w:rFonts w:cs="Arial"/>
          <w:sz w:val="20"/>
          <w:szCs w:val="20"/>
          <w:lang w:val="fr-FR"/>
        </w:rPr>
        <w:t xml:space="preserve">CCNUCC : </w:t>
      </w:r>
      <w:r w:rsidRPr="00A02048">
        <w:rPr>
          <w:rFonts w:cs="Arial"/>
          <w:sz w:val="20"/>
          <w:szCs w:val="20"/>
          <w:lang w:val="fr-FR"/>
        </w:rPr>
        <w:tab/>
        <w:t>Convention Cadre des Nations Unies sur les Changements Climatiques</w:t>
      </w:r>
    </w:p>
    <w:p w14:paraId="1E32D67F" w14:textId="77777777" w:rsidR="00802BA9" w:rsidRPr="00A02048" w:rsidRDefault="00802BA9" w:rsidP="00802BA9">
      <w:pPr>
        <w:pStyle w:val="Pardeliste"/>
        <w:spacing w:after="0" w:line="240" w:lineRule="auto"/>
        <w:ind w:left="0"/>
        <w:rPr>
          <w:rFonts w:cs="Arial"/>
          <w:sz w:val="20"/>
          <w:szCs w:val="20"/>
          <w:lang w:val="fr-FR"/>
        </w:rPr>
      </w:pPr>
      <w:r w:rsidRPr="00A02048">
        <w:rPr>
          <w:rFonts w:cs="Arial"/>
          <w:sz w:val="20"/>
          <w:szCs w:val="20"/>
          <w:lang w:val="fr-FR"/>
        </w:rPr>
        <w:t>CCNULCD :</w:t>
      </w:r>
      <w:r w:rsidRPr="00A02048">
        <w:rPr>
          <w:rFonts w:cs="Arial"/>
          <w:sz w:val="20"/>
          <w:szCs w:val="20"/>
          <w:lang w:val="fr-FR"/>
        </w:rPr>
        <w:tab/>
        <w:t>Convention Cadre des Nations Unies sur la lutte contre la désertification</w:t>
      </w:r>
    </w:p>
    <w:p w14:paraId="1F5B7D36"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cs="Arial"/>
          <w:sz w:val="20"/>
          <w:szCs w:val="20"/>
          <w:lang w:val="fr-FR"/>
        </w:rPr>
        <w:t xml:space="preserve">CCNUCC : </w:t>
      </w:r>
      <w:r w:rsidRPr="00A02048">
        <w:rPr>
          <w:rFonts w:cs="Arial"/>
          <w:sz w:val="20"/>
          <w:szCs w:val="20"/>
          <w:lang w:val="fr-FR"/>
        </w:rPr>
        <w:tab/>
        <w:t xml:space="preserve">Convention Cadre des Nations Unies sur les Changements Climatiques </w:t>
      </w:r>
    </w:p>
    <w:p w14:paraId="13DF4781" w14:textId="77777777" w:rsidR="00802BA9" w:rsidRPr="00A02048" w:rsidRDefault="00802BA9" w:rsidP="00802BA9">
      <w:pPr>
        <w:spacing w:after="0" w:line="240" w:lineRule="auto"/>
        <w:rPr>
          <w:rFonts w:eastAsia="Calibri" w:cs="Times New Roman"/>
          <w:bCs/>
          <w:sz w:val="20"/>
          <w:szCs w:val="20"/>
          <w:lang w:val="fr-FR"/>
        </w:rPr>
      </w:pPr>
      <w:r w:rsidRPr="00A02048">
        <w:rPr>
          <w:rFonts w:eastAsia="Calibri" w:cs="Times New Roman"/>
          <w:bCs/>
          <w:sz w:val="20"/>
          <w:szCs w:val="20"/>
          <w:lang w:val="fr-FR"/>
        </w:rPr>
        <w:t>CCOCSAP :</w:t>
      </w:r>
      <w:r w:rsidRPr="00A02048">
        <w:rPr>
          <w:rFonts w:eastAsia="Calibri" w:cs="Times New Roman"/>
          <w:bCs/>
          <w:sz w:val="20"/>
          <w:szCs w:val="20"/>
          <w:lang w:val="fr-FR"/>
        </w:rPr>
        <w:tab/>
        <w:t xml:space="preserve">Comité du Cercle d’Orientation, de Coordination et de Suivi des Actions de </w:t>
      </w:r>
    </w:p>
    <w:p w14:paraId="77C6CCE4" w14:textId="77777777" w:rsidR="00802BA9" w:rsidRPr="00A02048" w:rsidRDefault="00802BA9" w:rsidP="00802BA9">
      <w:pPr>
        <w:pStyle w:val="Pardeliste"/>
        <w:spacing w:after="0" w:line="240" w:lineRule="auto"/>
        <w:ind w:left="708" w:firstLine="708"/>
        <w:rPr>
          <w:rFonts w:eastAsia="Calibri" w:cs="Times New Roman"/>
          <w:bCs/>
          <w:sz w:val="20"/>
          <w:szCs w:val="20"/>
          <w:lang w:val="fr-FR"/>
        </w:rPr>
      </w:pPr>
      <w:r w:rsidRPr="00A02048">
        <w:rPr>
          <w:rFonts w:eastAsia="Calibri" w:cs="Times New Roman"/>
          <w:bCs/>
          <w:sz w:val="20"/>
          <w:szCs w:val="20"/>
          <w:lang w:val="fr-FR"/>
        </w:rPr>
        <w:t>Développement</w:t>
      </w:r>
    </w:p>
    <w:p w14:paraId="20AF4D67"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 xml:space="preserve">CE : </w:t>
      </w:r>
      <w:r w:rsidRPr="00A02048">
        <w:rPr>
          <w:rFonts w:eastAsia="Calibri" w:cs="Times New Roman"/>
          <w:bCs/>
          <w:sz w:val="20"/>
          <w:szCs w:val="20"/>
          <w:lang w:val="fr-FR"/>
        </w:rPr>
        <w:tab/>
      </w:r>
      <w:r w:rsidRPr="00A02048">
        <w:rPr>
          <w:rFonts w:eastAsia="Calibri" w:cs="Times New Roman"/>
          <w:bCs/>
          <w:sz w:val="20"/>
          <w:szCs w:val="20"/>
          <w:lang w:val="fr-FR"/>
        </w:rPr>
        <w:tab/>
        <w:t>Commission Européenne</w:t>
      </w:r>
    </w:p>
    <w:p w14:paraId="00392497"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CEDEAO :</w:t>
      </w:r>
      <w:r w:rsidRPr="00A02048">
        <w:rPr>
          <w:rFonts w:eastAsia="Calibri" w:cs="Times New Roman"/>
          <w:bCs/>
          <w:sz w:val="20"/>
          <w:szCs w:val="20"/>
          <w:lang w:val="fr-FR"/>
        </w:rPr>
        <w:tab/>
        <w:t>Communauté Economique des Etats de l’Afrique de l’Ouest</w:t>
      </w:r>
    </w:p>
    <w:p w14:paraId="2B3D62DD"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CGES :</w:t>
      </w:r>
      <w:r w:rsidRPr="00A02048">
        <w:rPr>
          <w:rFonts w:eastAsia="Calibri" w:cs="Times New Roman"/>
          <w:bCs/>
          <w:sz w:val="20"/>
          <w:szCs w:val="20"/>
          <w:lang w:val="fr-FR"/>
        </w:rPr>
        <w:tab/>
      </w:r>
      <w:r w:rsidRPr="00A02048">
        <w:rPr>
          <w:rFonts w:eastAsia="Calibri" w:cs="Times New Roman"/>
          <w:bCs/>
          <w:sz w:val="20"/>
          <w:szCs w:val="20"/>
          <w:lang w:val="fr-FR"/>
        </w:rPr>
        <w:tab/>
        <w:t>Cadre de Gestion Environnementale et Sociale</w:t>
      </w:r>
    </w:p>
    <w:p w14:paraId="6D067FFE"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CGQA :</w:t>
      </w:r>
      <w:r w:rsidRPr="00A02048">
        <w:rPr>
          <w:rFonts w:eastAsia="Calibri" w:cs="Times New Roman"/>
          <w:bCs/>
          <w:sz w:val="20"/>
          <w:szCs w:val="20"/>
          <w:lang w:val="fr-FR"/>
        </w:rPr>
        <w:tab/>
      </w:r>
      <w:r w:rsidRPr="00A02048">
        <w:rPr>
          <w:rFonts w:eastAsia="Calibri" w:cs="Times New Roman"/>
          <w:bCs/>
          <w:sz w:val="20"/>
          <w:szCs w:val="20"/>
          <w:lang w:val="fr-FR"/>
        </w:rPr>
        <w:tab/>
        <w:t>Centre de Gestion de la Qualité de l’Air (Dakar)</w:t>
      </w:r>
    </w:p>
    <w:p w14:paraId="2D6914FB"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 xml:space="preserve">CILSS : </w:t>
      </w:r>
      <w:r w:rsidRPr="00A02048">
        <w:rPr>
          <w:rFonts w:eastAsia="Calibri" w:cs="Times New Roman"/>
          <w:bCs/>
          <w:sz w:val="20"/>
          <w:szCs w:val="20"/>
          <w:lang w:val="fr-FR"/>
        </w:rPr>
        <w:tab/>
      </w:r>
      <w:r w:rsidRPr="00A02048">
        <w:rPr>
          <w:rFonts w:eastAsia="Calibri" w:cs="Times New Roman"/>
          <w:bCs/>
          <w:sz w:val="20"/>
          <w:szCs w:val="20"/>
          <w:lang w:val="fr-FR"/>
        </w:rPr>
        <w:tab/>
        <w:t>Comité Inter-états de Lutte contre la Sécheresse au Sahel</w:t>
      </w:r>
    </w:p>
    <w:p w14:paraId="3356B5A1"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CLOCSAP :</w:t>
      </w:r>
      <w:r w:rsidRPr="00A02048">
        <w:rPr>
          <w:rFonts w:eastAsia="Calibri" w:cs="Times New Roman"/>
          <w:bCs/>
          <w:sz w:val="20"/>
          <w:szCs w:val="20"/>
          <w:lang w:val="fr-FR"/>
        </w:rPr>
        <w:tab/>
        <w:t xml:space="preserve">Comité Local d’Orientation, de Coordination et de Suivi des Actions de </w:t>
      </w:r>
    </w:p>
    <w:p w14:paraId="2082B02A" w14:textId="77777777" w:rsidR="00802BA9" w:rsidRPr="00A02048" w:rsidRDefault="00802BA9" w:rsidP="00802BA9">
      <w:pPr>
        <w:pStyle w:val="Pardeliste"/>
        <w:spacing w:after="0" w:line="240" w:lineRule="auto"/>
        <w:ind w:left="708" w:firstLine="708"/>
        <w:rPr>
          <w:rFonts w:eastAsia="Calibri" w:cs="Times New Roman"/>
          <w:bCs/>
          <w:sz w:val="20"/>
          <w:szCs w:val="20"/>
          <w:lang w:val="fr-FR"/>
        </w:rPr>
      </w:pPr>
      <w:r w:rsidRPr="00A02048">
        <w:rPr>
          <w:rFonts w:eastAsia="Calibri" w:cs="Times New Roman"/>
          <w:bCs/>
          <w:sz w:val="20"/>
          <w:szCs w:val="20"/>
          <w:lang w:val="fr-FR"/>
        </w:rPr>
        <w:t>Développement (CROCSAD</w:t>
      </w:r>
    </w:p>
    <w:p w14:paraId="50AD0A75"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CMDT :</w:t>
      </w:r>
      <w:r w:rsidRPr="00A02048">
        <w:rPr>
          <w:rFonts w:eastAsia="Calibri" w:cs="Times New Roman"/>
          <w:bCs/>
          <w:sz w:val="20"/>
          <w:szCs w:val="20"/>
          <w:lang w:val="fr-FR"/>
        </w:rPr>
        <w:tab/>
      </w:r>
      <w:r w:rsidRPr="00A02048">
        <w:rPr>
          <w:rFonts w:eastAsia="Calibri" w:cs="Times New Roman"/>
          <w:bCs/>
          <w:sz w:val="20"/>
          <w:szCs w:val="20"/>
          <w:lang w:val="fr-FR"/>
        </w:rPr>
        <w:tab/>
        <w:t>Compagnie Malienne de Développement Textile</w:t>
      </w:r>
    </w:p>
    <w:p w14:paraId="1977041F"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CNCC :</w:t>
      </w:r>
      <w:r w:rsidRPr="00A02048">
        <w:rPr>
          <w:rFonts w:eastAsia="Calibri" w:cs="Times New Roman"/>
          <w:bCs/>
          <w:sz w:val="20"/>
          <w:szCs w:val="20"/>
          <w:lang w:val="fr-FR"/>
        </w:rPr>
        <w:tab/>
      </w:r>
      <w:r w:rsidRPr="00A02048">
        <w:rPr>
          <w:rFonts w:eastAsia="Calibri" w:cs="Times New Roman"/>
          <w:bCs/>
          <w:sz w:val="20"/>
          <w:szCs w:val="20"/>
          <w:lang w:val="fr-FR"/>
        </w:rPr>
        <w:tab/>
        <w:t>Comité National des Changements Climatiques</w:t>
      </w:r>
    </w:p>
    <w:p w14:paraId="05E5D608"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CNCT :</w:t>
      </w:r>
      <w:r w:rsidRPr="00A02048">
        <w:rPr>
          <w:lang w:val="fr-FR"/>
        </w:rPr>
        <w:t xml:space="preserve"> </w:t>
      </w:r>
      <w:r w:rsidRPr="00A02048">
        <w:rPr>
          <w:lang w:val="fr-FR"/>
        </w:rPr>
        <w:tab/>
      </w:r>
      <w:r w:rsidRPr="00A02048">
        <w:rPr>
          <w:lang w:val="fr-FR"/>
        </w:rPr>
        <w:tab/>
      </w:r>
      <w:r w:rsidRPr="00A02048">
        <w:rPr>
          <w:rFonts w:eastAsia="Calibri" w:cs="Times New Roman"/>
          <w:bCs/>
          <w:sz w:val="20"/>
          <w:szCs w:val="20"/>
          <w:lang w:val="fr-FR"/>
        </w:rPr>
        <w:t>Comité National de Cartographie et de Télédétection</w:t>
      </w:r>
      <w:r w:rsidRPr="00A02048">
        <w:rPr>
          <w:rFonts w:eastAsia="Calibri" w:cs="Times New Roman"/>
          <w:bCs/>
          <w:sz w:val="20"/>
          <w:szCs w:val="20"/>
          <w:lang w:val="fr-FR"/>
        </w:rPr>
        <w:tab/>
      </w:r>
      <w:r w:rsidRPr="00A02048">
        <w:rPr>
          <w:rFonts w:eastAsia="Calibri" w:cs="Times New Roman"/>
          <w:bCs/>
          <w:sz w:val="20"/>
          <w:szCs w:val="20"/>
          <w:lang w:val="fr-FR"/>
        </w:rPr>
        <w:tab/>
      </w:r>
    </w:p>
    <w:p w14:paraId="5D50B04B"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CNE :</w:t>
      </w:r>
      <w:r w:rsidRPr="00A02048">
        <w:rPr>
          <w:rFonts w:eastAsia="Calibri" w:cs="Times New Roman"/>
          <w:bCs/>
          <w:sz w:val="20"/>
          <w:szCs w:val="20"/>
          <w:lang w:val="fr-FR"/>
        </w:rPr>
        <w:tab/>
      </w:r>
      <w:r w:rsidRPr="00A02048">
        <w:rPr>
          <w:rFonts w:eastAsia="Calibri" w:cs="Times New Roman"/>
          <w:bCs/>
          <w:sz w:val="20"/>
          <w:szCs w:val="20"/>
          <w:lang w:val="fr-FR"/>
        </w:rPr>
        <w:tab/>
        <w:t>Co</w:t>
      </w:r>
      <w:r w:rsidR="007E04E7" w:rsidRPr="00A02048">
        <w:rPr>
          <w:rFonts w:eastAsia="Calibri" w:cs="Times New Roman"/>
          <w:bCs/>
          <w:sz w:val="20"/>
          <w:szCs w:val="20"/>
          <w:lang w:val="fr-FR"/>
        </w:rPr>
        <w:t>nseil</w:t>
      </w:r>
      <w:r w:rsidRPr="00A02048">
        <w:rPr>
          <w:rFonts w:eastAsia="Calibri" w:cs="Times New Roman"/>
          <w:bCs/>
          <w:sz w:val="20"/>
          <w:szCs w:val="20"/>
          <w:lang w:val="fr-FR"/>
        </w:rPr>
        <w:t xml:space="preserve"> National de l’Environnement</w:t>
      </w:r>
    </w:p>
    <w:p w14:paraId="7B8820B5"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CS-PV/PPP :</w:t>
      </w:r>
      <w:r w:rsidRPr="00A02048">
        <w:rPr>
          <w:rFonts w:eastAsia="Calibri" w:cs="Times New Roman"/>
          <w:bCs/>
          <w:sz w:val="20"/>
          <w:szCs w:val="20"/>
          <w:lang w:val="fr-FR"/>
        </w:rPr>
        <w:tab/>
        <w:t xml:space="preserve">Projet Centrale Solaire Photovoltaïque </w:t>
      </w:r>
    </w:p>
    <w:p w14:paraId="305BBC70"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COMANAV :</w:t>
      </w:r>
      <w:r w:rsidRPr="00A02048">
        <w:rPr>
          <w:rFonts w:eastAsia="Calibri" w:cs="Times New Roman"/>
          <w:bCs/>
          <w:sz w:val="20"/>
          <w:szCs w:val="20"/>
          <w:lang w:val="fr-FR"/>
        </w:rPr>
        <w:tab/>
        <w:t>Compagnie Malienne de Navigation</w:t>
      </w:r>
    </w:p>
    <w:p w14:paraId="4A58D1C1"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CONFIDES :</w:t>
      </w:r>
      <w:r w:rsidRPr="00A02048">
        <w:rPr>
          <w:rFonts w:eastAsia="Calibri" w:cs="Times New Roman"/>
          <w:bCs/>
          <w:sz w:val="20"/>
          <w:szCs w:val="20"/>
          <w:lang w:val="fr-FR"/>
        </w:rPr>
        <w:tab/>
        <w:t>Consolidation de la Filière de transformation des Déchets</w:t>
      </w:r>
    </w:p>
    <w:p w14:paraId="4C73B460"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COP :</w:t>
      </w:r>
      <w:r w:rsidRPr="00A02048">
        <w:rPr>
          <w:rFonts w:eastAsia="Calibri" w:cs="Times New Roman"/>
          <w:bCs/>
          <w:sz w:val="20"/>
          <w:szCs w:val="20"/>
          <w:lang w:val="fr-FR"/>
        </w:rPr>
        <w:tab/>
      </w:r>
      <w:r w:rsidRPr="00A02048">
        <w:rPr>
          <w:rFonts w:eastAsia="Calibri" w:cs="Times New Roman"/>
          <w:bCs/>
          <w:sz w:val="20"/>
          <w:szCs w:val="20"/>
          <w:lang w:val="fr-FR"/>
        </w:rPr>
        <w:tab/>
        <w:t>Conférence des Parties</w:t>
      </w:r>
    </w:p>
    <w:p w14:paraId="0DDBA9DC"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CPS :</w:t>
      </w:r>
      <w:r w:rsidRPr="00A02048">
        <w:rPr>
          <w:rFonts w:eastAsia="Calibri" w:cs="Times New Roman"/>
          <w:bCs/>
          <w:sz w:val="20"/>
          <w:szCs w:val="20"/>
          <w:lang w:val="fr-FR"/>
        </w:rPr>
        <w:tab/>
      </w:r>
      <w:r w:rsidRPr="00A02048">
        <w:rPr>
          <w:rFonts w:eastAsia="Calibri" w:cs="Times New Roman"/>
          <w:bCs/>
          <w:sz w:val="20"/>
          <w:szCs w:val="20"/>
          <w:lang w:val="fr-FR"/>
        </w:rPr>
        <w:tab/>
        <w:t>Cellule de Planification et de Statistique</w:t>
      </w:r>
    </w:p>
    <w:p w14:paraId="3F100E60"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CORAF :</w:t>
      </w:r>
      <w:r w:rsidRPr="00A02048">
        <w:rPr>
          <w:rFonts w:eastAsia="Calibri" w:cs="Times New Roman"/>
          <w:bCs/>
          <w:sz w:val="20"/>
          <w:szCs w:val="20"/>
          <w:lang w:val="fr-FR"/>
        </w:rPr>
        <w:tab/>
      </w:r>
      <w:r w:rsidRPr="00A02048">
        <w:rPr>
          <w:rFonts w:eastAsia="Calibri" w:cs="Times New Roman"/>
          <w:bCs/>
          <w:sz w:val="20"/>
          <w:szCs w:val="20"/>
          <w:lang w:val="fr-FR"/>
        </w:rPr>
        <w:tab/>
        <w:t>Conseil Ouest et Centre Africain pour la Recherche et le Développement Agricole</w:t>
      </w:r>
    </w:p>
    <w:p w14:paraId="66044E37"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COV :</w:t>
      </w:r>
      <w:r w:rsidRPr="00A02048">
        <w:rPr>
          <w:rFonts w:eastAsia="Calibri" w:cs="Times New Roman"/>
          <w:bCs/>
          <w:sz w:val="20"/>
          <w:szCs w:val="20"/>
          <w:lang w:val="fr-FR"/>
        </w:rPr>
        <w:tab/>
      </w:r>
      <w:r w:rsidRPr="00A02048">
        <w:rPr>
          <w:rFonts w:eastAsia="Calibri" w:cs="Times New Roman"/>
          <w:bCs/>
          <w:sz w:val="20"/>
          <w:szCs w:val="20"/>
          <w:lang w:val="fr-FR"/>
        </w:rPr>
        <w:tab/>
        <w:t>Composé Organique Volatil</w:t>
      </w:r>
    </w:p>
    <w:p w14:paraId="4E398FE9"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 xml:space="preserve">CPS/SDR : </w:t>
      </w:r>
      <w:r w:rsidRPr="00A02048">
        <w:rPr>
          <w:rFonts w:eastAsia="Calibri" w:cs="Times New Roman"/>
          <w:bCs/>
          <w:sz w:val="20"/>
          <w:szCs w:val="20"/>
          <w:lang w:val="fr-FR"/>
        </w:rPr>
        <w:tab/>
        <w:t>Cellule de Planification et de Statistique du Secteur de Développement Rural</w:t>
      </w:r>
    </w:p>
    <w:p w14:paraId="1152C81F"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CPS/SEEUDE :</w:t>
      </w:r>
      <w:r w:rsidRPr="00A02048">
        <w:rPr>
          <w:lang w:val="fr-FR"/>
        </w:rPr>
        <w:t xml:space="preserve"> </w:t>
      </w:r>
      <w:r w:rsidRPr="00A02048">
        <w:rPr>
          <w:lang w:val="fr-FR"/>
        </w:rPr>
        <w:tab/>
      </w:r>
      <w:r w:rsidRPr="00A02048">
        <w:rPr>
          <w:rFonts w:eastAsia="Calibri" w:cs="Times New Roman"/>
          <w:bCs/>
          <w:sz w:val="20"/>
          <w:szCs w:val="20"/>
          <w:lang w:val="fr-FR"/>
        </w:rPr>
        <w:t>Cellule de Planification et de Statistique du Secteur Environnement Eau</w:t>
      </w:r>
      <w:r w:rsidRPr="00A02048">
        <w:rPr>
          <w:rFonts w:eastAsia="Calibri" w:cs="Times New Roman"/>
          <w:bCs/>
          <w:sz w:val="20"/>
          <w:szCs w:val="20"/>
          <w:lang w:val="fr-FR"/>
        </w:rPr>
        <w:tab/>
      </w:r>
    </w:p>
    <w:p w14:paraId="2FD40502"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 xml:space="preserve">CREDD : </w:t>
      </w:r>
      <w:r w:rsidRPr="00A02048">
        <w:rPr>
          <w:rFonts w:eastAsia="Calibri" w:cs="Times New Roman"/>
          <w:bCs/>
          <w:sz w:val="20"/>
          <w:szCs w:val="20"/>
          <w:lang w:val="fr-FR"/>
        </w:rPr>
        <w:tab/>
        <w:t>Cadre Stratégique pour la Relance Economique et le Développement Durable</w:t>
      </w:r>
    </w:p>
    <w:p w14:paraId="73D0FCF5" w14:textId="77777777" w:rsidR="00802BA9" w:rsidRPr="00A02048" w:rsidRDefault="00802BA9" w:rsidP="00802BA9">
      <w:pPr>
        <w:spacing w:after="0" w:line="240" w:lineRule="auto"/>
        <w:rPr>
          <w:rFonts w:eastAsia="Calibri" w:cs="Times New Roman"/>
          <w:bCs/>
          <w:sz w:val="20"/>
          <w:szCs w:val="20"/>
          <w:lang w:val="fr-FR"/>
        </w:rPr>
      </w:pPr>
      <w:r w:rsidRPr="00A02048">
        <w:rPr>
          <w:rFonts w:eastAsia="Calibri" w:cs="Times New Roman"/>
          <w:bCs/>
          <w:sz w:val="20"/>
          <w:szCs w:val="20"/>
          <w:lang w:val="fr-FR"/>
        </w:rPr>
        <w:t>CROCSAP :</w:t>
      </w:r>
      <w:r w:rsidRPr="00A02048">
        <w:rPr>
          <w:rFonts w:eastAsia="Calibri" w:cs="Times New Roman"/>
          <w:bCs/>
          <w:sz w:val="20"/>
          <w:szCs w:val="20"/>
          <w:lang w:val="fr-FR"/>
        </w:rPr>
        <w:tab/>
        <w:t xml:space="preserve">Comité Régional d’Orientation, de Coordination et de Suivi des Actions de </w:t>
      </w:r>
    </w:p>
    <w:p w14:paraId="33853E0A" w14:textId="77777777" w:rsidR="00802BA9" w:rsidRPr="00A02048" w:rsidRDefault="00802BA9" w:rsidP="00802BA9">
      <w:pPr>
        <w:pStyle w:val="Pardeliste"/>
        <w:spacing w:after="0" w:line="240" w:lineRule="auto"/>
        <w:ind w:left="708" w:firstLine="708"/>
        <w:rPr>
          <w:rFonts w:eastAsia="Calibri" w:cs="Times New Roman"/>
          <w:bCs/>
          <w:sz w:val="20"/>
          <w:szCs w:val="20"/>
          <w:lang w:val="fr-FR"/>
        </w:rPr>
      </w:pPr>
      <w:r w:rsidRPr="00A02048">
        <w:rPr>
          <w:rFonts w:eastAsia="Calibri" w:cs="Times New Roman"/>
          <w:bCs/>
          <w:sz w:val="20"/>
          <w:szCs w:val="20"/>
          <w:lang w:val="fr-FR"/>
        </w:rPr>
        <w:t>Développement</w:t>
      </w:r>
    </w:p>
    <w:p w14:paraId="19A9C300"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CSCRP :</w:t>
      </w:r>
      <w:r w:rsidRPr="00A02048">
        <w:rPr>
          <w:rFonts w:eastAsia="Calibri" w:cs="Times New Roman"/>
          <w:bCs/>
          <w:sz w:val="20"/>
          <w:szCs w:val="20"/>
          <w:lang w:val="fr-FR"/>
        </w:rPr>
        <w:tab/>
      </w:r>
      <w:r w:rsidRPr="00A02048">
        <w:rPr>
          <w:rFonts w:eastAsia="Calibri" w:cs="Times New Roman"/>
          <w:bCs/>
          <w:sz w:val="20"/>
          <w:szCs w:val="20"/>
          <w:lang w:val="fr-FR"/>
        </w:rPr>
        <w:tab/>
        <w:t>Cadre Stratégique pour la Croissance et la Réduction de la Pauvreté</w:t>
      </w:r>
    </w:p>
    <w:p w14:paraId="20AAA7C6"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CSLP :</w:t>
      </w:r>
      <w:r w:rsidRPr="00A02048">
        <w:rPr>
          <w:rFonts w:eastAsia="Calibri" w:cs="Times New Roman"/>
          <w:bCs/>
          <w:sz w:val="20"/>
          <w:szCs w:val="20"/>
          <w:lang w:val="fr-FR"/>
        </w:rPr>
        <w:tab/>
      </w:r>
      <w:r w:rsidRPr="00A02048">
        <w:rPr>
          <w:rFonts w:eastAsia="Calibri" w:cs="Times New Roman"/>
          <w:bCs/>
          <w:sz w:val="20"/>
          <w:szCs w:val="20"/>
          <w:lang w:val="fr-FR"/>
        </w:rPr>
        <w:tab/>
        <w:t>Cadre Stratégique de la Lutte contre la Pauvreté</w:t>
      </w:r>
    </w:p>
    <w:p w14:paraId="4DF3296D"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CSI-GDT :</w:t>
      </w:r>
      <w:r w:rsidRPr="00A02048">
        <w:rPr>
          <w:rFonts w:eastAsia="Calibri" w:cs="Times New Roman"/>
          <w:bCs/>
          <w:sz w:val="20"/>
          <w:szCs w:val="20"/>
          <w:lang w:val="fr-FR"/>
        </w:rPr>
        <w:tab/>
        <w:t>Cadre Stratégique d’Investissement de Gestion Durable des Terres</w:t>
      </w:r>
    </w:p>
    <w:p w14:paraId="048913EB"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CTB :</w:t>
      </w:r>
      <w:r w:rsidRPr="00A02048">
        <w:rPr>
          <w:rFonts w:eastAsia="Calibri" w:cs="Times New Roman"/>
          <w:bCs/>
          <w:sz w:val="20"/>
          <w:szCs w:val="20"/>
          <w:lang w:val="fr-FR"/>
        </w:rPr>
        <w:tab/>
      </w:r>
      <w:r w:rsidRPr="00A02048">
        <w:rPr>
          <w:rFonts w:eastAsia="Calibri" w:cs="Times New Roman"/>
          <w:bCs/>
          <w:sz w:val="20"/>
          <w:szCs w:val="20"/>
          <w:lang w:val="fr-FR"/>
        </w:rPr>
        <w:tab/>
        <w:t>Coopération Technique Belge</w:t>
      </w:r>
    </w:p>
    <w:p w14:paraId="19CDBF44"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DBO :</w:t>
      </w:r>
      <w:r w:rsidRPr="00A02048">
        <w:rPr>
          <w:rFonts w:eastAsia="Calibri" w:cs="Times New Roman"/>
          <w:bCs/>
          <w:sz w:val="20"/>
          <w:szCs w:val="20"/>
          <w:lang w:val="fr-FR"/>
        </w:rPr>
        <w:tab/>
      </w:r>
      <w:r w:rsidRPr="00A02048">
        <w:rPr>
          <w:rFonts w:eastAsia="Calibri" w:cs="Times New Roman"/>
          <w:bCs/>
          <w:sz w:val="20"/>
          <w:szCs w:val="20"/>
          <w:lang w:val="fr-FR"/>
        </w:rPr>
        <w:tab/>
        <w:t>Demande Biochimique en Oxygène</w:t>
      </w:r>
    </w:p>
    <w:p w14:paraId="052F6395"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DCO :</w:t>
      </w:r>
      <w:r w:rsidRPr="00A02048">
        <w:rPr>
          <w:rFonts w:eastAsia="Calibri" w:cs="Times New Roman"/>
          <w:bCs/>
          <w:sz w:val="20"/>
          <w:szCs w:val="20"/>
          <w:lang w:val="fr-FR"/>
        </w:rPr>
        <w:tab/>
      </w:r>
      <w:r w:rsidRPr="00A02048">
        <w:rPr>
          <w:rFonts w:eastAsia="Calibri" w:cs="Times New Roman"/>
          <w:bCs/>
          <w:sz w:val="20"/>
          <w:szCs w:val="20"/>
          <w:lang w:val="fr-FR"/>
        </w:rPr>
        <w:tab/>
        <w:t>Demande Chimique en Oxygène</w:t>
      </w:r>
    </w:p>
    <w:p w14:paraId="060BF05F"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DD :</w:t>
      </w:r>
      <w:r w:rsidRPr="00A02048">
        <w:rPr>
          <w:rFonts w:eastAsia="Calibri" w:cs="Times New Roman"/>
          <w:bCs/>
          <w:sz w:val="20"/>
          <w:szCs w:val="20"/>
          <w:lang w:val="fr-FR"/>
        </w:rPr>
        <w:tab/>
      </w:r>
      <w:r w:rsidRPr="00A02048">
        <w:rPr>
          <w:rFonts w:eastAsia="Calibri" w:cs="Times New Roman"/>
          <w:bCs/>
          <w:sz w:val="20"/>
          <w:szCs w:val="20"/>
          <w:lang w:val="fr-FR"/>
        </w:rPr>
        <w:tab/>
        <w:t>Développement Durable</w:t>
      </w:r>
    </w:p>
    <w:p w14:paraId="13112A8E"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DDT :</w:t>
      </w:r>
      <w:r w:rsidRPr="00A02048">
        <w:rPr>
          <w:rFonts w:eastAsia="Calibri" w:cs="Times New Roman"/>
          <w:bCs/>
          <w:sz w:val="20"/>
          <w:szCs w:val="20"/>
          <w:lang w:val="fr-FR"/>
        </w:rPr>
        <w:tab/>
      </w:r>
      <w:r w:rsidRPr="00A02048">
        <w:rPr>
          <w:rFonts w:eastAsia="Calibri" w:cs="Times New Roman"/>
          <w:bCs/>
          <w:sz w:val="20"/>
          <w:szCs w:val="20"/>
          <w:lang w:val="fr-FR"/>
        </w:rPr>
        <w:tab/>
        <w:t>Dichloro-Diphényl-Trichloro-éthane</w:t>
      </w:r>
    </w:p>
    <w:p w14:paraId="149A4C5A"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DEEE :</w:t>
      </w:r>
      <w:r w:rsidRPr="00A02048">
        <w:rPr>
          <w:rFonts w:eastAsia="Calibri" w:cs="Times New Roman"/>
          <w:bCs/>
          <w:sz w:val="20"/>
          <w:szCs w:val="20"/>
          <w:lang w:val="fr-FR"/>
        </w:rPr>
        <w:tab/>
      </w:r>
      <w:r w:rsidRPr="00A02048">
        <w:rPr>
          <w:rFonts w:eastAsia="Calibri" w:cs="Times New Roman"/>
          <w:bCs/>
          <w:sz w:val="20"/>
          <w:szCs w:val="20"/>
          <w:lang w:val="fr-FR"/>
        </w:rPr>
        <w:tab/>
        <w:t>Déchets d’Equipements Electriques et Electroniques</w:t>
      </w:r>
    </w:p>
    <w:p w14:paraId="7E6FC619"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DGPC :</w:t>
      </w:r>
      <w:r w:rsidRPr="00A02048">
        <w:rPr>
          <w:rFonts w:eastAsia="Calibri" w:cs="Times New Roman"/>
          <w:bCs/>
          <w:sz w:val="20"/>
          <w:szCs w:val="20"/>
          <w:lang w:val="fr-FR"/>
        </w:rPr>
        <w:tab/>
      </w:r>
      <w:r w:rsidRPr="00A02048">
        <w:rPr>
          <w:rFonts w:eastAsia="Calibri" w:cs="Times New Roman"/>
          <w:bCs/>
          <w:sz w:val="20"/>
          <w:szCs w:val="20"/>
          <w:lang w:val="fr-FR"/>
        </w:rPr>
        <w:tab/>
        <w:t>Direction Générale de la Protection Civile</w:t>
      </w:r>
    </w:p>
    <w:p w14:paraId="210FB022"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lastRenderedPageBreak/>
        <w:t xml:space="preserve">DNACPN : </w:t>
      </w:r>
      <w:r w:rsidRPr="00A02048">
        <w:rPr>
          <w:rFonts w:eastAsia="Calibri" w:cs="Times New Roman"/>
          <w:bCs/>
          <w:sz w:val="20"/>
          <w:szCs w:val="20"/>
          <w:lang w:val="fr-FR"/>
        </w:rPr>
        <w:tab/>
        <w:t>Direction Nationale de l’Assainissement, du Contrôle des Pollutions et des Nuisances</w:t>
      </w:r>
    </w:p>
    <w:p w14:paraId="71E4D659"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DNE :</w:t>
      </w:r>
      <w:r w:rsidRPr="00A02048">
        <w:rPr>
          <w:rFonts w:eastAsia="Calibri" w:cs="Times New Roman"/>
          <w:bCs/>
          <w:sz w:val="20"/>
          <w:szCs w:val="20"/>
          <w:lang w:val="fr-FR"/>
        </w:rPr>
        <w:tab/>
      </w:r>
      <w:r w:rsidRPr="00A02048">
        <w:rPr>
          <w:rFonts w:eastAsia="Calibri" w:cs="Times New Roman"/>
          <w:bCs/>
          <w:sz w:val="20"/>
          <w:szCs w:val="20"/>
          <w:lang w:val="fr-FR"/>
        </w:rPr>
        <w:tab/>
        <w:t>Direction Nationale de l’Energie</w:t>
      </w:r>
    </w:p>
    <w:p w14:paraId="730017E7"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DNEF :</w:t>
      </w:r>
      <w:r w:rsidRPr="00A02048">
        <w:rPr>
          <w:rFonts w:eastAsia="Calibri" w:cs="Times New Roman"/>
          <w:bCs/>
          <w:sz w:val="20"/>
          <w:szCs w:val="20"/>
          <w:lang w:val="fr-FR"/>
        </w:rPr>
        <w:tab/>
      </w:r>
      <w:r w:rsidRPr="00A02048">
        <w:rPr>
          <w:rFonts w:eastAsia="Calibri" w:cs="Times New Roman"/>
          <w:bCs/>
          <w:sz w:val="20"/>
          <w:szCs w:val="20"/>
          <w:lang w:val="fr-FR"/>
        </w:rPr>
        <w:tab/>
        <w:t>Direction Nationale des Eaux et des Forêts</w:t>
      </w:r>
    </w:p>
    <w:p w14:paraId="65A1F79F"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DNGM :</w:t>
      </w:r>
      <w:r w:rsidRPr="00A02048">
        <w:rPr>
          <w:rFonts w:eastAsia="Calibri" w:cs="Times New Roman"/>
          <w:bCs/>
          <w:sz w:val="20"/>
          <w:szCs w:val="20"/>
          <w:lang w:val="fr-FR"/>
        </w:rPr>
        <w:tab/>
      </w:r>
      <w:r w:rsidRPr="00A02048">
        <w:rPr>
          <w:rFonts w:eastAsia="Calibri" w:cs="Times New Roman"/>
          <w:bCs/>
          <w:sz w:val="20"/>
          <w:szCs w:val="20"/>
          <w:lang w:val="fr-FR"/>
        </w:rPr>
        <w:tab/>
        <w:t>Direction Nationale de la Géologie et des Mines</w:t>
      </w:r>
    </w:p>
    <w:p w14:paraId="11A56E99"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DNH :</w:t>
      </w:r>
      <w:r w:rsidRPr="00A02048">
        <w:rPr>
          <w:rFonts w:eastAsia="Calibri" w:cs="Times New Roman"/>
          <w:bCs/>
          <w:sz w:val="20"/>
          <w:szCs w:val="20"/>
          <w:lang w:val="fr-FR"/>
        </w:rPr>
        <w:tab/>
      </w:r>
      <w:r w:rsidRPr="00A02048">
        <w:rPr>
          <w:rFonts w:eastAsia="Calibri" w:cs="Times New Roman"/>
          <w:bCs/>
          <w:sz w:val="20"/>
          <w:szCs w:val="20"/>
          <w:lang w:val="fr-FR"/>
        </w:rPr>
        <w:tab/>
        <w:t>Direction Nationale de l’Hydraulique</w:t>
      </w:r>
    </w:p>
    <w:p w14:paraId="1290A346"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DNM :</w:t>
      </w:r>
      <w:r w:rsidRPr="00A02048">
        <w:rPr>
          <w:rFonts w:eastAsia="Calibri" w:cs="Times New Roman"/>
          <w:bCs/>
          <w:sz w:val="20"/>
          <w:szCs w:val="20"/>
          <w:lang w:val="fr-FR"/>
        </w:rPr>
        <w:tab/>
      </w:r>
      <w:r w:rsidRPr="00A02048">
        <w:rPr>
          <w:rFonts w:eastAsia="Calibri" w:cs="Times New Roman"/>
          <w:bCs/>
          <w:sz w:val="20"/>
          <w:szCs w:val="20"/>
          <w:lang w:val="fr-FR"/>
        </w:rPr>
        <w:tab/>
        <w:t>Direction Nationale de Météorologie</w:t>
      </w:r>
    </w:p>
    <w:p w14:paraId="51D4770A"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DNPC :</w:t>
      </w:r>
      <w:r w:rsidRPr="00A02048">
        <w:rPr>
          <w:rFonts w:eastAsia="Calibri" w:cs="Times New Roman"/>
          <w:bCs/>
          <w:sz w:val="20"/>
          <w:szCs w:val="20"/>
          <w:lang w:val="fr-FR"/>
        </w:rPr>
        <w:tab/>
      </w:r>
      <w:r w:rsidRPr="00A02048">
        <w:rPr>
          <w:rFonts w:eastAsia="Calibri" w:cs="Times New Roman"/>
          <w:bCs/>
          <w:sz w:val="20"/>
          <w:szCs w:val="20"/>
          <w:lang w:val="fr-FR"/>
        </w:rPr>
        <w:tab/>
        <w:t>Direction Nationale du Patrimoine Culturel</w:t>
      </w:r>
    </w:p>
    <w:p w14:paraId="5EE7A6D4"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DNPIA :</w:t>
      </w:r>
      <w:r w:rsidRPr="00A02048">
        <w:rPr>
          <w:rFonts w:eastAsia="Calibri" w:cs="Times New Roman"/>
          <w:bCs/>
          <w:sz w:val="20"/>
          <w:szCs w:val="20"/>
          <w:lang w:val="fr-FR"/>
        </w:rPr>
        <w:tab/>
      </w:r>
      <w:r w:rsidRPr="00A02048">
        <w:rPr>
          <w:rFonts w:eastAsia="Calibri" w:cs="Times New Roman"/>
          <w:bCs/>
          <w:sz w:val="20"/>
          <w:szCs w:val="20"/>
          <w:lang w:val="fr-FR"/>
        </w:rPr>
        <w:tab/>
        <w:t>Direction Nationale des Productions et des Industries Animales</w:t>
      </w:r>
    </w:p>
    <w:p w14:paraId="77F7F7F1"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DNSI :</w:t>
      </w:r>
      <w:r w:rsidRPr="00A02048">
        <w:rPr>
          <w:rFonts w:eastAsia="Calibri" w:cs="Times New Roman"/>
          <w:bCs/>
          <w:sz w:val="20"/>
          <w:szCs w:val="20"/>
          <w:lang w:val="fr-FR"/>
        </w:rPr>
        <w:tab/>
      </w:r>
      <w:r w:rsidRPr="00A02048">
        <w:rPr>
          <w:rFonts w:eastAsia="Calibri" w:cs="Times New Roman"/>
          <w:bCs/>
          <w:sz w:val="20"/>
          <w:szCs w:val="20"/>
          <w:lang w:val="fr-FR"/>
        </w:rPr>
        <w:tab/>
        <w:t>Direction Nationale du Système d’Information</w:t>
      </w:r>
    </w:p>
    <w:p w14:paraId="7EEFCC16"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DRCTU :</w:t>
      </w:r>
      <w:r w:rsidRPr="00A02048">
        <w:rPr>
          <w:rFonts w:eastAsia="Calibri" w:cs="Times New Roman"/>
          <w:bCs/>
          <w:sz w:val="20"/>
          <w:szCs w:val="20"/>
          <w:lang w:val="fr-FR"/>
        </w:rPr>
        <w:tab/>
      </w:r>
      <w:r w:rsidRPr="00A02048">
        <w:rPr>
          <w:rFonts w:eastAsia="Calibri" w:cs="Times New Roman"/>
          <w:bCs/>
          <w:sz w:val="20"/>
          <w:szCs w:val="20"/>
          <w:lang w:val="fr-FR"/>
        </w:rPr>
        <w:tab/>
        <w:t>Direction de régulation de la circulation et des transports urbains (Mairie du district de Bamako)</w:t>
      </w:r>
    </w:p>
    <w:p w14:paraId="50756BCA"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DSUVA :</w:t>
      </w:r>
      <w:r w:rsidRPr="00A02048">
        <w:rPr>
          <w:rFonts w:eastAsia="Calibri" w:cs="Times New Roman"/>
          <w:bCs/>
          <w:sz w:val="20"/>
          <w:szCs w:val="20"/>
          <w:lang w:val="fr-FR"/>
        </w:rPr>
        <w:tab/>
      </w:r>
      <w:r w:rsidRPr="00A02048">
        <w:rPr>
          <w:rFonts w:eastAsia="Calibri" w:cs="Times New Roman"/>
          <w:bCs/>
          <w:sz w:val="20"/>
          <w:szCs w:val="20"/>
          <w:lang w:val="fr-FR"/>
        </w:rPr>
        <w:tab/>
        <w:t>Direction des Services Urbains de Voirie et d’Assainissement (Mairie du district de Bamako)</w:t>
      </w:r>
    </w:p>
    <w:p w14:paraId="43B511B4"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EDM :</w:t>
      </w:r>
      <w:r w:rsidRPr="00A02048">
        <w:rPr>
          <w:rFonts w:eastAsia="Calibri" w:cs="Times New Roman"/>
          <w:bCs/>
          <w:sz w:val="20"/>
          <w:szCs w:val="20"/>
          <w:lang w:val="fr-FR"/>
        </w:rPr>
        <w:tab/>
      </w:r>
      <w:r w:rsidRPr="00A02048">
        <w:rPr>
          <w:rFonts w:eastAsia="Calibri" w:cs="Times New Roman"/>
          <w:bCs/>
          <w:sz w:val="20"/>
          <w:szCs w:val="20"/>
          <w:lang w:val="fr-FR"/>
        </w:rPr>
        <w:tab/>
        <w:t>Electricité du Mali</w:t>
      </w:r>
      <w:r w:rsidRPr="00A02048">
        <w:rPr>
          <w:rFonts w:eastAsia="Calibri" w:cs="Times New Roman"/>
          <w:bCs/>
          <w:sz w:val="20"/>
          <w:szCs w:val="20"/>
          <w:lang w:val="fr-FR"/>
        </w:rPr>
        <w:tab/>
      </w:r>
    </w:p>
    <w:p w14:paraId="147500C2"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EDSM :</w:t>
      </w:r>
      <w:r w:rsidRPr="00A02048">
        <w:rPr>
          <w:rFonts w:eastAsia="Calibri" w:cs="Times New Roman"/>
          <w:bCs/>
          <w:sz w:val="20"/>
          <w:szCs w:val="20"/>
          <w:lang w:val="fr-FR"/>
        </w:rPr>
        <w:tab/>
      </w:r>
      <w:r w:rsidRPr="00A02048">
        <w:rPr>
          <w:rFonts w:eastAsia="Calibri" w:cs="Times New Roman"/>
          <w:bCs/>
          <w:sz w:val="20"/>
          <w:szCs w:val="20"/>
          <w:lang w:val="fr-FR"/>
        </w:rPr>
        <w:tab/>
        <w:t>Enquête Démographique et de Santé du Mali</w:t>
      </w:r>
      <w:r w:rsidRPr="00A02048">
        <w:rPr>
          <w:rFonts w:eastAsia="Calibri" w:cs="Times New Roman"/>
          <w:bCs/>
          <w:sz w:val="20"/>
          <w:szCs w:val="20"/>
          <w:lang w:val="fr-FR"/>
        </w:rPr>
        <w:tab/>
      </w:r>
      <w:r w:rsidRPr="00A02048">
        <w:rPr>
          <w:rFonts w:eastAsia="Calibri" w:cs="Times New Roman"/>
          <w:bCs/>
          <w:sz w:val="20"/>
          <w:szCs w:val="20"/>
          <w:lang w:val="fr-FR"/>
        </w:rPr>
        <w:tab/>
      </w:r>
    </w:p>
    <w:p w14:paraId="67AAC833"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 xml:space="preserve">EES : </w:t>
      </w:r>
      <w:r w:rsidRPr="00A02048">
        <w:rPr>
          <w:rFonts w:eastAsia="Calibri" w:cs="Times New Roman"/>
          <w:bCs/>
          <w:sz w:val="20"/>
          <w:szCs w:val="20"/>
          <w:lang w:val="fr-FR"/>
        </w:rPr>
        <w:tab/>
      </w:r>
      <w:r w:rsidRPr="00A02048">
        <w:rPr>
          <w:rFonts w:eastAsia="Calibri" w:cs="Times New Roman"/>
          <w:bCs/>
          <w:sz w:val="20"/>
          <w:szCs w:val="20"/>
          <w:lang w:val="fr-FR"/>
        </w:rPr>
        <w:tab/>
        <w:t>Evaluation Environnementale Stratégique</w:t>
      </w:r>
    </w:p>
    <w:p w14:paraId="1DCF2F6F"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EIES :</w:t>
      </w:r>
      <w:r w:rsidRPr="00A02048">
        <w:rPr>
          <w:rFonts w:eastAsia="Calibri" w:cs="Times New Roman"/>
          <w:bCs/>
          <w:sz w:val="20"/>
          <w:szCs w:val="20"/>
          <w:lang w:val="fr-FR"/>
        </w:rPr>
        <w:tab/>
      </w:r>
      <w:r w:rsidRPr="00A02048">
        <w:rPr>
          <w:rFonts w:eastAsia="Calibri" w:cs="Times New Roman"/>
          <w:bCs/>
          <w:sz w:val="20"/>
          <w:szCs w:val="20"/>
          <w:lang w:val="fr-FR"/>
        </w:rPr>
        <w:tab/>
        <w:t xml:space="preserve">Etude d’Impact Environnemental et Social </w:t>
      </w:r>
    </w:p>
    <w:p w14:paraId="305B862C"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ELIM :</w:t>
      </w:r>
      <w:r w:rsidRPr="00A02048">
        <w:rPr>
          <w:rFonts w:eastAsia="Calibri" w:cs="Times New Roman"/>
          <w:bCs/>
          <w:sz w:val="20"/>
          <w:szCs w:val="20"/>
          <w:lang w:val="fr-FR"/>
        </w:rPr>
        <w:tab/>
      </w:r>
      <w:r w:rsidRPr="00A02048">
        <w:rPr>
          <w:rFonts w:eastAsia="Calibri" w:cs="Times New Roman"/>
          <w:bCs/>
          <w:sz w:val="20"/>
          <w:szCs w:val="20"/>
          <w:lang w:val="fr-FR"/>
        </w:rPr>
        <w:tab/>
        <w:t>Enquêtes Légères Intégrées auprès des Ménages</w:t>
      </w:r>
    </w:p>
    <w:p w14:paraId="42371F73" w14:textId="77777777" w:rsidR="00802BA9" w:rsidRPr="00A02048" w:rsidRDefault="00802BA9" w:rsidP="00802BA9">
      <w:pPr>
        <w:spacing w:after="0" w:line="240" w:lineRule="auto"/>
        <w:rPr>
          <w:rFonts w:eastAsia="Calibri" w:cs="Times New Roman"/>
          <w:bCs/>
          <w:sz w:val="20"/>
          <w:szCs w:val="20"/>
          <w:lang w:val="fr-FR"/>
        </w:rPr>
      </w:pPr>
      <w:r w:rsidRPr="00A02048">
        <w:rPr>
          <w:rFonts w:eastAsia="Calibri" w:cs="Times New Roman"/>
          <w:bCs/>
          <w:sz w:val="20"/>
          <w:szCs w:val="20"/>
          <w:lang w:val="fr-FR"/>
        </w:rPr>
        <w:t>EMOP</w:t>
      </w:r>
      <w:r w:rsidRPr="00A02048">
        <w:rPr>
          <w:rFonts w:eastAsia="Calibri" w:cs="Times New Roman"/>
          <w:bCs/>
          <w:sz w:val="20"/>
          <w:szCs w:val="20"/>
          <w:lang w:val="fr-FR"/>
        </w:rPr>
        <w:tab/>
      </w:r>
      <w:r w:rsidRPr="00A02048">
        <w:rPr>
          <w:rFonts w:eastAsia="Calibri" w:cs="Times New Roman"/>
          <w:bCs/>
          <w:sz w:val="20"/>
          <w:szCs w:val="20"/>
          <w:lang w:val="fr-FR"/>
        </w:rPr>
        <w:tab/>
        <w:t>Enquête Modulaire Permanente</w:t>
      </w:r>
    </w:p>
    <w:p w14:paraId="57BE53F8"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ENP :</w:t>
      </w:r>
      <w:r w:rsidRPr="00A02048">
        <w:rPr>
          <w:rFonts w:eastAsia="Calibri" w:cs="Times New Roman"/>
          <w:bCs/>
          <w:sz w:val="20"/>
          <w:szCs w:val="20"/>
          <w:lang w:val="fr-FR"/>
        </w:rPr>
        <w:tab/>
      </w:r>
      <w:r w:rsidRPr="00A02048">
        <w:rPr>
          <w:rFonts w:eastAsia="Calibri" w:cs="Times New Roman"/>
          <w:bCs/>
          <w:sz w:val="20"/>
          <w:szCs w:val="20"/>
          <w:lang w:val="fr-FR"/>
        </w:rPr>
        <w:tab/>
        <w:t>Etude Nationale Prospective</w:t>
      </w:r>
    </w:p>
    <w:p w14:paraId="3BA83F17" w14:textId="77777777" w:rsidR="00E2553C" w:rsidRPr="00A02048" w:rsidRDefault="00E2553C"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ENSAN :</w:t>
      </w:r>
      <w:r w:rsidRPr="00A02048">
        <w:rPr>
          <w:rFonts w:eastAsia="Calibri" w:cs="Times New Roman"/>
          <w:bCs/>
          <w:sz w:val="20"/>
          <w:szCs w:val="20"/>
          <w:lang w:val="fr-FR"/>
        </w:rPr>
        <w:tab/>
      </w:r>
      <w:r w:rsidRPr="00A02048">
        <w:rPr>
          <w:rFonts w:eastAsia="Calibri" w:cs="Times New Roman"/>
          <w:bCs/>
          <w:sz w:val="20"/>
          <w:szCs w:val="20"/>
          <w:lang w:val="fr-FR"/>
        </w:rPr>
        <w:tab/>
        <w:t>Enquête Nationale sur la Sécurité Alimentaire et Nutritionnelle</w:t>
      </w:r>
    </w:p>
    <w:p w14:paraId="408921B5"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EnR :</w:t>
      </w:r>
      <w:r w:rsidRPr="00A02048">
        <w:rPr>
          <w:rFonts w:eastAsia="Calibri" w:cs="Times New Roman"/>
          <w:bCs/>
          <w:sz w:val="20"/>
          <w:szCs w:val="20"/>
          <w:lang w:val="fr-FR"/>
        </w:rPr>
        <w:tab/>
      </w:r>
      <w:r w:rsidRPr="00A02048">
        <w:rPr>
          <w:rFonts w:eastAsia="Calibri" w:cs="Times New Roman"/>
          <w:bCs/>
          <w:sz w:val="20"/>
          <w:szCs w:val="20"/>
          <w:lang w:val="fr-FR"/>
        </w:rPr>
        <w:tab/>
        <w:t>Energies Renouvelables</w:t>
      </w:r>
    </w:p>
    <w:p w14:paraId="67DEFA1D"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EPA :</w:t>
      </w:r>
      <w:r w:rsidRPr="00A02048">
        <w:rPr>
          <w:rFonts w:eastAsia="Calibri" w:cs="Times New Roman"/>
          <w:bCs/>
          <w:sz w:val="20"/>
          <w:szCs w:val="20"/>
          <w:lang w:val="fr-FR"/>
        </w:rPr>
        <w:tab/>
      </w:r>
      <w:r w:rsidRPr="00A02048">
        <w:rPr>
          <w:rFonts w:eastAsia="Calibri" w:cs="Times New Roman"/>
          <w:bCs/>
          <w:sz w:val="20"/>
          <w:szCs w:val="20"/>
          <w:lang w:val="fr-FR"/>
        </w:rPr>
        <w:tab/>
        <w:t>Etablissement Public à caractère Administratif</w:t>
      </w:r>
    </w:p>
    <w:p w14:paraId="702E10CF"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EPI :</w:t>
      </w:r>
      <w:r w:rsidRPr="00A02048">
        <w:rPr>
          <w:rFonts w:eastAsia="Calibri" w:cs="Times New Roman"/>
          <w:bCs/>
          <w:sz w:val="20"/>
          <w:szCs w:val="20"/>
          <w:lang w:val="fr-FR"/>
        </w:rPr>
        <w:tab/>
      </w:r>
      <w:r w:rsidRPr="00A02048">
        <w:rPr>
          <w:rFonts w:eastAsia="Calibri" w:cs="Times New Roman"/>
          <w:bCs/>
          <w:sz w:val="20"/>
          <w:szCs w:val="20"/>
          <w:lang w:val="fr-FR"/>
        </w:rPr>
        <w:tab/>
        <w:t>Environmental Performance Index ou index de la performance environnementale</w:t>
      </w:r>
    </w:p>
    <w:p w14:paraId="3247D314"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ERSAP :</w:t>
      </w:r>
      <w:r w:rsidRPr="00A02048">
        <w:rPr>
          <w:rFonts w:eastAsia="Calibri" w:cs="Times New Roman"/>
          <w:bCs/>
          <w:sz w:val="20"/>
          <w:szCs w:val="20"/>
          <w:lang w:val="fr-FR"/>
        </w:rPr>
        <w:tab/>
      </w:r>
      <w:r w:rsidRPr="00A02048">
        <w:rPr>
          <w:rFonts w:eastAsia="Calibri" w:cs="Times New Roman"/>
          <w:bCs/>
          <w:sz w:val="20"/>
          <w:szCs w:val="20"/>
          <w:lang w:val="fr-FR"/>
        </w:rPr>
        <w:tab/>
        <w:t>Elargissement du Réseau du Système des Aires Protégées</w:t>
      </w:r>
    </w:p>
    <w:p w14:paraId="0879861A"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FAO :</w:t>
      </w:r>
      <w:r w:rsidRPr="00A02048">
        <w:rPr>
          <w:rFonts w:eastAsia="Calibri" w:cs="Times New Roman"/>
          <w:bCs/>
          <w:sz w:val="20"/>
          <w:szCs w:val="20"/>
          <w:lang w:val="fr-FR"/>
        </w:rPr>
        <w:tab/>
      </w:r>
      <w:r w:rsidRPr="00A02048">
        <w:rPr>
          <w:rFonts w:eastAsia="Calibri" w:cs="Times New Roman"/>
          <w:bCs/>
          <w:sz w:val="20"/>
          <w:szCs w:val="20"/>
          <w:lang w:val="fr-FR"/>
        </w:rPr>
        <w:tab/>
        <w:t>Food and Agriculture Organisation</w:t>
      </w:r>
    </w:p>
    <w:p w14:paraId="391A5323"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FED :</w:t>
      </w:r>
      <w:r w:rsidRPr="00A02048">
        <w:rPr>
          <w:rFonts w:eastAsia="Calibri" w:cs="Times New Roman"/>
          <w:bCs/>
          <w:sz w:val="20"/>
          <w:szCs w:val="20"/>
          <w:lang w:val="fr-FR"/>
        </w:rPr>
        <w:tab/>
      </w:r>
      <w:r w:rsidRPr="00A02048">
        <w:rPr>
          <w:rFonts w:eastAsia="Calibri" w:cs="Times New Roman"/>
          <w:bCs/>
          <w:sz w:val="20"/>
          <w:szCs w:val="20"/>
          <w:lang w:val="fr-FR"/>
        </w:rPr>
        <w:tab/>
        <w:t>Fonds Européen de Développement</w:t>
      </w:r>
    </w:p>
    <w:p w14:paraId="41F42854"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 xml:space="preserve">FEM : </w:t>
      </w:r>
      <w:r w:rsidRPr="00A02048">
        <w:rPr>
          <w:rFonts w:eastAsia="Calibri" w:cs="Times New Roman"/>
          <w:bCs/>
          <w:sz w:val="20"/>
          <w:szCs w:val="20"/>
          <w:lang w:val="fr-FR"/>
        </w:rPr>
        <w:tab/>
      </w:r>
      <w:r w:rsidRPr="00A02048">
        <w:rPr>
          <w:rFonts w:eastAsia="Calibri" w:cs="Times New Roman"/>
          <w:bCs/>
          <w:sz w:val="20"/>
          <w:szCs w:val="20"/>
          <w:lang w:val="fr-FR"/>
        </w:rPr>
        <w:tab/>
        <w:t>Fonds pour l’Environnement Mondial</w:t>
      </w:r>
    </w:p>
    <w:p w14:paraId="4EBBE459"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FIDA :</w:t>
      </w:r>
      <w:r w:rsidRPr="00A02048">
        <w:rPr>
          <w:rFonts w:eastAsia="Calibri" w:cs="Times New Roman"/>
          <w:bCs/>
          <w:sz w:val="20"/>
          <w:szCs w:val="20"/>
          <w:lang w:val="fr-FR"/>
        </w:rPr>
        <w:tab/>
      </w:r>
      <w:r w:rsidRPr="00A02048">
        <w:rPr>
          <w:rFonts w:eastAsia="Calibri" w:cs="Times New Roman"/>
          <w:bCs/>
          <w:sz w:val="20"/>
          <w:szCs w:val="20"/>
          <w:lang w:val="fr-FR"/>
        </w:rPr>
        <w:tab/>
        <w:t>Fonds International pour le Développement de l’Agriculture</w:t>
      </w:r>
    </w:p>
    <w:p w14:paraId="19340F43"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FMI :</w:t>
      </w:r>
      <w:r w:rsidRPr="00A02048">
        <w:rPr>
          <w:rFonts w:eastAsia="Calibri" w:cs="Times New Roman"/>
          <w:bCs/>
          <w:sz w:val="20"/>
          <w:szCs w:val="20"/>
          <w:lang w:val="fr-FR"/>
        </w:rPr>
        <w:tab/>
      </w:r>
      <w:r w:rsidRPr="00A02048">
        <w:rPr>
          <w:rFonts w:eastAsia="Calibri" w:cs="Times New Roman"/>
          <w:bCs/>
          <w:sz w:val="20"/>
          <w:szCs w:val="20"/>
          <w:lang w:val="fr-FR"/>
        </w:rPr>
        <w:tab/>
        <w:t>Fonds Monétaire Internationale</w:t>
      </w:r>
    </w:p>
    <w:p w14:paraId="7D3A4A83" w14:textId="77777777" w:rsidR="00802BA9" w:rsidRPr="00A02048" w:rsidRDefault="00802BA9" w:rsidP="00802BA9">
      <w:pPr>
        <w:spacing w:after="0" w:line="240" w:lineRule="auto"/>
        <w:rPr>
          <w:rFonts w:eastAsia="Calibri" w:cs="Times New Roman"/>
          <w:bCs/>
          <w:sz w:val="20"/>
          <w:szCs w:val="20"/>
          <w:lang w:val="fr-FR"/>
        </w:rPr>
      </w:pPr>
      <w:r w:rsidRPr="00A02048">
        <w:rPr>
          <w:rFonts w:eastAsia="Calibri" w:cs="Times New Roman"/>
          <w:bCs/>
          <w:sz w:val="20"/>
          <w:szCs w:val="20"/>
          <w:lang w:val="fr-FR"/>
        </w:rPr>
        <w:t>FPMA :</w:t>
      </w:r>
      <w:r w:rsidRPr="00A02048">
        <w:rPr>
          <w:rFonts w:eastAsia="Calibri" w:cs="Times New Roman"/>
          <w:bCs/>
          <w:sz w:val="20"/>
          <w:szCs w:val="20"/>
          <w:lang w:val="fr-FR"/>
        </w:rPr>
        <w:tab/>
      </w:r>
      <w:r w:rsidRPr="00A02048">
        <w:rPr>
          <w:rFonts w:eastAsia="Calibri" w:cs="Times New Roman"/>
          <w:bCs/>
          <w:sz w:val="20"/>
          <w:szCs w:val="20"/>
          <w:lang w:val="fr-FR"/>
        </w:rPr>
        <w:tab/>
        <w:t>Fonds pour les Pays les Moins Avancés</w:t>
      </w:r>
    </w:p>
    <w:p w14:paraId="4049873D"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FSCC :</w:t>
      </w:r>
      <w:r w:rsidRPr="00A02048">
        <w:rPr>
          <w:rFonts w:eastAsia="Calibri" w:cs="Times New Roman"/>
          <w:bCs/>
          <w:sz w:val="20"/>
          <w:szCs w:val="20"/>
          <w:lang w:val="fr-FR"/>
        </w:rPr>
        <w:tab/>
      </w:r>
      <w:r w:rsidRPr="00A02048">
        <w:rPr>
          <w:rFonts w:eastAsia="Calibri" w:cs="Times New Roman"/>
          <w:bCs/>
          <w:sz w:val="20"/>
          <w:szCs w:val="20"/>
          <w:lang w:val="fr-FR"/>
        </w:rPr>
        <w:tab/>
        <w:t>Fonds Spécial pour les Changements Climatiques</w:t>
      </w:r>
    </w:p>
    <w:p w14:paraId="5FD60E8B" w14:textId="77777777" w:rsidR="008D7226" w:rsidRPr="00A02048" w:rsidRDefault="008D7226" w:rsidP="008D7226">
      <w:pPr>
        <w:spacing w:after="0" w:line="240" w:lineRule="auto"/>
        <w:ind w:left="1416" w:hanging="1416"/>
        <w:contextualSpacing/>
        <w:rPr>
          <w:rFonts w:eastAsia="Calibri" w:cs="Times New Roman"/>
          <w:bCs/>
          <w:sz w:val="20"/>
          <w:szCs w:val="20"/>
          <w:lang w:val="fr-FR"/>
        </w:rPr>
      </w:pPr>
      <w:r w:rsidRPr="00A02048">
        <w:rPr>
          <w:rFonts w:eastAsia="Calibri" w:cs="Times New Roman"/>
          <w:bCs/>
          <w:sz w:val="20"/>
          <w:szCs w:val="20"/>
          <w:lang w:val="fr-FR"/>
        </w:rPr>
        <w:t>GCRAI :</w:t>
      </w:r>
      <w:r w:rsidRPr="00A02048">
        <w:rPr>
          <w:rFonts w:eastAsia="Calibri" w:cs="Times New Roman"/>
          <w:bCs/>
          <w:sz w:val="20"/>
          <w:szCs w:val="20"/>
          <w:lang w:val="fr-FR"/>
        </w:rPr>
        <w:tab/>
        <w:t>Groupe consultatif pour la recherche agricole internationale (GCRAI ou CGIAR, de l'anglais Consultative Group on International Agricultural Research)</w:t>
      </w:r>
    </w:p>
    <w:p w14:paraId="31F8CD1A"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GdM :</w:t>
      </w:r>
      <w:r w:rsidRPr="00A02048">
        <w:rPr>
          <w:rFonts w:eastAsia="Calibri" w:cs="Times New Roman"/>
          <w:bCs/>
          <w:sz w:val="20"/>
          <w:szCs w:val="20"/>
          <w:lang w:val="fr-FR"/>
        </w:rPr>
        <w:tab/>
      </w:r>
      <w:r w:rsidRPr="00A02048">
        <w:rPr>
          <w:rFonts w:eastAsia="Calibri" w:cs="Times New Roman"/>
          <w:bCs/>
          <w:sz w:val="20"/>
          <w:szCs w:val="20"/>
          <w:lang w:val="fr-FR"/>
        </w:rPr>
        <w:tab/>
        <w:t>Gouvernement du Mali</w:t>
      </w:r>
    </w:p>
    <w:p w14:paraId="30E139C9"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GEDEFOR :</w:t>
      </w:r>
      <w:r w:rsidRPr="00A02048">
        <w:rPr>
          <w:rFonts w:eastAsia="Calibri" w:cs="Times New Roman"/>
          <w:bCs/>
          <w:sz w:val="20"/>
          <w:szCs w:val="20"/>
          <w:lang w:val="fr-FR"/>
        </w:rPr>
        <w:tab/>
        <w:t>Gestion Décentralisée des Forêts</w:t>
      </w:r>
    </w:p>
    <w:p w14:paraId="4B72979B"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GES :</w:t>
      </w:r>
      <w:r w:rsidRPr="00A02048">
        <w:rPr>
          <w:rFonts w:eastAsia="Calibri" w:cs="Times New Roman"/>
          <w:bCs/>
          <w:sz w:val="20"/>
          <w:szCs w:val="20"/>
          <w:lang w:val="fr-FR"/>
        </w:rPr>
        <w:tab/>
      </w:r>
      <w:r w:rsidRPr="00A02048">
        <w:rPr>
          <w:rFonts w:eastAsia="Calibri" w:cs="Times New Roman"/>
          <w:bCs/>
          <w:sz w:val="20"/>
          <w:szCs w:val="20"/>
          <w:lang w:val="fr-FR"/>
        </w:rPr>
        <w:tab/>
        <w:t>Gaz à Effet de Serre</w:t>
      </w:r>
    </w:p>
    <w:p w14:paraId="062EE902"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 xml:space="preserve">GIC : </w:t>
      </w:r>
      <w:r w:rsidRPr="00A02048">
        <w:rPr>
          <w:rFonts w:eastAsia="Calibri" w:cs="Times New Roman"/>
          <w:bCs/>
          <w:sz w:val="20"/>
          <w:szCs w:val="20"/>
          <w:lang w:val="fr-FR"/>
        </w:rPr>
        <w:tab/>
      </w:r>
      <w:r w:rsidRPr="00A02048">
        <w:rPr>
          <w:rFonts w:eastAsia="Calibri" w:cs="Times New Roman"/>
          <w:bCs/>
          <w:sz w:val="20"/>
          <w:szCs w:val="20"/>
          <w:lang w:val="fr-FR"/>
        </w:rPr>
        <w:tab/>
        <w:t>Groupe d’Ingénieurs Consultants</w:t>
      </w:r>
    </w:p>
    <w:p w14:paraId="50ADA115"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GIE :</w:t>
      </w:r>
      <w:r w:rsidRPr="00A02048">
        <w:rPr>
          <w:rFonts w:eastAsia="Calibri" w:cs="Times New Roman"/>
          <w:bCs/>
          <w:sz w:val="20"/>
          <w:szCs w:val="20"/>
          <w:lang w:val="fr-FR"/>
        </w:rPr>
        <w:tab/>
      </w:r>
      <w:r w:rsidRPr="00A02048">
        <w:rPr>
          <w:rFonts w:eastAsia="Calibri" w:cs="Times New Roman"/>
          <w:bCs/>
          <w:sz w:val="20"/>
          <w:szCs w:val="20"/>
          <w:lang w:val="fr-FR"/>
        </w:rPr>
        <w:tab/>
        <w:t>Groupe d’intérêt Economique</w:t>
      </w:r>
    </w:p>
    <w:p w14:paraId="300974AD" w14:textId="77777777" w:rsidR="00802BA9" w:rsidRPr="00A02048" w:rsidRDefault="00802BA9" w:rsidP="00802BA9">
      <w:pPr>
        <w:pStyle w:val="Pardeliste"/>
        <w:spacing w:after="0" w:line="240" w:lineRule="auto"/>
        <w:ind w:left="0"/>
        <w:rPr>
          <w:rFonts w:eastAsia="Calibri" w:cs="Times New Roman"/>
          <w:bCs/>
          <w:sz w:val="20"/>
          <w:szCs w:val="20"/>
          <w:lang w:val="de-DE"/>
        </w:rPr>
      </w:pPr>
      <w:r w:rsidRPr="00A02048">
        <w:rPr>
          <w:rFonts w:eastAsia="Calibri" w:cs="Times New Roman"/>
          <w:bCs/>
          <w:sz w:val="20"/>
          <w:szCs w:val="20"/>
          <w:lang w:val="de-DE"/>
        </w:rPr>
        <w:t>GIZ :</w:t>
      </w:r>
      <w:r w:rsidRPr="00A02048">
        <w:rPr>
          <w:rFonts w:eastAsia="Calibri" w:cs="Times New Roman"/>
          <w:bCs/>
          <w:sz w:val="20"/>
          <w:szCs w:val="20"/>
          <w:lang w:val="de-DE"/>
        </w:rPr>
        <w:tab/>
      </w:r>
      <w:r w:rsidRPr="00A02048">
        <w:rPr>
          <w:rFonts w:eastAsia="Calibri" w:cs="Times New Roman"/>
          <w:bCs/>
          <w:sz w:val="20"/>
          <w:szCs w:val="20"/>
          <w:lang w:val="de-DE"/>
        </w:rPr>
        <w:tab/>
        <w:t>Coopération Allemande (Gesellschaft fuer Internationale Zusammenarbeit),</w:t>
      </w:r>
    </w:p>
    <w:p w14:paraId="75CDE6B6"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GIRE :</w:t>
      </w:r>
      <w:r w:rsidRPr="00A02048">
        <w:rPr>
          <w:rFonts w:eastAsia="Calibri" w:cs="Times New Roman"/>
          <w:bCs/>
          <w:sz w:val="20"/>
          <w:szCs w:val="20"/>
          <w:lang w:val="fr-FR"/>
        </w:rPr>
        <w:tab/>
      </w:r>
      <w:r w:rsidRPr="00A02048">
        <w:rPr>
          <w:rFonts w:eastAsia="Calibri" w:cs="Times New Roman"/>
          <w:bCs/>
          <w:sz w:val="20"/>
          <w:szCs w:val="20"/>
          <w:lang w:val="fr-FR"/>
        </w:rPr>
        <w:tab/>
        <w:t>G</w:t>
      </w:r>
      <w:r w:rsidRPr="00A02048">
        <w:rPr>
          <w:rFonts w:cs="Arial"/>
          <w:sz w:val="20"/>
          <w:szCs w:val="20"/>
          <w:lang w:val="fr-FR"/>
        </w:rPr>
        <w:t>estion Intégrée des Ressources en Eau</w:t>
      </w:r>
    </w:p>
    <w:p w14:paraId="7718DA76" w14:textId="77777777" w:rsidR="00802BA9" w:rsidRPr="00A02048" w:rsidRDefault="00802BA9" w:rsidP="00802BA9">
      <w:pPr>
        <w:spacing w:after="0" w:line="240" w:lineRule="auto"/>
        <w:rPr>
          <w:rFonts w:eastAsia="Calibri" w:cs="Times New Roman"/>
          <w:bCs/>
          <w:sz w:val="20"/>
          <w:szCs w:val="20"/>
          <w:lang w:val="fr-FR"/>
        </w:rPr>
      </w:pPr>
      <w:r w:rsidRPr="00A02048">
        <w:rPr>
          <w:rFonts w:eastAsia="Calibri" w:cs="Times New Roman"/>
          <w:bCs/>
          <w:sz w:val="20"/>
          <w:szCs w:val="20"/>
          <w:lang w:val="fr-FR"/>
        </w:rPr>
        <w:t>GRN :</w:t>
      </w:r>
      <w:r w:rsidRPr="00A02048">
        <w:rPr>
          <w:rFonts w:eastAsia="Calibri" w:cs="Times New Roman"/>
          <w:bCs/>
          <w:sz w:val="20"/>
          <w:szCs w:val="20"/>
          <w:lang w:val="fr-FR"/>
        </w:rPr>
        <w:tab/>
      </w:r>
      <w:r w:rsidRPr="00A02048">
        <w:rPr>
          <w:rFonts w:eastAsia="Calibri" w:cs="Times New Roman"/>
          <w:bCs/>
          <w:sz w:val="20"/>
          <w:szCs w:val="20"/>
          <w:lang w:val="fr-FR"/>
        </w:rPr>
        <w:tab/>
        <w:t>Gestion des Ressources Naturelles</w:t>
      </w:r>
    </w:p>
    <w:p w14:paraId="0F81D4EF" w14:textId="77777777" w:rsidR="00802BA9" w:rsidRPr="00A02048" w:rsidRDefault="00802BA9" w:rsidP="00802BA9">
      <w:pPr>
        <w:spacing w:after="0" w:line="240" w:lineRule="auto"/>
        <w:rPr>
          <w:rFonts w:eastAsia="Calibri" w:cs="Times New Roman"/>
          <w:bCs/>
          <w:sz w:val="20"/>
          <w:szCs w:val="20"/>
          <w:lang w:val="fr-FR"/>
        </w:rPr>
      </w:pPr>
      <w:r w:rsidRPr="00A02048">
        <w:rPr>
          <w:rFonts w:eastAsia="Calibri" w:cs="Times New Roman"/>
          <w:bCs/>
          <w:sz w:val="20"/>
          <w:szCs w:val="20"/>
          <w:lang w:val="fr-FR"/>
        </w:rPr>
        <w:t>HAP :</w:t>
      </w:r>
      <w:r w:rsidRPr="00A02048">
        <w:rPr>
          <w:rFonts w:eastAsia="Calibri" w:cs="Times New Roman"/>
          <w:bCs/>
          <w:sz w:val="20"/>
          <w:szCs w:val="20"/>
          <w:lang w:val="fr-FR"/>
        </w:rPr>
        <w:tab/>
      </w:r>
      <w:r w:rsidRPr="00A02048">
        <w:rPr>
          <w:rFonts w:eastAsia="Calibri" w:cs="Times New Roman"/>
          <w:bCs/>
          <w:sz w:val="20"/>
          <w:szCs w:val="20"/>
          <w:lang w:val="fr-FR"/>
        </w:rPr>
        <w:tab/>
        <w:t>Hydrocarbure Aromatique Polycyclique</w:t>
      </w:r>
    </w:p>
    <w:p w14:paraId="02D2963E" w14:textId="77777777" w:rsidR="00802BA9" w:rsidRPr="00A02048" w:rsidRDefault="00802BA9" w:rsidP="00802BA9">
      <w:pPr>
        <w:spacing w:after="0" w:line="240" w:lineRule="auto"/>
        <w:rPr>
          <w:rFonts w:eastAsia="Calibri" w:cs="Times New Roman"/>
          <w:bCs/>
          <w:sz w:val="20"/>
          <w:szCs w:val="20"/>
          <w:lang w:val="fr-FR"/>
        </w:rPr>
      </w:pPr>
      <w:r w:rsidRPr="00A02048">
        <w:rPr>
          <w:rFonts w:eastAsia="Calibri" w:cs="Times New Roman"/>
          <w:bCs/>
          <w:sz w:val="20"/>
          <w:szCs w:val="20"/>
          <w:lang w:val="fr-FR"/>
        </w:rPr>
        <w:t>HIMO :</w:t>
      </w:r>
      <w:r w:rsidRPr="00A02048">
        <w:rPr>
          <w:rFonts w:eastAsia="Calibri" w:cs="Times New Roman"/>
          <w:bCs/>
          <w:sz w:val="20"/>
          <w:szCs w:val="20"/>
          <w:lang w:val="fr-FR"/>
        </w:rPr>
        <w:tab/>
      </w:r>
      <w:r w:rsidRPr="00A02048">
        <w:rPr>
          <w:rFonts w:eastAsia="Calibri" w:cs="Times New Roman"/>
          <w:bCs/>
          <w:sz w:val="20"/>
          <w:szCs w:val="20"/>
          <w:lang w:val="fr-FR"/>
        </w:rPr>
        <w:tab/>
        <w:t xml:space="preserve">Haute Intensité de Main d’Œuvre </w:t>
      </w:r>
    </w:p>
    <w:p w14:paraId="63DA6B97" w14:textId="77777777" w:rsidR="00802BA9" w:rsidRPr="00A02048" w:rsidRDefault="00802BA9" w:rsidP="00802BA9">
      <w:pPr>
        <w:pStyle w:val="Pardeliste"/>
        <w:spacing w:after="0" w:line="240" w:lineRule="auto"/>
        <w:ind w:left="0"/>
        <w:rPr>
          <w:rFonts w:eastAsia="Calibri" w:cs="Times New Roman"/>
          <w:bCs/>
          <w:sz w:val="20"/>
          <w:szCs w:val="20"/>
          <w:lang w:val="en-US"/>
        </w:rPr>
      </w:pPr>
      <w:r w:rsidRPr="00A02048">
        <w:rPr>
          <w:rFonts w:eastAsia="Calibri" w:cs="Times New Roman"/>
          <w:bCs/>
          <w:sz w:val="20"/>
          <w:szCs w:val="20"/>
          <w:lang w:val="en-US"/>
        </w:rPr>
        <w:t>ICRISAT :</w:t>
      </w:r>
      <w:r w:rsidRPr="00A02048">
        <w:rPr>
          <w:rFonts w:eastAsia="Calibri" w:cs="Times New Roman"/>
          <w:bCs/>
          <w:sz w:val="20"/>
          <w:szCs w:val="20"/>
          <w:lang w:val="en-US"/>
        </w:rPr>
        <w:tab/>
        <w:t>International Crops Research Institute for the Semi-Arid Tropics</w:t>
      </w:r>
    </w:p>
    <w:p w14:paraId="4D5E59FF"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IDH :</w:t>
      </w:r>
      <w:r w:rsidRPr="00A02048">
        <w:rPr>
          <w:rFonts w:eastAsia="Calibri" w:cs="Times New Roman"/>
          <w:bCs/>
          <w:sz w:val="20"/>
          <w:szCs w:val="20"/>
          <w:lang w:val="fr-FR"/>
        </w:rPr>
        <w:tab/>
      </w:r>
      <w:r w:rsidRPr="00A02048">
        <w:rPr>
          <w:rFonts w:eastAsia="Calibri" w:cs="Times New Roman"/>
          <w:bCs/>
          <w:sz w:val="20"/>
          <w:szCs w:val="20"/>
          <w:lang w:val="fr-FR"/>
        </w:rPr>
        <w:tab/>
        <w:t>Index du Développement Humain</w:t>
      </w:r>
    </w:p>
    <w:p w14:paraId="37AF69D3" w14:textId="77777777" w:rsidR="00802BA9" w:rsidRPr="00A02048" w:rsidRDefault="00802BA9" w:rsidP="00802BA9">
      <w:pPr>
        <w:pStyle w:val="Pardeliste"/>
        <w:spacing w:after="0" w:line="240" w:lineRule="auto"/>
        <w:ind w:left="0" w:right="-472"/>
        <w:rPr>
          <w:rFonts w:eastAsia="Calibri" w:cs="Times New Roman"/>
          <w:bCs/>
          <w:sz w:val="20"/>
          <w:szCs w:val="20"/>
          <w:lang w:val="fr-FR"/>
        </w:rPr>
      </w:pPr>
      <w:r w:rsidRPr="00A02048">
        <w:rPr>
          <w:rFonts w:eastAsia="Calibri" w:cs="Times New Roman"/>
          <w:bCs/>
          <w:sz w:val="20"/>
          <w:szCs w:val="20"/>
          <w:lang w:val="fr-FR"/>
        </w:rPr>
        <w:t>IDM :</w:t>
      </w:r>
      <w:r w:rsidRPr="00A02048">
        <w:rPr>
          <w:rFonts w:eastAsia="Calibri" w:cs="Times New Roman"/>
          <w:bCs/>
          <w:sz w:val="20"/>
          <w:szCs w:val="20"/>
          <w:lang w:val="fr-FR"/>
        </w:rPr>
        <w:tab/>
      </w:r>
      <w:r w:rsidRPr="00A02048">
        <w:rPr>
          <w:rFonts w:eastAsia="Calibri" w:cs="Times New Roman"/>
          <w:bCs/>
          <w:sz w:val="20"/>
          <w:szCs w:val="20"/>
          <w:lang w:val="fr-FR"/>
        </w:rPr>
        <w:tab/>
        <w:t>Indicateur de Développement dans le Monde (base de données de la Banque Mondiale)</w:t>
      </w:r>
      <w:r w:rsidRPr="00A02048">
        <w:rPr>
          <w:rFonts w:eastAsia="Calibri" w:cs="Times New Roman"/>
          <w:bCs/>
          <w:sz w:val="20"/>
          <w:szCs w:val="20"/>
          <w:lang w:val="fr-FR"/>
        </w:rPr>
        <w:tab/>
      </w:r>
      <w:r w:rsidRPr="00A02048">
        <w:rPr>
          <w:rFonts w:eastAsia="Calibri" w:cs="Times New Roman"/>
          <w:bCs/>
          <w:sz w:val="20"/>
          <w:szCs w:val="20"/>
          <w:lang w:val="fr-FR"/>
        </w:rPr>
        <w:tab/>
      </w:r>
    </w:p>
    <w:p w14:paraId="5F7B837D"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IEC :</w:t>
      </w:r>
      <w:r w:rsidRPr="00A02048">
        <w:rPr>
          <w:rFonts w:eastAsia="Calibri" w:cs="Times New Roman"/>
          <w:bCs/>
          <w:sz w:val="20"/>
          <w:szCs w:val="20"/>
          <w:lang w:val="fr-FR"/>
        </w:rPr>
        <w:tab/>
      </w:r>
      <w:r w:rsidRPr="00A02048">
        <w:rPr>
          <w:rFonts w:eastAsia="Calibri" w:cs="Times New Roman"/>
          <w:bCs/>
          <w:sz w:val="20"/>
          <w:szCs w:val="20"/>
          <w:lang w:val="fr-FR"/>
        </w:rPr>
        <w:tab/>
        <w:t>Information-Education-Communication</w:t>
      </w:r>
    </w:p>
    <w:p w14:paraId="20704953"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IED :</w:t>
      </w:r>
      <w:r w:rsidRPr="00A02048">
        <w:rPr>
          <w:rFonts w:eastAsia="Calibri" w:cs="Times New Roman"/>
          <w:bCs/>
          <w:sz w:val="20"/>
          <w:szCs w:val="20"/>
          <w:lang w:val="fr-FR"/>
        </w:rPr>
        <w:tab/>
      </w:r>
      <w:r w:rsidRPr="00A02048">
        <w:rPr>
          <w:rFonts w:eastAsia="Calibri" w:cs="Times New Roman"/>
          <w:bCs/>
          <w:sz w:val="20"/>
          <w:szCs w:val="20"/>
          <w:lang w:val="fr-FR"/>
        </w:rPr>
        <w:tab/>
        <w:t>Innovation Energie Développement</w:t>
      </w:r>
      <w:r w:rsidRPr="00A02048">
        <w:rPr>
          <w:rFonts w:eastAsia="Calibri" w:cs="Times New Roman"/>
          <w:bCs/>
          <w:sz w:val="20"/>
          <w:szCs w:val="20"/>
          <w:lang w:val="fr-FR"/>
        </w:rPr>
        <w:tab/>
      </w:r>
      <w:r w:rsidRPr="00A02048">
        <w:rPr>
          <w:rFonts w:eastAsia="Calibri" w:cs="Times New Roman"/>
          <w:bCs/>
          <w:sz w:val="20"/>
          <w:szCs w:val="20"/>
          <w:lang w:val="fr-FR"/>
        </w:rPr>
        <w:tab/>
      </w:r>
    </w:p>
    <w:p w14:paraId="0EB9B2BF"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IER :</w:t>
      </w:r>
      <w:r w:rsidRPr="00A02048">
        <w:rPr>
          <w:rFonts w:eastAsia="Calibri" w:cs="Times New Roman"/>
          <w:bCs/>
          <w:sz w:val="20"/>
          <w:szCs w:val="20"/>
          <w:lang w:val="fr-FR"/>
        </w:rPr>
        <w:tab/>
      </w:r>
      <w:r w:rsidRPr="00A02048">
        <w:rPr>
          <w:rFonts w:eastAsia="Calibri" w:cs="Times New Roman"/>
          <w:bCs/>
          <w:sz w:val="20"/>
          <w:szCs w:val="20"/>
          <w:lang w:val="fr-FR"/>
        </w:rPr>
        <w:tab/>
        <w:t xml:space="preserve">Institut d’Economie Rurale </w:t>
      </w:r>
    </w:p>
    <w:p w14:paraId="050B08B4"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IGMV:</w:t>
      </w:r>
      <w:r w:rsidRPr="00A02048">
        <w:rPr>
          <w:rFonts w:eastAsia="Calibri" w:cs="Times New Roman"/>
          <w:bCs/>
          <w:sz w:val="20"/>
          <w:szCs w:val="20"/>
          <w:lang w:val="fr-FR"/>
        </w:rPr>
        <w:tab/>
      </w:r>
      <w:r w:rsidRPr="00A02048">
        <w:rPr>
          <w:rFonts w:eastAsia="Calibri" w:cs="Times New Roman"/>
          <w:bCs/>
          <w:sz w:val="20"/>
          <w:szCs w:val="20"/>
          <w:lang w:val="fr-FR"/>
        </w:rPr>
        <w:tab/>
        <w:t>l’Initiative de la Grande muraille verte</w:t>
      </w:r>
    </w:p>
    <w:p w14:paraId="1359A787" w14:textId="77777777" w:rsidR="00802BA9" w:rsidRPr="00A02048" w:rsidRDefault="00802BA9" w:rsidP="00802BA9">
      <w:pPr>
        <w:pStyle w:val="Pardeliste"/>
        <w:spacing w:after="0" w:line="240" w:lineRule="auto"/>
        <w:ind w:left="0"/>
        <w:rPr>
          <w:rFonts w:eastAsia="Calibri" w:cs="Times New Roman"/>
          <w:bCs/>
          <w:sz w:val="20"/>
          <w:szCs w:val="20"/>
          <w:lang w:val="en-US"/>
        </w:rPr>
      </w:pPr>
      <w:r w:rsidRPr="00A02048">
        <w:rPr>
          <w:rFonts w:eastAsia="Calibri" w:cs="Times New Roman"/>
          <w:bCs/>
          <w:sz w:val="20"/>
          <w:szCs w:val="20"/>
          <w:lang w:val="en-US"/>
        </w:rPr>
        <w:t>ILWAC :</w:t>
      </w:r>
      <w:r w:rsidRPr="00A02048">
        <w:rPr>
          <w:rFonts w:eastAsia="Calibri" w:cs="Times New Roman"/>
          <w:bCs/>
          <w:sz w:val="20"/>
          <w:szCs w:val="20"/>
          <w:lang w:val="en-US"/>
        </w:rPr>
        <w:tab/>
      </w:r>
      <w:r w:rsidRPr="00A02048">
        <w:rPr>
          <w:rFonts w:eastAsia="Calibri" w:cs="Times New Roman"/>
          <w:bCs/>
          <w:sz w:val="20"/>
          <w:szCs w:val="20"/>
          <w:lang w:val="en-US"/>
        </w:rPr>
        <w:tab/>
        <w:t>Integrated Land and Water Management for Vulnerability and Climate Change Adaptation</w:t>
      </w:r>
      <w:r w:rsidRPr="00A02048">
        <w:rPr>
          <w:rFonts w:eastAsia="Calibri" w:cs="Times New Roman"/>
          <w:bCs/>
          <w:sz w:val="20"/>
          <w:szCs w:val="20"/>
          <w:lang w:val="en-US"/>
        </w:rPr>
        <w:tab/>
      </w:r>
    </w:p>
    <w:p w14:paraId="717C9A1E"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INSTAT :</w:t>
      </w:r>
      <w:r w:rsidRPr="00A02048">
        <w:rPr>
          <w:rFonts w:eastAsia="Calibri" w:cs="Times New Roman"/>
          <w:bCs/>
          <w:sz w:val="20"/>
          <w:szCs w:val="20"/>
          <w:lang w:val="fr-FR"/>
        </w:rPr>
        <w:tab/>
      </w:r>
      <w:r w:rsidRPr="00A02048">
        <w:rPr>
          <w:rFonts w:eastAsia="Calibri" w:cs="Times New Roman"/>
          <w:bCs/>
          <w:sz w:val="20"/>
          <w:szCs w:val="20"/>
          <w:lang w:val="fr-FR"/>
        </w:rPr>
        <w:tab/>
        <w:t>Institut National des Statistiques</w:t>
      </w:r>
    </w:p>
    <w:p w14:paraId="543153F4"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IPE :</w:t>
      </w:r>
      <w:r w:rsidRPr="00A02048">
        <w:rPr>
          <w:rFonts w:eastAsia="Calibri" w:cs="Times New Roman"/>
          <w:bCs/>
          <w:sz w:val="20"/>
          <w:szCs w:val="20"/>
          <w:lang w:val="fr-FR"/>
        </w:rPr>
        <w:tab/>
      </w:r>
      <w:r w:rsidRPr="00A02048">
        <w:rPr>
          <w:rFonts w:eastAsia="Calibri" w:cs="Times New Roman"/>
          <w:bCs/>
          <w:sz w:val="20"/>
          <w:szCs w:val="20"/>
          <w:lang w:val="fr-FR"/>
        </w:rPr>
        <w:tab/>
        <w:t>Initiative Pauvreté Environnement</w:t>
      </w:r>
    </w:p>
    <w:p w14:paraId="036E9694"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IRA :</w:t>
      </w:r>
      <w:r w:rsidRPr="00A02048">
        <w:rPr>
          <w:rFonts w:eastAsia="Calibri" w:cs="Times New Roman"/>
          <w:bCs/>
          <w:sz w:val="20"/>
          <w:szCs w:val="20"/>
          <w:lang w:val="fr-FR"/>
        </w:rPr>
        <w:tab/>
      </w:r>
      <w:r w:rsidRPr="00A02048">
        <w:rPr>
          <w:rFonts w:eastAsia="Calibri" w:cs="Times New Roman"/>
          <w:bCs/>
          <w:sz w:val="20"/>
          <w:szCs w:val="20"/>
          <w:lang w:val="fr-FR"/>
        </w:rPr>
        <w:tab/>
        <w:t xml:space="preserve">Infections Respiratoires Aigues </w:t>
      </w:r>
    </w:p>
    <w:p w14:paraId="44936490"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ITIE :</w:t>
      </w:r>
      <w:r w:rsidRPr="00A02048">
        <w:rPr>
          <w:rFonts w:eastAsia="Calibri" w:cs="Times New Roman"/>
          <w:bCs/>
          <w:sz w:val="20"/>
          <w:szCs w:val="20"/>
          <w:lang w:val="fr-FR"/>
        </w:rPr>
        <w:tab/>
      </w:r>
      <w:r w:rsidRPr="00A02048">
        <w:rPr>
          <w:rFonts w:eastAsia="Calibri" w:cs="Times New Roman"/>
          <w:bCs/>
          <w:sz w:val="20"/>
          <w:szCs w:val="20"/>
          <w:lang w:val="fr-FR"/>
        </w:rPr>
        <w:tab/>
        <w:t>Initiative de Transparence des Industries Extractives</w:t>
      </w:r>
    </w:p>
    <w:p w14:paraId="6585B603" w14:textId="77777777" w:rsidR="00802BA9" w:rsidRPr="00A02048" w:rsidRDefault="00802BA9" w:rsidP="00802BA9">
      <w:pPr>
        <w:pStyle w:val="Pardeliste"/>
        <w:spacing w:after="0" w:line="240" w:lineRule="auto"/>
        <w:ind w:left="0"/>
        <w:rPr>
          <w:rFonts w:eastAsia="Calibri" w:cs="Times New Roman"/>
          <w:bCs/>
          <w:sz w:val="20"/>
          <w:szCs w:val="20"/>
          <w:lang w:val="en-US"/>
        </w:rPr>
      </w:pPr>
      <w:r w:rsidRPr="00A02048">
        <w:rPr>
          <w:rFonts w:eastAsia="Calibri" w:cs="Times New Roman"/>
          <w:bCs/>
          <w:sz w:val="20"/>
          <w:szCs w:val="20"/>
          <w:lang w:val="en-US"/>
        </w:rPr>
        <w:t>IUCN :</w:t>
      </w:r>
      <w:r w:rsidRPr="00A02048">
        <w:rPr>
          <w:rFonts w:eastAsia="Calibri" w:cs="Times New Roman"/>
          <w:bCs/>
          <w:sz w:val="20"/>
          <w:szCs w:val="20"/>
          <w:lang w:val="en-US"/>
        </w:rPr>
        <w:tab/>
      </w:r>
      <w:r w:rsidRPr="00A02048">
        <w:rPr>
          <w:rFonts w:eastAsia="Calibri" w:cs="Times New Roman"/>
          <w:bCs/>
          <w:sz w:val="20"/>
          <w:szCs w:val="20"/>
          <w:lang w:val="en-US"/>
        </w:rPr>
        <w:tab/>
        <w:t>International Union for Conservation of Nature</w:t>
      </w:r>
    </w:p>
    <w:p w14:paraId="55A478CA"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KfW :</w:t>
      </w:r>
      <w:r w:rsidRPr="00A02048">
        <w:rPr>
          <w:rFonts w:eastAsia="Calibri" w:cs="Times New Roman"/>
          <w:bCs/>
          <w:sz w:val="20"/>
          <w:szCs w:val="20"/>
          <w:lang w:val="fr-FR"/>
        </w:rPr>
        <w:tab/>
      </w:r>
      <w:r w:rsidRPr="00A02048">
        <w:rPr>
          <w:rFonts w:eastAsia="Calibri" w:cs="Times New Roman"/>
          <w:bCs/>
          <w:sz w:val="20"/>
          <w:szCs w:val="20"/>
          <w:lang w:val="fr-FR"/>
        </w:rPr>
        <w:tab/>
        <w:t>Coopération financière de l’Allemagne (Kreditanstalt fuer Wiederaufbau)</w:t>
      </w:r>
    </w:p>
    <w:p w14:paraId="21BAC636"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Ktep :</w:t>
      </w:r>
      <w:r w:rsidRPr="00A02048">
        <w:rPr>
          <w:rFonts w:eastAsia="Calibri" w:cs="Times New Roman"/>
          <w:bCs/>
          <w:sz w:val="20"/>
          <w:szCs w:val="20"/>
          <w:lang w:val="fr-FR"/>
        </w:rPr>
        <w:tab/>
      </w:r>
      <w:r w:rsidRPr="00A02048">
        <w:rPr>
          <w:rFonts w:eastAsia="Calibri" w:cs="Times New Roman"/>
          <w:bCs/>
          <w:sz w:val="20"/>
          <w:szCs w:val="20"/>
          <w:lang w:val="fr-FR"/>
        </w:rPr>
        <w:tab/>
        <w:t>Millier de tonne équivalent pétrole</w:t>
      </w:r>
    </w:p>
    <w:p w14:paraId="1552BD84"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LCV :</w:t>
      </w:r>
      <w:r w:rsidRPr="00A02048">
        <w:rPr>
          <w:rFonts w:eastAsia="Calibri" w:cs="Times New Roman"/>
          <w:bCs/>
          <w:sz w:val="20"/>
          <w:szCs w:val="20"/>
          <w:lang w:val="fr-FR"/>
        </w:rPr>
        <w:tab/>
      </w:r>
      <w:r w:rsidRPr="00A02048">
        <w:rPr>
          <w:rFonts w:eastAsia="Calibri" w:cs="Times New Roman"/>
          <w:bCs/>
          <w:sz w:val="20"/>
          <w:szCs w:val="20"/>
          <w:lang w:val="fr-FR"/>
        </w:rPr>
        <w:tab/>
        <w:t>Laboratoire de Contrôle Vétérinaire</w:t>
      </w:r>
    </w:p>
    <w:p w14:paraId="223D37C3"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LNS :</w:t>
      </w:r>
      <w:r w:rsidRPr="00A02048">
        <w:rPr>
          <w:rFonts w:eastAsia="Calibri" w:cs="Times New Roman"/>
          <w:bCs/>
          <w:sz w:val="20"/>
          <w:szCs w:val="20"/>
          <w:lang w:val="fr-FR"/>
        </w:rPr>
        <w:tab/>
      </w:r>
      <w:r w:rsidRPr="00A02048">
        <w:rPr>
          <w:rFonts w:eastAsia="Calibri" w:cs="Times New Roman"/>
          <w:bCs/>
          <w:sz w:val="20"/>
          <w:szCs w:val="20"/>
          <w:lang w:val="fr-FR"/>
        </w:rPr>
        <w:tab/>
        <w:t>Laboratoire National de la Santé</w:t>
      </w:r>
    </w:p>
    <w:p w14:paraId="21910045" w14:textId="77777777" w:rsidR="008E0431" w:rsidRPr="00A02048" w:rsidRDefault="008E0431"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MAG :</w:t>
      </w:r>
      <w:r w:rsidRPr="00A02048">
        <w:rPr>
          <w:rFonts w:eastAsia="Calibri" w:cs="Times New Roman"/>
          <w:bCs/>
          <w:sz w:val="20"/>
          <w:szCs w:val="20"/>
          <w:lang w:val="fr-FR"/>
        </w:rPr>
        <w:tab/>
      </w:r>
      <w:r w:rsidRPr="00A02048">
        <w:rPr>
          <w:rFonts w:eastAsia="Calibri" w:cs="Times New Roman"/>
          <w:bCs/>
          <w:sz w:val="20"/>
          <w:szCs w:val="20"/>
          <w:lang w:val="fr-FR"/>
        </w:rPr>
        <w:tab/>
        <w:t>Malnutrition Aiguë Globale</w:t>
      </w:r>
    </w:p>
    <w:p w14:paraId="52C41508"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lastRenderedPageBreak/>
        <w:t>MANA :</w:t>
      </w:r>
      <w:r w:rsidRPr="00A02048">
        <w:rPr>
          <w:rFonts w:eastAsia="Calibri" w:cs="Times New Roman"/>
          <w:bCs/>
          <w:sz w:val="20"/>
          <w:szCs w:val="20"/>
          <w:lang w:val="fr-FR"/>
        </w:rPr>
        <w:tab/>
      </w:r>
      <w:r w:rsidRPr="00A02048">
        <w:rPr>
          <w:rFonts w:eastAsia="Calibri" w:cs="Times New Roman"/>
          <w:bCs/>
          <w:sz w:val="20"/>
          <w:szCs w:val="20"/>
          <w:lang w:val="fr-FR"/>
        </w:rPr>
        <w:tab/>
        <w:t>Mesures d’Atténuation Nationale Appropriées</w:t>
      </w:r>
    </w:p>
    <w:p w14:paraId="4767B610" w14:textId="77777777" w:rsidR="008E0431" w:rsidRPr="00A02048" w:rsidRDefault="008E0431"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MAM :</w:t>
      </w:r>
      <w:r w:rsidRPr="00A02048">
        <w:rPr>
          <w:rFonts w:eastAsia="Calibri" w:cs="Times New Roman"/>
          <w:bCs/>
          <w:sz w:val="20"/>
          <w:szCs w:val="20"/>
          <w:lang w:val="fr-FR"/>
        </w:rPr>
        <w:tab/>
      </w:r>
      <w:r w:rsidRPr="00A02048">
        <w:rPr>
          <w:rFonts w:eastAsia="Calibri" w:cs="Times New Roman"/>
          <w:bCs/>
          <w:sz w:val="20"/>
          <w:szCs w:val="20"/>
          <w:lang w:val="fr-FR"/>
        </w:rPr>
        <w:tab/>
        <w:t xml:space="preserve">Malnutrition Aiguë </w:t>
      </w:r>
      <w:r w:rsidR="004064E4" w:rsidRPr="00A02048">
        <w:rPr>
          <w:rFonts w:eastAsia="Calibri" w:cs="Times New Roman"/>
          <w:bCs/>
          <w:sz w:val="20"/>
          <w:szCs w:val="20"/>
          <w:lang w:val="fr-FR"/>
        </w:rPr>
        <w:t>Modérée</w:t>
      </w:r>
    </w:p>
    <w:p w14:paraId="70C05BB3" w14:textId="77777777" w:rsidR="008E0431" w:rsidRPr="00A02048" w:rsidRDefault="008E0431"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MAS :</w:t>
      </w:r>
      <w:r w:rsidRPr="00A02048">
        <w:rPr>
          <w:rFonts w:eastAsia="Calibri" w:cs="Times New Roman"/>
          <w:bCs/>
          <w:sz w:val="20"/>
          <w:szCs w:val="20"/>
          <w:lang w:val="fr-FR"/>
        </w:rPr>
        <w:tab/>
      </w:r>
      <w:r w:rsidRPr="00A02048">
        <w:rPr>
          <w:rFonts w:eastAsia="Calibri" w:cs="Times New Roman"/>
          <w:bCs/>
          <w:sz w:val="20"/>
          <w:szCs w:val="20"/>
          <w:lang w:val="fr-FR"/>
        </w:rPr>
        <w:tab/>
        <w:t>Malnutrition Aiguë Sévère</w:t>
      </w:r>
    </w:p>
    <w:p w14:paraId="1E8AE4B4"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MDP :</w:t>
      </w:r>
      <w:r w:rsidRPr="00A02048">
        <w:rPr>
          <w:rFonts w:eastAsia="Calibri" w:cs="Times New Roman"/>
          <w:bCs/>
          <w:sz w:val="20"/>
          <w:szCs w:val="20"/>
          <w:lang w:val="fr-FR"/>
        </w:rPr>
        <w:tab/>
      </w:r>
      <w:r w:rsidRPr="00A02048">
        <w:rPr>
          <w:rFonts w:eastAsia="Calibri" w:cs="Times New Roman"/>
          <w:bCs/>
          <w:sz w:val="20"/>
          <w:szCs w:val="20"/>
          <w:lang w:val="fr-FR"/>
        </w:rPr>
        <w:tab/>
        <w:t>Mécanisme du Développement Propre</w:t>
      </w:r>
    </w:p>
    <w:p w14:paraId="51749ED6"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MDR :</w:t>
      </w:r>
      <w:r w:rsidRPr="00A02048">
        <w:rPr>
          <w:rFonts w:eastAsia="Calibri" w:cs="Times New Roman"/>
          <w:bCs/>
          <w:sz w:val="20"/>
          <w:szCs w:val="20"/>
          <w:lang w:val="fr-FR"/>
        </w:rPr>
        <w:tab/>
      </w:r>
      <w:r w:rsidRPr="00A02048">
        <w:rPr>
          <w:rFonts w:eastAsia="Calibri" w:cs="Times New Roman"/>
          <w:bCs/>
          <w:sz w:val="20"/>
          <w:szCs w:val="20"/>
          <w:lang w:val="fr-FR"/>
        </w:rPr>
        <w:tab/>
        <w:t>Ministère de Développement Rural</w:t>
      </w:r>
    </w:p>
    <w:p w14:paraId="01FE6298"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MEADD :</w:t>
      </w:r>
      <w:r w:rsidRPr="00A02048">
        <w:rPr>
          <w:rFonts w:eastAsia="Calibri" w:cs="Times New Roman"/>
          <w:bCs/>
          <w:sz w:val="20"/>
          <w:szCs w:val="20"/>
          <w:lang w:val="fr-FR"/>
        </w:rPr>
        <w:tab/>
      </w:r>
      <w:r w:rsidRPr="00A02048">
        <w:rPr>
          <w:rFonts w:eastAsia="Calibri" w:cs="Times New Roman"/>
          <w:bCs/>
          <w:sz w:val="20"/>
          <w:szCs w:val="20"/>
          <w:lang w:val="fr-FR"/>
        </w:rPr>
        <w:tab/>
        <w:t>Ministère de l’Environnement, de l’Assainissement et du Développement Durable</w:t>
      </w:r>
    </w:p>
    <w:p w14:paraId="17191572" w14:textId="77777777" w:rsidR="00802BA9" w:rsidRPr="00A02048" w:rsidRDefault="00802BA9" w:rsidP="00802BA9">
      <w:pPr>
        <w:spacing w:after="0" w:line="240" w:lineRule="auto"/>
        <w:ind w:right="-613"/>
        <w:rPr>
          <w:rFonts w:eastAsia="Calibri" w:cs="Times New Roman"/>
          <w:bCs/>
          <w:sz w:val="20"/>
          <w:szCs w:val="20"/>
          <w:lang w:val="fr-FR"/>
        </w:rPr>
      </w:pPr>
      <w:r w:rsidRPr="00A02048">
        <w:rPr>
          <w:rFonts w:eastAsia="Calibri" w:cs="Times New Roman"/>
          <w:bCs/>
          <w:sz w:val="20"/>
          <w:szCs w:val="20"/>
          <w:lang w:val="fr-FR"/>
        </w:rPr>
        <w:t>MEATEU :</w:t>
      </w:r>
      <w:r w:rsidRPr="00A02048">
        <w:rPr>
          <w:rFonts w:eastAsia="Calibri" w:cs="Times New Roman"/>
          <w:bCs/>
          <w:sz w:val="20"/>
          <w:szCs w:val="20"/>
          <w:lang w:val="fr-FR"/>
        </w:rPr>
        <w:tab/>
        <w:t>Ministère de l’Equipement, de l’Aménagement du Territoire, de l’Environnement et de l’Urbanisme</w:t>
      </w:r>
    </w:p>
    <w:p w14:paraId="3858810C"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MEEA :</w:t>
      </w:r>
      <w:r w:rsidRPr="00A02048">
        <w:rPr>
          <w:rFonts w:eastAsia="Calibri" w:cs="Times New Roman"/>
          <w:bCs/>
          <w:sz w:val="20"/>
          <w:szCs w:val="20"/>
          <w:lang w:val="fr-FR"/>
        </w:rPr>
        <w:tab/>
      </w:r>
      <w:r w:rsidRPr="00A02048">
        <w:rPr>
          <w:rFonts w:eastAsia="Calibri" w:cs="Times New Roman"/>
          <w:bCs/>
          <w:sz w:val="20"/>
          <w:szCs w:val="20"/>
          <w:lang w:val="fr-FR"/>
        </w:rPr>
        <w:tab/>
        <w:t>Ministère de l’Environnement, de l’Eau et de l’Assainissement</w:t>
      </w:r>
    </w:p>
    <w:p w14:paraId="365B708B"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MEF :</w:t>
      </w:r>
      <w:r w:rsidRPr="00A02048">
        <w:rPr>
          <w:rFonts w:eastAsia="Calibri" w:cs="Times New Roman"/>
          <w:bCs/>
          <w:sz w:val="20"/>
          <w:szCs w:val="20"/>
          <w:lang w:val="fr-FR"/>
        </w:rPr>
        <w:tab/>
      </w:r>
      <w:r w:rsidRPr="00A02048">
        <w:rPr>
          <w:rFonts w:eastAsia="Calibri" w:cs="Times New Roman"/>
          <w:bCs/>
          <w:sz w:val="20"/>
          <w:szCs w:val="20"/>
          <w:lang w:val="fr-FR"/>
        </w:rPr>
        <w:tab/>
        <w:t>Ministère de l’Economie et des Finances</w:t>
      </w:r>
    </w:p>
    <w:p w14:paraId="6CF94D66"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MEP :</w:t>
      </w:r>
      <w:r w:rsidRPr="00A02048">
        <w:rPr>
          <w:rFonts w:eastAsia="Calibri" w:cs="Times New Roman"/>
          <w:bCs/>
          <w:sz w:val="20"/>
          <w:szCs w:val="20"/>
          <w:lang w:val="fr-FR"/>
        </w:rPr>
        <w:tab/>
      </w:r>
      <w:r w:rsidRPr="00A02048">
        <w:rPr>
          <w:rFonts w:eastAsia="Calibri" w:cs="Times New Roman"/>
          <w:bCs/>
          <w:sz w:val="20"/>
          <w:szCs w:val="20"/>
          <w:lang w:val="fr-FR"/>
        </w:rPr>
        <w:tab/>
        <w:t>Ministère de l’Elevage et de la Pêche</w:t>
      </w:r>
    </w:p>
    <w:p w14:paraId="331B3825"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METD :</w:t>
      </w:r>
      <w:r w:rsidRPr="00A02048">
        <w:rPr>
          <w:rFonts w:eastAsia="Calibri" w:cs="Times New Roman"/>
          <w:bCs/>
          <w:sz w:val="20"/>
          <w:szCs w:val="20"/>
          <w:lang w:val="fr-FR"/>
        </w:rPr>
        <w:tab/>
      </w:r>
      <w:r w:rsidRPr="00A02048">
        <w:rPr>
          <w:rFonts w:eastAsia="Calibri" w:cs="Times New Roman"/>
          <w:bCs/>
          <w:sz w:val="20"/>
          <w:szCs w:val="20"/>
          <w:lang w:val="fr-FR"/>
        </w:rPr>
        <w:tab/>
        <w:t>Ministère de l’Equipement, des Transports et du Désenclavement</w:t>
      </w:r>
    </w:p>
    <w:p w14:paraId="3645A11C" w14:textId="77777777" w:rsidR="007521BC" w:rsidRPr="00A02048" w:rsidRDefault="007521BC" w:rsidP="007521BC">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MES :</w:t>
      </w:r>
      <w:r w:rsidRPr="00A02048">
        <w:rPr>
          <w:rFonts w:eastAsia="Calibri" w:cs="Times New Roman"/>
          <w:bCs/>
          <w:sz w:val="20"/>
          <w:szCs w:val="20"/>
          <w:lang w:val="fr-FR"/>
        </w:rPr>
        <w:tab/>
      </w:r>
      <w:r w:rsidRPr="00A02048">
        <w:rPr>
          <w:rFonts w:eastAsia="Calibri" w:cs="Times New Roman"/>
          <w:bCs/>
          <w:sz w:val="20"/>
          <w:szCs w:val="20"/>
          <w:lang w:val="fr-FR"/>
        </w:rPr>
        <w:tab/>
        <w:t>Matières En Suspensions</w:t>
      </w:r>
    </w:p>
    <w:p w14:paraId="28427575"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MICS :</w:t>
      </w:r>
      <w:r w:rsidRPr="00A02048">
        <w:rPr>
          <w:rFonts w:eastAsia="Calibri" w:cs="Times New Roman"/>
          <w:bCs/>
          <w:sz w:val="20"/>
          <w:szCs w:val="20"/>
          <w:lang w:val="fr-FR"/>
        </w:rPr>
        <w:tab/>
      </w:r>
      <w:r w:rsidRPr="00A02048">
        <w:rPr>
          <w:rFonts w:eastAsia="Calibri" w:cs="Times New Roman"/>
          <w:bCs/>
          <w:sz w:val="20"/>
          <w:szCs w:val="20"/>
          <w:lang w:val="fr-FR"/>
        </w:rPr>
        <w:tab/>
        <w:t>Enquête à Indicateurs Multiples</w:t>
      </w:r>
    </w:p>
    <w:p w14:paraId="18A0CB85"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MINUSMA :</w:t>
      </w:r>
      <w:r w:rsidRPr="00A02048">
        <w:rPr>
          <w:rFonts w:eastAsia="Calibri" w:cs="Times New Roman"/>
          <w:bCs/>
          <w:sz w:val="20"/>
          <w:szCs w:val="20"/>
          <w:lang w:val="fr-FR"/>
        </w:rPr>
        <w:tab/>
        <w:t>Mission intégrée des Nations unies pour la stabilisation au Mali</w:t>
      </w:r>
    </w:p>
    <w:p w14:paraId="6BAC61C4"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 xml:space="preserve">MMP : </w:t>
      </w:r>
      <w:r w:rsidRPr="00A02048">
        <w:rPr>
          <w:rFonts w:eastAsia="Calibri" w:cs="Times New Roman"/>
          <w:bCs/>
          <w:sz w:val="20"/>
          <w:szCs w:val="20"/>
          <w:lang w:val="fr-FR"/>
        </w:rPr>
        <w:tab/>
      </w:r>
      <w:r w:rsidRPr="00A02048">
        <w:rPr>
          <w:rFonts w:eastAsia="Calibri" w:cs="Times New Roman"/>
          <w:bCs/>
          <w:sz w:val="20"/>
          <w:szCs w:val="20"/>
          <w:lang w:val="fr-FR"/>
        </w:rPr>
        <w:tab/>
        <w:t>Ministère des Mines et du Pétrole</w:t>
      </w:r>
    </w:p>
    <w:p w14:paraId="4F2F7BBC"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MPAT :</w:t>
      </w:r>
      <w:r w:rsidRPr="00A02048">
        <w:rPr>
          <w:rFonts w:eastAsia="Calibri" w:cs="Times New Roman"/>
          <w:bCs/>
          <w:sz w:val="20"/>
          <w:szCs w:val="20"/>
          <w:lang w:val="fr-FR"/>
        </w:rPr>
        <w:tab/>
      </w:r>
      <w:r w:rsidRPr="00A02048">
        <w:rPr>
          <w:rFonts w:eastAsia="Calibri" w:cs="Times New Roman"/>
          <w:bCs/>
          <w:sz w:val="20"/>
          <w:szCs w:val="20"/>
          <w:lang w:val="fr-FR"/>
        </w:rPr>
        <w:tab/>
        <w:t>Ministère du Plan et de l’Aménagement du Territoire</w:t>
      </w:r>
    </w:p>
    <w:p w14:paraId="6BAACBE9" w14:textId="77777777" w:rsidR="00802BA9" w:rsidRPr="00A02048" w:rsidRDefault="00802BA9" w:rsidP="00802BA9">
      <w:pPr>
        <w:pStyle w:val="Pardeliste"/>
        <w:spacing w:after="0" w:line="240" w:lineRule="auto"/>
        <w:ind w:left="1410" w:hanging="1410"/>
        <w:rPr>
          <w:rFonts w:cs="Arial"/>
          <w:sz w:val="20"/>
          <w:szCs w:val="20"/>
          <w:lang w:val="fr-FR"/>
        </w:rPr>
      </w:pPr>
      <w:r w:rsidRPr="00A02048">
        <w:rPr>
          <w:rFonts w:cs="Arial"/>
          <w:sz w:val="20"/>
          <w:szCs w:val="20"/>
          <w:lang w:val="fr-FR"/>
        </w:rPr>
        <w:t>MS :</w:t>
      </w:r>
      <w:r w:rsidRPr="00A02048">
        <w:rPr>
          <w:rFonts w:cs="Arial"/>
          <w:sz w:val="20"/>
          <w:szCs w:val="20"/>
          <w:lang w:val="fr-FR"/>
        </w:rPr>
        <w:tab/>
        <w:t xml:space="preserve">Matière Sèche </w:t>
      </w:r>
    </w:p>
    <w:p w14:paraId="125DAA13" w14:textId="77777777" w:rsidR="00802BA9" w:rsidRPr="00A02048" w:rsidRDefault="00802BA9" w:rsidP="00802BA9">
      <w:pPr>
        <w:pStyle w:val="Pardeliste"/>
        <w:spacing w:after="0" w:line="240" w:lineRule="auto"/>
        <w:ind w:left="1410" w:hanging="1410"/>
        <w:rPr>
          <w:rFonts w:cs="Arial"/>
          <w:sz w:val="20"/>
          <w:szCs w:val="20"/>
          <w:lang w:val="fr-FR"/>
        </w:rPr>
      </w:pPr>
      <w:r w:rsidRPr="00A02048">
        <w:rPr>
          <w:rFonts w:cs="Arial"/>
          <w:sz w:val="20"/>
          <w:szCs w:val="20"/>
          <w:lang w:val="fr-FR"/>
        </w:rPr>
        <w:t>MW :</w:t>
      </w:r>
      <w:r w:rsidRPr="00A02048">
        <w:rPr>
          <w:rFonts w:cs="Arial"/>
          <w:sz w:val="20"/>
          <w:szCs w:val="20"/>
          <w:lang w:val="fr-FR"/>
        </w:rPr>
        <w:tab/>
      </w:r>
      <w:r w:rsidRPr="00A02048">
        <w:rPr>
          <w:rFonts w:cs="Arial"/>
          <w:sz w:val="20"/>
          <w:szCs w:val="20"/>
          <w:lang w:val="fr-FR"/>
        </w:rPr>
        <w:tab/>
        <w:t>Mégawatt</w:t>
      </w:r>
    </w:p>
    <w:p w14:paraId="2E525B44" w14:textId="77777777" w:rsidR="00802BA9" w:rsidRPr="00A02048" w:rsidRDefault="00802BA9" w:rsidP="00802BA9">
      <w:pPr>
        <w:pStyle w:val="Pardeliste"/>
        <w:spacing w:after="0" w:line="240" w:lineRule="auto"/>
        <w:ind w:left="1410" w:hanging="1410"/>
        <w:rPr>
          <w:rFonts w:cs="Arial"/>
          <w:sz w:val="20"/>
          <w:szCs w:val="20"/>
          <w:lang w:val="fr-FR"/>
        </w:rPr>
      </w:pPr>
      <w:r w:rsidRPr="00A02048">
        <w:rPr>
          <w:rFonts w:cs="Arial"/>
          <w:sz w:val="20"/>
          <w:szCs w:val="20"/>
          <w:lang w:val="fr-FR"/>
        </w:rPr>
        <w:t>NIES :</w:t>
      </w:r>
      <w:r w:rsidRPr="00A02048">
        <w:rPr>
          <w:rFonts w:cs="Arial"/>
          <w:sz w:val="20"/>
          <w:szCs w:val="20"/>
          <w:lang w:val="fr-FR"/>
        </w:rPr>
        <w:tab/>
        <w:t>Notice d’Impact Environnemental ou Social</w:t>
      </w:r>
      <w:r w:rsidRPr="00A02048">
        <w:rPr>
          <w:rFonts w:cs="Arial"/>
          <w:sz w:val="20"/>
          <w:szCs w:val="20"/>
          <w:lang w:val="fr-FR"/>
        </w:rPr>
        <w:tab/>
      </w:r>
    </w:p>
    <w:p w14:paraId="28841AAB" w14:textId="77777777" w:rsidR="00802BA9" w:rsidRPr="00A02048" w:rsidRDefault="00802BA9" w:rsidP="00802BA9">
      <w:pPr>
        <w:pStyle w:val="Pardeliste"/>
        <w:spacing w:after="0" w:line="240" w:lineRule="auto"/>
        <w:ind w:left="1410" w:hanging="1410"/>
        <w:rPr>
          <w:rFonts w:cs="Arial"/>
          <w:sz w:val="20"/>
          <w:szCs w:val="20"/>
          <w:lang w:val="fr-FR"/>
        </w:rPr>
      </w:pPr>
      <w:r w:rsidRPr="00A02048">
        <w:rPr>
          <w:rFonts w:cs="Arial"/>
          <w:sz w:val="20"/>
          <w:szCs w:val="20"/>
          <w:lang w:val="fr-FR"/>
        </w:rPr>
        <w:t xml:space="preserve">NTIC : </w:t>
      </w:r>
      <w:r w:rsidRPr="00A02048">
        <w:rPr>
          <w:rFonts w:cs="Arial"/>
          <w:sz w:val="20"/>
          <w:szCs w:val="20"/>
          <w:lang w:val="fr-FR"/>
        </w:rPr>
        <w:tab/>
        <w:t xml:space="preserve">Nouvelle Technologie de l’Information et de la Communication </w:t>
      </w:r>
      <w:r w:rsidRPr="00A02048">
        <w:rPr>
          <w:rFonts w:cs="Arial"/>
          <w:sz w:val="20"/>
          <w:szCs w:val="20"/>
          <w:lang w:val="fr-FR"/>
        </w:rPr>
        <w:tab/>
      </w:r>
    </w:p>
    <w:p w14:paraId="6EFFD93A" w14:textId="77777777" w:rsidR="00802BA9" w:rsidRPr="00A02048" w:rsidRDefault="00802BA9" w:rsidP="00802BA9">
      <w:pPr>
        <w:pStyle w:val="Pardeliste"/>
        <w:spacing w:after="0" w:line="240" w:lineRule="auto"/>
        <w:ind w:left="1410" w:hanging="1410"/>
        <w:rPr>
          <w:rFonts w:cs="Arial"/>
          <w:sz w:val="20"/>
          <w:szCs w:val="20"/>
          <w:lang w:val="en-US"/>
        </w:rPr>
      </w:pPr>
      <w:r w:rsidRPr="00A02048">
        <w:rPr>
          <w:rFonts w:cs="Arial"/>
          <w:sz w:val="20"/>
          <w:szCs w:val="20"/>
          <w:lang w:val="en-US"/>
        </w:rPr>
        <w:t xml:space="preserve">NU : </w:t>
      </w:r>
      <w:r w:rsidRPr="00A02048">
        <w:rPr>
          <w:rFonts w:cs="Arial"/>
          <w:sz w:val="20"/>
          <w:szCs w:val="20"/>
          <w:lang w:val="en-US"/>
        </w:rPr>
        <w:tab/>
        <w:t>Nations Unies</w:t>
      </w:r>
    </w:p>
    <w:p w14:paraId="683D6E5E" w14:textId="77777777" w:rsidR="00802BA9" w:rsidRPr="00A02048" w:rsidRDefault="00802BA9" w:rsidP="00802BA9">
      <w:pPr>
        <w:pStyle w:val="Pardeliste"/>
        <w:spacing w:after="0" w:line="240" w:lineRule="auto"/>
        <w:ind w:left="0"/>
        <w:rPr>
          <w:rFonts w:eastAsia="Calibri" w:cs="Times New Roman"/>
          <w:bCs/>
          <w:sz w:val="20"/>
          <w:szCs w:val="20"/>
          <w:lang w:val="en-US"/>
        </w:rPr>
      </w:pPr>
      <w:r w:rsidRPr="00A02048">
        <w:rPr>
          <w:rFonts w:eastAsia="Calibri" w:cs="Times New Roman"/>
          <w:bCs/>
          <w:sz w:val="20"/>
          <w:szCs w:val="20"/>
          <w:lang w:val="en-US"/>
        </w:rPr>
        <w:t>OCHA :</w:t>
      </w:r>
      <w:r w:rsidRPr="00A02048">
        <w:rPr>
          <w:rFonts w:eastAsia="Calibri" w:cs="Times New Roman"/>
          <w:bCs/>
          <w:sz w:val="20"/>
          <w:szCs w:val="20"/>
          <w:lang w:val="en-US"/>
        </w:rPr>
        <w:tab/>
      </w:r>
      <w:r w:rsidRPr="00A02048">
        <w:rPr>
          <w:rFonts w:eastAsia="Calibri" w:cs="Times New Roman"/>
          <w:bCs/>
          <w:sz w:val="20"/>
          <w:szCs w:val="20"/>
          <w:lang w:val="en-US"/>
        </w:rPr>
        <w:tab/>
        <w:t>Office of Coordination of Humanitarian Aide</w:t>
      </w:r>
    </w:p>
    <w:p w14:paraId="17C0065C"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ODD:</w:t>
      </w:r>
      <w:r w:rsidRPr="00A02048">
        <w:rPr>
          <w:rFonts w:eastAsia="Calibri" w:cs="Times New Roman"/>
          <w:bCs/>
          <w:sz w:val="20"/>
          <w:szCs w:val="20"/>
          <w:lang w:val="fr-FR"/>
        </w:rPr>
        <w:tab/>
      </w:r>
      <w:r w:rsidRPr="00A02048">
        <w:rPr>
          <w:rFonts w:eastAsia="Calibri" w:cs="Times New Roman"/>
          <w:bCs/>
          <w:sz w:val="20"/>
          <w:szCs w:val="20"/>
          <w:lang w:val="fr-FR"/>
        </w:rPr>
        <w:tab/>
        <w:t>Objectifs du Développement Durable</w:t>
      </w:r>
    </w:p>
    <w:p w14:paraId="3CC0B4B7"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 xml:space="preserve">ODHD : </w:t>
      </w:r>
      <w:r w:rsidRPr="00A02048">
        <w:rPr>
          <w:rFonts w:eastAsia="Calibri" w:cs="Times New Roman"/>
          <w:bCs/>
          <w:sz w:val="20"/>
          <w:szCs w:val="20"/>
          <w:lang w:val="fr-FR"/>
        </w:rPr>
        <w:tab/>
      </w:r>
      <w:r w:rsidRPr="00A02048">
        <w:rPr>
          <w:rFonts w:eastAsia="Calibri" w:cs="Times New Roman"/>
          <w:bCs/>
          <w:sz w:val="20"/>
          <w:szCs w:val="20"/>
          <w:lang w:val="fr-FR"/>
        </w:rPr>
        <w:tab/>
        <w:t>Observatoire du Développement Humain Durable et de la lutte contre la pauvreté</w:t>
      </w:r>
    </w:p>
    <w:p w14:paraId="47E19A49"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OMD :</w:t>
      </w:r>
      <w:r w:rsidRPr="00A02048">
        <w:rPr>
          <w:rFonts w:eastAsia="Calibri" w:cs="Times New Roman"/>
          <w:bCs/>
          <w:sz w:val="20"/>
          <w:szCs w:val="20"/>
          <w:lang w:val="fr-FR"/>
        </w:rPr>
        <w:tab/>
      </w:r>
      <w:r w:rsidRPr="00A02048">
        <w:rPr>
          <w:rFonts w:eastAsia="Calibri" w:cs="Times New Roman"/>
          <w:bCs/>
          <w:sz w:val="20"/>
          <w:szCs w:val="20"/>
          <w:lang w:val="fr-FR"/>
        </w:rPr>
        <w:tab/>
        <w:t>Objectifs du Millénaire pour le Développement</w:t>
      </w:r>
    </w:p>
    <w:p w14:paraId="34E8B923"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 xml:space="preserve">OMS : </w:t>
      </w:r>
      <w:r w:rsidRPr="00A02048">
        <w:rPr>
          <w:rFonts w:eastAsia="Calibri" w:cs="Times New Roman"/>
          <w:bCs/>
          <w:sz w:val="20"/>
          <w:szCs w:val="20"/>
          <w:lang w:val="fr-FR"/>
        </w:rPr>
        <w:tab/>
      </w:r>
      <w:r w:rsidRPr="00A02048">
        <w:rPr>
          <w:rFonts w:eastAsia="Calibri" w:cs="Times New Roman"/>
          <w:bCs/>
          <w:sz w:val="20"/>
          <w:szCs w:val="20"/>
          <w:lang w:val="fr-FR"/>
        </w:rPr>
        <w:tab/>
        <w:t>Organisation Mondiale de la Santé</w:t>
      </w:r>
    </w:p>
    <w:p w14:paraId="5F134CA7"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OMVG :</w:t>
      </w:r>
      <w:r w:rsidRPr="00A02048">
        <w:rPr>
          <w:rFonts w:eastAsia="Calibri" w:cs="Times New Roman"/>
          <w:bCs/>
          <w:sz w:val="20"/>
          <w:szCs w:val="20"/>
          <w:lang w:val="fr-FR"/>
        </w:rPr>
        <w:tab/>
      </w:r>
      <w:r w:rsidRPr="00A02048">
        <w:rPr>
          <w:rFonts w:eastAsia="Calibri" w:cs="Times New Roman"/>
          <w:bCs/>
          <w:sz w:val="20"/>
          <w:szCs w:val="20"/>
          <w:lang w:val="fr-FR"/>
        </w:rPr>
        <w:tab/>
        <w:t>Organisation de la Mise en Valeur de la Gambie</w:t>
      </w:r>
      <w:r w:rsidRPr="00A02048">
        <w:rPr>
          <w:rFonts w:eastAsia="Calibri" w:cs="Times New Roman"/>
          <w:bCs/>
          <w:sz w:val="20"/>
          <w:szCs w:val="20"/>
          <w:lang w:val="fr-FR"/>
        </w:rPr>
        <w:tab/>
      </w:r>
    </w:p>
    <w:p w14:paraId="027093D0"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 xml:space="preserve">OMVS : </w:t>
      </w:r>
      <w:r w:rsidRPr="00A02048">
        <w:rPr>
          <w:rFonts w:eastAsia="Calibri" w:cs="Times New Roman"/>
          <w:bCs/>
          <w:sz w:val="20"/>
          <w:szCs w:val="20"/>
          <w:lang w:val="fr-FR"/>
        </w:rPr>
        <w:tab/>
      </w:r>
      <w:r w:rsidRPr="00A02048">
        <w:rPr>
          <w:rFonts w:eastAsia="Calibri" w:cs="Times New Roman"/>
          <w:bCs/>
          <w:sz w:val="20"/>
          <w:szCs w:val="20"/>
          <w:lang w:val="fr-FR"/>
        </w:rPr>
        <w:tab/>
        <w:t>Organisation pour la Mise en Valeur du fleuve Sénégal</w:t>
      </w:r>
    </w:p>
    <w:p w14:paraId="33E350AE"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ONG :</w:t>
      </w:r>
      <w:r w:rsidRPr="00A02048">
        <w:rPr>
          <w:rFonts w:eastAsia="Calibri" w:cs="Times New Roman"/>
          <w:bCs/>
          <w:sz w:val="20"/>
          <w:szCs w:val="20"/>
          <w:lang w:val="fr-FR"/>
        </w:rPr>
        <w:tab/>
      </w:r>
      <w:r w:rsidRPr="00A02048">
        <w:rPr>
          <w:rFonts w:eastAsia="Calibri" w:cs="Times New Roman"/>
          <w:bCs/>
          <w:sz w:val="20"/>
          <w:szCs w:val="20"/>
          <w:lang w:val="fr-FR"/>
        </w:rPr>
        <w:tab/>
        <w:t>Organisation Non - Gouvernementale</w:t>
      </w:r>
    </w:p>
    <w:p w14:paraId="329AECF2"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ONUDI :</w:t>
      </w:r>
      <w:r w:rsidRPr="00A02048">
        <w:rPr>
          <w:rFonts w:eastAsia="Calibri" w:cs="Times New Roman"/>
          <w:bCs/>
          <w:sz w:val="20"/>
          <w:szCs w:val="20"/>
          <w:lang w:val="fr-FR"/>
        </w:rPr>
        <w:tab/>
      </w:r>
      <w:r w:rsidRPr="00A02048">
        <w:rPr>
          <w:rFonts w:eastAsia="Calibri" w:cs="Times New Roman"/>
          <w:bCs/>
          <w:sz w:val="20"/>
          <w:szCs w:val="20"/>
          <w:lang w:val="fr-FR"/>
        </w:rPr>
        <w:tab/>
        <w:t>Organisation des Nations Unies de Développement Industriel</w:t>
      </w:r>
    </w:p>
    <w:p w14:paraId="7C80C033"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OPNBB :</w:t>
      </w:r>
      <w:r w:rsidRPr="00A02048">
        <w:rPr>
          <w:rFonts w:eastAsia="Calibri" w:cs="Times New Roman"/>
          <w:bCs/>
          <w:sz w:val="20"/>
          <w:szCs w:val="20"/>
          <w:lang w:val="fr-FR"/>
        </w:rPr>
        <w:tab/>
      </w:r>
      <w:r w:rsidRPr="00A02048">
        <w:rPr>
          <w:rFonts w:eastAsia="Calibri" w:cs="Times New Roman"/>
          <w:bCs/>
          <w:sz w:val="20"/>
          <w:szCs w:val="20"/>
          <w:lang w:val="fr-FR"/>
        </w:rPr>
        <w:tab/>
        <w:t xml:space="preserve">Opération du Parc National de la Boucle du Baoulé  </w:t>
      </w:r>
    </w:p>
    <w:p w14:paraId="725A5EE2"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OPV :</w:t>
      </w:r>
      <w:r w:rsidRPr="00A02048">
        <w:rPr>
          <w:rFonts w:eastAsia="Calibri" w:cs="Times New Roman"/>
          <w:bCs/>
          <w:sz w:val="20"/>
          <w:szCs w:val="20"/>
          <w:lang w:val="fr-FR"/>
        </w:rPr>
        <w:tab/>
      </w:r>
      <w:r w:rsidRPr="00A02048">
        <w:rPr>
          <w:rFonts w:eastAsia="Calibri" w:cs="Times New Roman"/>
          <w:bCs/>
          <w:sz w:val="20"/>
          <w:szCs w:val="20"/>
          <w:lang w:val="fr-FR"/>
        </w:rPr>
        <w:tab/>
        <w:t>Office de Protection des Végétaux</w:t>
      </w:r>
    </w:p>
    <w:p w14:paraId="0FF6F5C5"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PAG :</w:t>
      </w:r>
      <w:r w:rsidRPr="00A02048">
        <w:rPr>
          <w:rFonts w:eastAsia="Calibri" w:cs="Times New Roman"/>
          <w:bCs/>
          <w:sz w:val="20"/>
          <w:szCs w:val="20"/>
          <w:lang w:val="fr-FR"/>
        </w:rPr>
        <w:tab/>
      </w:r>
      <w:r w:rsidRPr="00A02048">
        <w:rPr>
          <w:rFonts w:eastAsia="Calibri" w:cs="Times New Roman"/>
          <w:bCs/>
          <w:sz w:val="20"/>
          <w:szCs w:val="20"/>
          <w:lang w:val="fr-FR"/>
        </w:rPr>
        <w:tab/>
        <w:t>Plan d’Action du Gouvernement</w:t>
      </w:r>
    </w:p>
    <w:p w14:paraId="103F4F2D" w14:textId="77777777" w:rsidR="00802BA9" w:rsidRPr="00A02048" w:rsidRDefault="00802BA9" w:rsidP="00802BA9">
      <w:pPr>
        <w:pStyle w:val="Pardeliste"/>
        <w:spacing w:after="0" w:line="240" w:lineRule="auto"/>
        <w:ind w:left="0" w:right="-613"/>
        <w:rPr>
          <w:rFonts w:eastAsia="Calibri" w:cs="Times New Roman"/>
          <w:bCs/>
          <w:sz w:val="20"/>
          <w:szCs w:val="20"/>
          <w:lang w:val="fr-FR"/>
        </w:rPr>
      </w:pPr>
      <w:r w:rsidRPr="00A02048">
        <w:rPr>
          <w:rFonts w:eastAsia="Calibri" w:cs="Times New Roman"/>
          <w:bCs/>
          <w:sz w:val="20"/>
          <w:szCs w:val="20"/>
          <w:lang w:val="fr-FR"/>
        </w:rPr>
        <w:t>PAG</w:t>
      </w:r>
      <w:r w:rsidR="00603729" w:rsidRPr="00A02048">
        <w:rPr>
          <w:rFonts w:eastAsia="Calibri" w:cs="Times New Roman"/>
          <w:bCs/>
          <w:sz w:val="20"/>
          <w:szCs w:val="20"/>
          <w:lang w:val="fr-FR"/>
        </w:rPr>
        <w:t>E</w:t>
      </w:r>
      <w:r w:rsidRPr="00A02048">
        <w:rPr>
          <w:rFonts w:eastAsia="Calibri" w:cs="Times New Roman"/>
          <w:bCs/>
          <w:sz w:val="20"/>
          <w:szCs w:val="20"/>
          <w:lang w:val="fr-FR"/>
        </w:rPr>
        <w:t>EM :</w:t>
      </w:r>
      <w:r w:rsidRPr="00A02048">
        <w:rPr>
          <w:rFonts w:eastAsia="Calibri" w:cs="Times New Roman"/>
          <w:bCs/>
          <w:sz w:val="20"/>
          <w:szCs w:val="20"/>
          <w:lang w:val="fr-FR"/>
        </w:rPr>
        <w:tab/>
        <w:t>Plan d’Accompagnement de la Généralisation de l’Education Environnementale au Mali</w:t>
      </w:r>
      <w:r w:rsidRPr="00A02048">
        <w:rPr>
          <w:rFonts w:eastAsia="Calibri" w:cs="Times New Roman"/>
          <w:bCs/>
          <w:sz w:val="20"/>
          <w:szCs w:val="20"/>
          <w:lang w:val="fr-FR"/>
        </w:rPr>
        <w:tab/>
      </w:r>
    </w:p>
    <w:p w14:paraId="67CD2532"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PANA :</w:t>
      </w:r>
      <w:r w:rsidRPr="00A02048">
        <w:rPr>
          <w:rFonts w:eastAsia="Calibri" w:cs="Times New Roman"/>
          <w:bCs/>
          <w:sz w:val="20"/>
          <w:szCs w:val="20"/>
          <w:lang w:val="fr-FR"/>
        </w:rPr>
        <w:tab/>
      </w:r>
      <w:r w:rsidRPr="00A02048">
        <w:rPr>
          <w:rFonts w:eastAsia="Calibri" w:cs="Times New Roman"/>
          <w:bCs/>
          <w:sz w:val="20"/>
          <w:szCs w:val="20"/>
          <w:lang w:val="fr-FR"/>
        </w:rPr>
        <w:tab/>
        <w:t>Programme d’actions National d’Adaptation</w:t>
      </w:r>
    </w:p>
    <w:p w14:paraId="4418E3AD" w14:textId="77777777" w:rsidR="00802BA9" w:rsidRPr="00A02048" w:rsidRDefault="00802BA9" w:rsidP="00802BA9">
      <w:pPr>
        <w:spacing w:after="0" w:line="240" w:lineRule="auto"/>
        <w:ind w:right="-613"/>
        <w:rPr>
          <w:rFonts w:eastAsia="Calibri" w:cs="Times New Roman"/>
          <w:bCs/>
          <w:sz w:val="20"/>
          <w:szCs w:val="20"/>
          <w:lang w:val="fr-FR"/>
        </w:rPr>
      </w:pPr>
      <w:r w:rsidRPr="00A02048">
        <w:rPr>
          <w:rFonts w:eastAsia="Calibri" w:cs="Times New Roman"/>
          <w:bCs/>
          <w:sz w:val="20"/>
          <w:szCs w:val="20"/>
          <w:lang w:val="fr-FR"/>
        </w:rPr>
        <w:t>PAN-CID :</w:t>
      </w:r>
      <w:r w:rsidRPr="00A02048">
        <w:rPr>
          <w:rFonts w:eastAsia="Calibri" w:cs="Times New Roman"/>
          <w:bCs/>
          <w:sz w:val="20"/>
          <w:szCs w:val="20"/>
          <w:lang w:val="fr-FR"/>
        </w:rPr>
        <w:tab/>
        <w:t>Programme d’Action National de mise en œuvre de la Convention Internationale de lutte contre la Désertification</w:t>
      </w:r>
    </w:p>
    <w:p w14:paraId="09E34F00"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PANGIRE :</w:t>
      </w:r>
      <w:r w:rsidRPr="00A02048">
        <w:rPr>
          <w:rFonts w:eastAsia="Calibri" w:cs="Times New Roman"/>
          <w:bCs/>
          <w:sz w:val="20"/>
          <w:szCs w:val="20"/>
          <w:lang w:val="fr-FR"/>
        </w:rPr>
        <w:tab/>
        <w:t>Plan d’Action National de Gestion Intégrée des Ressources en Eau</w:t>
      </w:r>
    </w:p>
    <w:p w14:paraId="705A5CBC"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 xml:space="preserve">PAPAM : </w:t>
      </w:r>
      <w:r w:rsidRPr="00A02048">
        <w:rPr>
          <w:rFonts w:eastAsia="Calibri" w:cs="Times New Roman"/>
          <w:bCs/>
          <w:sz w:val="20"/>
          <w:szCs w:val="20"/>
          <w:lang w:val="fr-FR"/>
        </w:rPr>
        <w:tab/>
        <w:t>Projet Accroissement de la Productivité Agricole au Mali</w:t>
      </w:r>
    </w:p>
    <w:p w14:paraId="55A478CE" w14:textId="77777777" w:rsidR="00802BA9" w:rsidRPr="00A02048" w:rsidRDefault="00802BA9" w:rsidP="00802BA9">
      <w:pPr>
        <w:spacing w:after="0" w:line="240" w:lineRule="auto"/>
        <w:rPr>
          <w:rFonts w:eastAsia="Calibri" w:cs="Times New Roman"/>
          <w:bCs/>
          <w:sz w:val="20"/>
          <w:szCs w:val="20"/>
          <w:lang w:val="fr-FR"/>
        </w:rPr>
      </w:pPr>
      <w:r w:rsidRPr="00A02048">
        <w:rPr>
          <w:rFonts w:eastAsia="Calibri" w:cs="Times New Roman"/>
          <w:bCs/>
          <w:sz w:val="20"/>
          <w:szCs w:val="20"/>
          <w:lang w:val="fr-FR"/>
        </w:rPr>
        <w:t>PAPS :</w:t>
      </w:r>
      <w:r w:rsidRPr="00A02048">
        <w:rPr>
          <w:rFonts w:eastAsia="Calibri" w:cs="Times New Roman"/>
          <w:bCs/>
          <w:sz w:val="20"/>
          <w:szCs w:val="20"/>
          <w:lang w:val="fr-FR"/>
        </w:rPr>
        <w:tab/>
      </w:r>
      <w:r w:rsidRPr="00A02048">
        <w:rPr>
          <w:rFonts w:eastAsia="Calibri" w:cs="Times New Roman"/>
          <w:bCs/>
          <w:sz w:val="20"/>
          <w:szCs w:val="20"/>
          <w:lang w:val="fr-FR"/>
        </w:rPr>
        <w:tab/>
        <w:t>Projet d’Appui au Programme Sectoriel des Transports au Mali</w:t>
      </w:r>
      <w:r w:rsidRPr="00A02048">
        <w:rPr>
          <w:rFonts w:eastAsia="Calibri" w:cs="Times New Roman"/>
          <w:bCs/>
          <w:sz w:val="20"/>
          <w:szCs w:val="20"/>
          <w:lang w:val="fr-FR"/>
        </w:rPr>
        <w:tab/>
      </w:r>
    </w:p>
    <w:p w14:paraId="21BB4EE1"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PARAD :</w:t>
      </w:r>
      <w:r w:rsidRPr="00A02048">
        <w:rPr>
          <w:rFonts w:eastAsia="Calibri" w:cs="Times New Roman"/>
          <w:bCs/>
          <w:sz w:val="20"/>
          <w:szCs w:val="20"/>
          <w:lang w:val="fr-FR"/>
        </w:rPr>
        <w:tab/>
      </w:r>
      <w:r w:rsidRPr="00A02048">
        <w:rPr>
          <w:rFonts w:eastAsia="Calibri" w:cs="Times New Roman"/>
          <w:bCs/>
          <w:sz w:val="20"/>
          <w:szCs w:val="20"/>
          <w:lang w:val="fr-FR"/>
        </w:rPr>
        <w:tab/>
        <w:t>Programme d’Appui à la Réforme de l’Administration et à la Décentralisation</w:t>
      </w:r>
    </w:p>
    <w:p w14:paraId="29CDD1A0"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PAZI :</w:t>
      </w:r>
      <w:r w:rsidRPr="00A02048">
        <w:rPr>
          <w:rFonts w:eastAsia="Calibri" w:cs="Times New Roman"/>
          <w:bCs/>
          <w:sz w:val="20"/>
          <w:szCs w:val="20"/>
          <w:lang w:val="fr-FR"/>
        </w:rPr>
        <w:tab/>
      </w:r>
      <w:r w:rsidRPr="00A02048">
        <w:rPr>
          <w:rFonts w:eastAsia="Calibri" w:cs="Times New Roman"/>
          <w:bCs/>
          <w:sz w:val="20"/>
          <w:szCs w:val="20"/>
          <w:lang w:val="fr-FR"/>
        </w:rPr>
        <w:tab/>
        <w:t>Projet d’Assainissement de la Zone Industrielle</w:t>
      </w:r>
    </w:p>
    <w:p w14:paraId="57EFB054"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PAZIS :</w:t>
      </w:r>
      <w:r w:rsidRPr="00A02048">
        <w:rPr>
          <w:rFonts w:eastAsia="Calibri" w:cs="Times New Roman"/>
          <w:bCs/>
          <w:sz w:val="20"/>
          <w:szCs w:val="20"/>
          <w:lang w:val="fr-FR"/>
        </w:rPr>
        <w:tab/>
      </w:r>
      <w:r w:rsidRPr="00A02048">
        <w:rPr>
          <w:rFonts w:eastAsia="Calibri" w:cs="Times New Roman"/>
          <w:bCs/>
          <w:sz w:val="20"/>
          <w:szCs w:val="20"/>
          <w:lang w:val="fr-FR"/>
        </w:rPr>
        <w:tab/>
        <w:t>Projet d’Assainissement de la Zone Industrielle de Sotuba</w:t>
      </w:r>
    </w:p>
    <w:p w14:paraId="214C721D"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PCAE :</w:t>
      </w:r>
      <w:r w:rsidRPr="00A02048">
        <w:rPr>
          <w:rFonts w:eastAsia="Calibri" w:cs="Times New Roman"/>
          <w:bCs/>
          <w:sz w:val="20"/>
          <w:szCs w:val="20"/>
          <w:lang w:val="fr-FR"/>
        </w:rPr>
        <w:tab/>
      </w:r>
      <w:r w:rsidRPr="00A02048">
        <w:rPr>
          <w:rFonts w:eastAsia="Calibri" w:cs="Times New Roman"/>
          <w:bCs/>
          <w:sz w:val="20"/>
          <w:szCs w:val="20"/>
          <w:lang w:val="fr-FR"/>
        </w:rPr>
        <w:tab/>
        <w:t>Plan Communal d’Action Environnementale</w:t>
      </w:r>
    </w:p>
    <w:p w14:paraId="0CC29615"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PDD-DIN :</w:t>
      </w:r>
      <w:r w:rsidRPr="00A02048">
        <w:rPr>
          <w:rFonts w:eastAsia="Calibri" w:cs="Times New Roman"/>
          <w:bCs/>
          <w:sz w:val="20"/>
          <w:szCs w:val="20"/>
          <w:lang w:val="fr-FR"/>
        </w:rPr>
        <w:tab/>
        <w:t>Programme de Développement Durable du Delta Intérieur du Niger</w:t>
      </w:r>
    </w:p>
    <w:p w14:paraId="20046B6A"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PDM-Hydro :</w:t>
      </w:r>
      <w:r w:rsidRPr="00A02048">
        <w:rPr>
          <w:rFonts w:eastAsia="Calibri" w:cs="Times New Roman"/>
          <w:bCs/>
          <w:sz w:val="20"/>
          <w:szCs w:val="20"/>
          <w:lang w:val="fr-FR"/>
        </w:rPr>
        <w:tab/>
        <w:t>Projet Développement de la Mini/Micro Hydroélectricité</w:t>
      </w:r>
    </w:p>
    <w:p w14:paraId="6499756E"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PDSEC :</w:t>
      </w:r>
      <w:r w:rsidRPr="00A02048">
        <w:rPr>
          <w:rFonts w:eastAsia="Calibri" w:cs="Times New Roman"/>
          <w:bCs/>
          <w:sz w:val="20"/>
          <w:szCs w:val="20"/>
          <w:lang w:val="fr-FR"/>
        </w:rPr>
        <w:tab/>
      </w:r>
      <w:r w:rsidRPr="00A02048">
        <w:rPr>
          <w:rFonts w:eastAsia="Calibri" w:cs="Times New Roman"/>
          <w:bCs/>
          <w:sz w:val="20"/>
          <w:szCs w:val="20"/>
          <w:lang w:val="fr-FR"/>
        </w:rPr>
        <w:tab/>
        <w:t>Programme de Développement Social Economique et Culturel</w:t>
      </w:r>
    </w:p>
    <w:p w14:paraId="6E3AF871"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PDSM :</w:t>
      </w:r>
      <w:r w:rsidRPr="00A02048">
        <w:rPr>
          <w:rFonts w:eastAsia="Calibri" w:cs="Times New Roman"/>
          <w:bCs/>
          <w:sz w:val="20"/>
          <w:szCs w:val="20"/>
          <w:lang w:val="fr-FR"/>
        </w:rPr>
        <w:tab/>
      </w:r>
      <w:r w:rsidRPr="00A02048">
        <w:rPr>
          <w:rFonts w:eastAsia="Calibri" w:cs="Times New Roman"/>
          <w:bCs/>
          <w:sz w:val="20"/>
          <w:szCs w:val="20"/>
          <w:lang w:val="fr-FR"/>
        </w:rPr>
        <w:tab/>
        <w:t xml:space="preserve">Programme du Développement du Secteur Minier </w:t>
      </w:r>
    </w:p>
    <w:p w14:paraId="6759EE13"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PEALCD :</w:t>
      </w:r>
      <w:r w:rsidRPr="00A02048">
        <w:rPr>
          <w:rFonts w:eastAsia="Calibri" w:cs="Times New Roman"/>
          <w:bCs/>
          <w:sz w:val="20"/>
          <w:szCs w:val="20"/>
          <w:lang w:val="fr-FR"/>
        </w:rPr>
        <w:tab/>
        <w:t xml:space="preserve"> Programme Environnemental d'Appui à la Lutte Contre la Désertification</w:t>
      </w:r>
    </w:p>
    <w:p w14:paraId="000F45D1"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PEM :</w:t>
      </w:r>
      <w:r w:rsidRPr="00A02048">
        <w:rPr>
          <w:rFonts w:eastAsia="Calibri" w:cs="Times New Roman"/>
          <w:bCs/>
          <w:sz w:val="20"/>
          <w:szCs w:val="20"/>
          <w:lang w:val="fr-FR"/>
        </w:rPr>
        <w:tab/>
      </w:r>
      <w:r w:rsidRPr="00A02048">
        <w:rPr>
          <w:rFonts w:eastAsia="Calibri" w:cs="Times New Roman"/>
          <w:bCs/>
          <w:sz w:val="20"/>
          <w:szCs w:val="20"/>
          <w:lang w:val="fr-FR"/>
        </w:rPr>
        <w:tab/>
        <w:t>Point d’Eau Moderne</w:t>
      </w:r>
    </w:p>
    <w:p w14:paraId="64F62084"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PEP :</w:t>
      </w:r>
      <w:r w:rsidRPr="00A02048">
        <w:rPr>
          <w:rFonts w:eastAsia="Calibri" w:cs="Times New Roman"/>
          <w:bCs/>
          <w:sz w:val="20"/>
          <w:szCs w:val="20"/>
          <w:lang w:val="fr-FR"/>
        </w:rPr>
        <w:tab/>
      </w:r>
      <w:r w:rsidRPr="00A02048">
        <w:rPr>
          <w:rFonts w:eastAsia="Calibri" w:cs="Times New Roman"/>
          <w:bCs/>
          <w:sz w:val="20"/>
          <w:szCs w:val="20"/>
          <w:lang w:val="fr-FR"/>
        </w:rPr>
        <w:tab/>
        <w:t>Profil Environnemental du Pays</w:t>
      </w:r>
    </w:p>
    <w:p w14:paraId="514A4DA2"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PFNL :</w:t>
      </w:r>
      <w:r w:rsidRPr="00A02048">
        <w:rPr>
          <w:rFonts w:eastAsia="Calibri" w:cs="Times New Roman"/>
          <w:bCs/>
          <w:sz w:val="20"/>
          <w:szCs w:val="20"/>
          <w:lang w:val="fr-FR"/>
        </w:rPr>
        <w:tab/>
      </w:r>
      <w:r w:rsidRPr="00A02048">
        <w:rPr>
          <w:rFonts w:eastAsia="Calibri" w:cs="Times New Roman"/>
          <w:bCs/>
          <w:sz w:val="20"/>
          <w:szCs w:val="20"/>
          <w:lang w:val="fr-FR"/>
        </w:rPr>
        <w:tab/>
        <w:t>Produits Forestiers Non - Ligneux</w:t>
      </w:r>
    </w:p>
    <w:p w14:paraId="2A91139F" w14:textId="77777777" w:rsidR="00802BA9" w:rsidRPr="00A02048" w:rsidRDefault="00802BA9" w:rsidP="00802BA9">
      <w:pPr>
        <w:pStyle w:val="Pardeliste"/>
        <w:spacing w:after="0" w:line="240" w:lineRule="auto"/>
        <w:ind w:left="0"/>
        <w:rPr>
          <w:rFonts w:cs="Arial"/>
          <w:sz w:val="20"/>
          <w:szCs w:val="20"/>
          <w:lang w:val="fr-FR"/>
        </w:rPr>
      </w:pPr>
      <w:r w:rsidRPr="00A02048">
        <w:rPr>
          <w:rFonts w:eastAsia="Calibri" w:cs="Times New Roman"/>
          <w:bCs/>
          <w:sz w:val="20"/>
          <w:szCs w:val="20"/>
          <w:lang w:val="fr-FR"/>
        </w:rPr>
        <w:t xml:space="preserve">PGES : </w:t>
      </w:r>
      <w:r w:rsidRPr="00A02048">
        <w:rPr>
          <w:rFonts w:eastAsia="Calibri" w:cs="Times New Roman"/>
          <w:bCs/>
          <w:sz w:val="20"/>
          <w:szCs w:val="20"/>
          <w:lang w:val="fr-FR"/>
        </w:rPr>
        <w:tab/>
      </w:r>
      <w:r w:rsidRPr="00A02048">
        <w:rPr>
          <w:rFonts w:eastAsia="Calibri" w:cs="Times New Roman"/>
          <w:bCs/>
          <w:sz w:val="20"/>
          <w:szCs w:val="20"/>
          <w:lang w:val="fr-FR"/>
        </w:rPr>
        <w:tab/>
      </w:r>
      <w:r w:rsidRPr="00A02048">
        <w:rPr>
          <w:rFonts w:cs="Arial"/>
          <w:sz w:val="20"/>
          <w:szCs w:val="20"/>
          <w:lang w:val="fr-FR"/>
        </w:rPr>
        <w:t>Plan de Gestion Environnemental et Social</w:t>
      </w:r>
    </w:p>
    <w:p w14:paraId="1AAA9773"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PIB :</w:t>
      </w:r>
      <w:r w:rsidRPr="00A02048">
        <w:rPr>
          <w:rFonts w:eastAsia="Calibri" w:cs="Times New Roman"/>
          <w:bCs/>
          <w:sz w:val="20"/>
          <w:szCs w:val="20"/>
          <w:lang w:val="fr-FR"/>
        </w:rPr>
        <w:tab/>
      </w:r>
      <w:r w:rsidRPr="00A02048">
        <w:rPr>
          <w:rFonts w:eastAsia="Calibri" w:cs="Times New Roman"/>
          <w:bCs/>
          <w:sz w:val="20"/>
          <w:szCs w:val="20"/>
          <w:lang w:val="fr-FR"/>
        </w:rPr>
        <w:tab/>
        <w:t>Produit Intérieur Brut</w:t>
      </w:r>
    </w:p>
    <w:p w14:paraId="1D80E4B5"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PIRT :</w:t>
      </w:r>
      <w:r w:rsidRPr="00A02048">
        <w:rPr>
          <w:rFonts w:eastAsia="Calibri" w:cs="Times New Roman"/>
          <w:bCs/>
          <w:sz w:val="20"/>
          <w:szCs w:val="20"/>
          <w:lang w:val="fr-FR"/>
        </w:rPr>
        <w:tab/>
      </w:r>
      <w:r w:rsidRPr="00A02048">
        <w:rPr>
          <w:rFonts w:eastAsia="Calibri" w:cs="Times New Roman"/>
          <w:bCs/>
          <w:sz w:val="20"/>
          <w:szCs w:val="20"/>
          <w:lang w:val="fr-FR"/>
        </w:rPr>
        <w:tab/>
        <w:t>Projet d'Inventaire des Ressources Terrestres</w:t>
      </w:r>
    </w:p>
    <w:p w14:paraId="74D2A3A1"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PNA :</w:t>
      </w:r>
      <w:r w:rsidRPr="00A02048">
        <w:rPr>
          <w:rFonts w:eastAsia="Calibri" w:cs="Times New Roman"/>
          <w:bCs/>
          <w:sz w:val="20"/>
          <w:szCs w:val="20"/>
          <w:lang w:val="fr-FR"/>
        </w:rPr>
        <w:tab/>
      </w:r>
      <w:r w:rsidRPr="00A02048">
        <w:rPr>
          <w:rFonts w:eastAsia="Calibri" w:cs="Times New Roman"/>
          <w:bCs/>
          <w:sz w:val="20"/>
          <w:szCs w:val="20"/>
          <w:lang w:val="fr-FR"/>
        </w:rPr>
        <w:tab/>
        <w:t>Programme National d’Adaptation</w:t>
      </w:r>
    </w:p>
    <w:p w14:paraId="4FDC5A50"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PNAE :</w:t>
      </w:r>
      <w:r w:rsidRPr="00A02048">
        <w:rPr>
          <w:rFonts w:eastAsia="Calibri" w:cs="Times New Roman"/>
          <w:bCs/>
          <w:sz w:val="20"/>
          <w:szCs w:val="20"/>
          <w:lang w:val="fr-FR"/>
        </w:rPr>
        <w:tab/>
      </w:r>
      <w:r w:rsidRPr="00A02048">
        <w:rPr>
          <w:rFonts w:eastAsia="Calibri" w:cs="Times New Roman"/>
          <w:bCs/>
          <w:sz w:val="20"/>
          <w:szCs w:val="20"/>
          <w:lang w:val="fr-FR"/>
        </w:rPr>
        <w:tab/>
        <w:t>Plan National d’Action Environnementale</w:t>
      </w:r>
    </w:p>
    <w:p w14:paraId="53818E98"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PNAT :</w:t>
      </w:r>
      <w:r w:rsidRPr="00A02048">
        <w:rPr>
          <w:rFonts w:eastAsia="Calibri" w:cs="Times New Roman"/>
          <w:bCs/>
          <w:sz w:val="20"/>
          <w:szCs w:val="20"/>
          <w:lang w:val="fr-FR"/>
        </w:rPr>
        <w:tab/>
      </w:r>
      <w:r w:rsidRPr="00A02048">
        <w:rPr>
          <w:rFonts w:eastAsia="Calibri" w:cs="Times New Roman"/>
          <w:bCs/>
          <w:sz w:val="20"/>
          <w:szCs w:val="20"/>
          <w:lang w:val="fr-FR"/>
        </w:rPr>
        <w:tab/>
        <w:t>Politique Nationale de l’Aménagement du Territoire</w:t>
      </w:r>
    </w:p>
    <w:p w14:paraId="2C484DC3"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PNCC :</w:t>
      </w:r>
      <w:r w:rsidRPr="00A02048">
        <w:rPr>
          <w:rFonts w:eastAsia="Calibri" w:cs="Times New Roman"/>
          <w:bCs/>
          <w:sz w:val="20"/>
          <w:szCs w:val="20"/>
          <w:lang w:val="fr-FR"/>
        </w:rPr>
        <w:tab/>
      </w:r>
      <w:r w:rsidRPr="00A02048">
        <w:rPr>
          <w:rFonts w:eastAsia="Calibri" w:cs="Times New Roman"/>
          <w:bCs/>
          <w:sz w:val="20"/>
          <w:szCs w:val="20"/>
          <w:lang w:val="fr-FR"/>
        </w:rPr>
        <w:tab/>
        <w:t>Politique Nationale de lutte contre le Changement Climatique</w:t>
      </w:r>
    </w:p>
    <w:p w14:paraId="6CDC04EF"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PNIP :</w:t>
      </w:r>
      <w:r w:rsidRPr="00A02048">
        <w:rPr>
          <w:rFonts w:eastAsia="Calibri" w:cs="Times New Roman"/>
          <w:bCs/>
          <w:sz w:val="20"/>
          <w:szCs w:val="20"/>
          <w:lang w:val="fr-FR"/>
        </w:rPr>
        <w:tab/>
      </w:r>
      <w:r w:rsidRPr="00A02048">
        <w:rPr>
          <w:rFonts w:eastAsia="Calibri" w:cs="Times New Roman"/>
          <w:bCs/>
          <w:sz w:val="20"/>
          <w:szCs w:val="20"/>
          <w:lang w:val="fr-FR"/>
        </w:rPr>
        <w:tab/>
        <w:t>Programme National d’Irrigation de Proximité</w:t>
      </w:r>
    </w:p>
    <w:p w14:paraId="4FB62F85"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PNIP – SA :</w:t>
      </w:r>
      <w:r w:rsidRPr="00A02048">
        <w:rPr>
          <w:rFonts w:eastAsia="Calibri" w:cs="Times New Roman"/>
          <w:bCs/>
          <w:sz w:val="20"/>
          <w:szCs w:val="20"/>
          <w:lang w:val="fr-FR"/>
        </w:rPr>
        <w:tab/>
        <w:t>Plan National d’Investissement Prioritaire du Secteur Agricole</w:t>
      </w:r>
    </w:p>
    <w:p w14:paraId="1B49F455"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lastRenderedPageBreak/>
        <w:t>PNPE :</w:t>
      </w:r>
      <w:r w:rsidRPr="00A02048">
        <w:rPr>
          <w:rFonts w:eastAsia="Calibri" w:cs="Times New Roman"/>
          <w:bCs/>
          <w:sz w:val="20"/>
          <w:szCs w:val="20"/>
          <w:lang w:val="fr-FR"/>
        </w:rPr>
        <w:tab/>
      </w:r>
      <w:r w:rsidRPr="00A02048">
        <w:rPr>
          <w:rFonts w:eastAsia="Calibri" w:cs="Times New Roman"/>
          <w:bCs/>
          <w:sz w:val="20"/>
          <w:szCs w:val="20"/>
          <w:lang w:val="fr-FR"/>
        </w:rPr>
        <w:tab/>
        <w:t>Politique Nationale de la Protection de l’Environnement</w:t>
      </w:r>
    </w:p>
    <w:p w14:paraId="7F2F33BF"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PNUD :</w:t>
      </w:r>
      <w:r w:rsidRPr="00A02048">
        <w:rPr>
          <w:rFonts w:eastAsia="Calibri" w:cs="Times New Roman"/>
          <w:bCs/>
          <w:sz w:val="20"/>
          <w:szCs w:val="20"/>
          <w:lang w:val="fr-FR"/>
        </w:rPr>
        <w:tab/>
      </w:r>
      <w:r w:rsidRPr="00A02048">
        <w:rPr>
          <w:rFonts w:eastAsia="Calibri" w:cs="Times New Roman"/>
          <w:bCs/>
          <w:sz w:val="20"/>
          <w:szCs w:val="20"/>
          <w:lang w:val="fr-FR"/>
        </w:rPr>
        <w:tab/>
        <w:t>Programme des Nations Unies pour le Développement</w:t>
      </w:r>
    </w:p>
    <w:p w14:paraId="50E1228B"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PNUE :</w:t>
      </w:r>
      <w:r w:rsidRPr="00A02048">
        <w:rPr>
          <w:rFonts w:eastAsia="Calibri" w:cs="Times New Roman"/>
          <w:bCs/>
          <w:sz w:val="20"/>
          <w:szCs w:val="20"/>
          <w:lang w:val="fr-FR"/>
        </w:rPr>
        <w:tab/>
      </w:r>
      <w:r w:rsidRPr="00A02048">
        <w:rPr>
          <w:rFonts w:eastAsia="Calibri" w:cs="Times New Roman"/>
          <w:bCs/>
          <w:sz w:val="20"/>
          <w:szCs w:val="20"/>
          <w:lang w:val="fr-FR"/>
        </w:rPr>
        <w:tab/>
        <w:t>Programme des Nations Unies pour l’Environnement</w:t>
      </w:r>
    </w:p>
    <w:p w14:paraId="67F70795" w14:textId="77777777" w:rsidR="008D7226" w:rsidRPr="00A02048" w:rsidRDefault="008D7226" w:rsidP="008D7226">
      <w:pPr>
        <w:spacing w:after="0" w:line="240" w:lineRule="auto"/>
        <w:contextualSpacing/>
        <w:rPr>
          <w:rFonts w:eastAsia="Calibri" w:cs="Times New Roman"/>
          <w:bCs/>
          <w:sz w:val="20"/>
          <w:szCs w:val="20"/>
          <w:lang w:val="fr-FR"/>
        </w:rPr>
      </w:pPr>
      <w:r w:rsidRPr="00A02048">
        <w:rPr>
          <w:rFonts w:eastAsia="Calibri" w:cs="Times New Roman"/>
          <w:bCs/>
          <w:sz w:val="20"/>
          <w:szCs w:val="20"/>
          <w:lang w:val="fr-FR"/>
        </w:rPr>
        <w:t>POLNSAN :</w:t>
      </w:r>
      <w:r w:rsidRPr="00A02048">
        <w:rPr>
          <w:rFonts w:eastAsia="Calibri" w:cs="Times New Roman"/>
          <w:bCs/>
          <w:sz w:val="20"/>
          <w:szCs w:val="20"/>
          <w:lang w:val="fr-FR"/>
        </w:rPr>
        <w:tab/>
        <w:t>Politique Nationale de Sécurité Alimentaire et Nutritionnelle</w:t>
      </w:r>
    </w:p>
    <w:p w14:paraId="0AEADE36" w14:textId="77777777" w:rsidR="00802BA9" w:rsidRPr="00A02048" w:rsidRDefault="00802BA9" w:rsidP="00802BA9">
      <w:pPr>
        <w:pStyle w:val="Pardeliste"/>
        <w:spacing w:after="0" w:line="240" w:lineRule="auto"/>
        <w:ind w:left="0"/>
        <w:rPr>
          <w:rFonts w:eastAsia="Calibri" w:cs="Times New Roman"/>
          <w:bCs/>
          <w:sz w:val="20"/>
          <w:szCs w:val="20"/>
          <w:lang w:val="fr-FR"/>
        </w:rPr>
      </w:pPr>
      <w:r w:rsidRPr="00A02048">
        <w:rPr>
          <w:rFonts w:eastAsia="Calibri" w:cs="Times New Roman"/>
          <w:bCs/>
          <w:sz w:val="20"/>
          <w:szCs w:val="20"/>
          <w:lang w:val="fr-FR"/>
        </w:rPr>
        <w:t xml:space="preserve">PRAPS : </w:t>
      </w:r>
      <w:r w:rsidRPr="00A02048">
        <w:rPr>
          <w:rFonts w:eastAsia="Calibri" w:cs="Times New Roman"/>
          <w:bCs/>
          <w:sz w:val="20"/>
          <w:szCs w:val="20"/>
          <w:lang w:val="fr-FR"/>
        </w:rPr>
        <w:tab/>
      </w:r>
      <w:r w:rsidRPr="00A02048">
        <w:rPr>
          <w:rFonts w:eastAsia="Calibri" w:cs="Times New Roman"/>
          <w:bCs/>
          <w:sz w:val="20"/>
          <w:szCs w:val="20"/>
          <w:lang w:val="fr-FR"/>
        </w:rPr>
        <w:tab/>
        <w:t>Projet Régional d’Appui au Pastoralisme au Sahel</w:t>
      </w:r>
    </w:p>
    <w:p w14:paraId="6F5B737D" w14:textId="77777777" w:rsidR="00802BA9" w:rsidRPr="00A02048" w:rsidRDefault="00802BA9" w:rsidP="00802BA9">
      <w:pPr>
        <w:pStyle w:val="Pardeliste"/>
        <w:spacing w:after="0" w:line="240" w:lineRule="auto"/>
        <w:ind w:left="1410" w:hanging="1410"/>
        <w:rPr>
          <w:rFonts w:eastAsia="Calibri" w:cs="Times New Roman"/>
          <w:bCs/>
          <w:sz w:val="20"/>
          <w:szCs w:val="20"/>
          <w:lang w:val="fr-FR"/>
        </w:rPr>
      </w:pPr>
      <w:r w:rsidRPr="00A02048">
        <w:rPr>
          <w:rFonts w:eastAsia="Calibri" w:cs="Times New Roman"/>
          <w:bCs/>
          <w:sz w:val="20"/>
          <w:szCs w:val="20"/>
          <w:lang w:val="fr-FR"/>
        </w:rPr>
        <w:t>PRED :</w:t>
      </w:r>
      <w:r w:rsidRPr="00A02048">
        <w:rPr>
          <w:rFonts w:eastAsia="Calibri" w:cs="Times New Roman"/>
          <w:bCs/>
          <w:sz w:val="20"/>
          <w:szCs w:val="20"/>
          <w:lang w:val="fr-FR"/>
        </w:rPr>
        <w:tab/>
        <w:t xml:space="preserve">Plan pour la Relance Durable du Mali </w:t>
      </w:r>
    </w:p>
    <w:p w14:paraId="226A7341" w14:textId="77777777" w:rsidR="00802BA9" w:rsidRPr="00A02048" w:rsidRDefault="00802BA9" w:rsidP="00802BA9">
      <w:pPr>
        <w:pStyle w:val="Pardeliste"/>
        <w:spacing w:after="0" w:line="240" w:lineRule="auto"/>
        <w:ind w:left="1410" w:hanging="1410"/>
        <w:rPr>
          <w:rFonts w:eastAsia="Calibri" w:cs="Times New Roman"/>
          <w:bCs/>
          <w:sz w:val="20"/>
          <w:szCs w:val="20"/>
          <w:lang w:val="fr-FR"/>
        </w:rPr>
      </w:pPr>
      <w:r w:rsidRPr="00A02048">
        <w:rPr>
          <w:rFonts w:eastAsia="Calibri" w:cs="Times New Roman"/>
          <w:bCs/>
          <w:sz w:val="20"/>
          <w:szCs w:val="20"/>
          <w:lang w:val="fr-FR"/>
        </w:rPr>
        <w:t>RGPH :</w:t>
      </w:r>
      <w:r w:rsidRPr="00A02048">
        <w:rPr>
          <w:rFonts w:eastAsia="Calibri" w:cs="Times New Roman"/>
          <w:bCs/>
          <w:sz w:val="20"/>
          <w:szCs w:val="20"/>
          <w:lang w:val="fr-FR"/>
        </w:rPr>
        <w:tab/>
        <w:t>Recensement Général de la Population et de l’Habitat</w:t>
      </w:r>
    </w:p>
    <w:p w14:paraId="68D44D5E" w14:textId="77777777" w:rsidR="00802BA9" w:rsidRPr="00C92EFE" w:rsidRDefault="00802BA9" w:rsidP="00802BA9">
      <w:pPr>
        <w:pStyle w:val="Pardeliste"/>
        <w:spacing w:after="0" w:line="240" w:lineRule="auto"/>
        <w:ind w:left="1410" w:hanging="1410"/>
        <w:rPr>
          <w:rFonts w:eastAsia="Calibri" w:cs="Times New Roman"/>
          <w:bCs/>
          <w:sz w:val="20"/>
          <w:szCs w:val="20"/>
          <w:lang w:val="fr-FR"/>
        </w:rPr>
      </w:pPr>
      <w:r w:rsidRPr="00A02048">
        <w:rPr>
          <w:rFonts w:eastAsia="Calibri" w:cs="Times New Roman"/>
          <w:bCs/>
          <w:sz w:val="20"/>
          <w:szCs w:val="20"/>
          <w:lang w:val="fr-FR"/>
        </w:rPr>
        <w:t xml:space="preserve">PAPAM : </w:t>
      </w:r>
      <w:r w:rsidRPr="00A02048">
        <w:rPr>
          <w:rFonts w:eastAsia="Calibri" w:cs="Times New Roman"/>
          <w:bCs/>
          <w:sz w:val="20"/>
          <w:szCs w:val="20"/>
          <w:lang w:val="fr-FR"/>
        </w:rPr>
        <w:tab/>
        <w:t>Projet d’Accroissement de la Productivité Agricole au</w:t>
      </w:r>
      <w:r w:rsidRPr="00C92EFE">
        <w:rPr>
          <w:rFonts w:eastAsia="Calibri" w:cs="Times New Roman"/>
          <w:bCs/>
          <w:sz w:val="20"/>
          <w:szCs w:val="20"/>
          <w:lang w:val="fr-FR"/>
        </w:rPr>
        <w:t xml:space="preserve"> Mali</w:t>
      </w:r>
    </w:p>
    <w:p w14:paraId="33A8F74D" w14:textId="77777777" w:rsidR="00802BA9" w:rsidRPr="00C92EFE" w:rsidRDefault="00802BA9" w:rsidP="00802BA9">
      <w:pPr>
        <w:pStyle w:val="Pardeliste"/>
        <w:spacing w:after="0" w:line="240" w:lineRule="auto"/>
        <w:ind w:left="1410" w:hanging="1410"/>
        <w:rPr>
          <w:rFonts w:eastAsia="Calibri" w:cs="Times New Roman"/>
          <w:bCs/>
          <w:sz w:val="20"/>
          <w:szCs w:val="20"/>
          <w:lang w:val="fr-FR"/>
        </w:rPr>
      </w:pPr>
      <w:r w:rsidRPr="00C92EFE">
        <w:rPr>
          <w:rFonts w:eastAsia="Calibri" w:cs="Times New Roman"/>
          <w:bCs/>
          <w:sz w:val="20"/>
          <w:szCs w:val="20"/>
          <w:lang w:val="fr-FR"/>
        </w:rPr>
        <w:t>PGRNCC :</w:t>
      </w:r>
      <w:r w:rsidRPr="00C92EFE">
        <w:rPr>
          <w:rFonts w:eastAsia="Calibri" w:cs="Times New Roman"/>
          <w:bCs/>
          <w:sz w:val="20"/>
          <w:szCs w:val="20"/>
          <w:lang w:val="fr-FR"/>
        </w:rPr>
        <w:tab/>
        <w:t>Projet de Gestion des Ressources Naturelles et des Changements Climatiques</w:t>
      </w:r>
    </w:p>
    <w:p w14:paraId="74240AE1" w14:textId="77777777" w:rsidR="00802BA9" w:rsidRPr="00C92EFE" w:rsidRDefault="00802BA9" w:rsidP="00802BA9">
      <w:pPr>
        <w:pStyle w:val="Pardeliste"/>
        <w:spacing w:after="0" w:line="240" w:lineRule="auto"/>
        <w:ind w:left="1410" w:hanging="1410"/>
        <w:rPr>
          <w:rFonts w:eastAsia="Calibri" w:cs="Times New Roman"/>
          <w:bCs/>
          <w:sz w:val="20"/>
          <w:szCs w:val="20"/>
          <w:lang w:val="fr-FR"/>
        </w:rPr>
      </w:pPr>
      <w:r w:rsidRPr="00C92EFE">
        <w:rPr>
          <w:rFonts w:eastAsia="Calibri" w:cs="Times New Roman"/>
          <w:bCs/>
          <w:sz w:val="20"/>
          <w:szCs w:val="20"/>
          <w:lang w:val="fr-FR"/>
        </w:rPr>
        <w:t xml:space="preserve">PEPPO : </w:t>
      </w:r>
      <w:r w:rsidRPr="00C92EFE">
        <w:rPr>
          <w:rFonts w:eastAsia="Calibri" w:cs="Times New Roman"/>
          <w:bCs/>
          <w:sz w:val="20"/>
          <w:szCs w:val="20"/>
          <w:lang w:val="fr-FR"/>
        </w:rPr>
        <w:tab/>
        <w:t>Projet d’Elimination et de Prévention des Pesticides Obsolètes</w:t>
      </w:r>
    </w:p>
    <w:p w14:paraId="25C245A3" w14:textId="77777777" w:rsidR="00802BA9" w:rsidRPr="00C92EFE" w:rsidRDefault="00802BA9" w:rsidP="00802BA9">
      <w:pPr>
        <w:pStyle w:val="Pardeliste"/>
        <w:spacing w:after="0" w:line="240" w:lineRule="auto"/>
        <w:ind w:left="1410" w:hanging="1410"/>
        <w:rPr>
          <w:rFonts w:eastAsia="Calibri" w:cs="Times New Roman"/>
          <w:bCs/>
          <w:sz w:val="20"/>
          <w:szCs w:val="20"/>
          <w:lang w:val="fr-FR"/>
        </w:rPr>
      </w:pPr>
      <w:r w:rsidRPr="00C92EFE">
        <w:rPr>
          <w:rFonts w:eastAsia="Calibri" w:cs="Times New Roman"/>
          <w:bCs/>
          <w:sz w:val="20"/>
          <w:szCs w:val="20"/>
          <w:lang w:val="fr-FR"/>
        </w:rPr>
        <w:t xml:space="preserve">PM : </w:t>
      </w:r>
      <w:r w:rsidRPr="00C92EFE">
        <w:rPr>
          <w:rFonts w:eastAsia="Calibri" w:cs="Times New Roman"/>
          <w:bCs/>
          <w:sz w:val="20"/>
          <w:szCs w:val="20"/>
          <w:lang w:val="fr-FR"/>
        </w:rPr>
        <w:tab/>
      </w:r>
      <w:r w:rsidRPr="00C92EFE">
        <w:rPr>
          <w:rFonts w:eastAsia="Calibri" w:cs="Times New Roman"/>
          <w:bCs/>
          <w:sz w:val="20"/>
          <w:szCs w:val="20"/>
          <w:lang w:val="fr-FR"/>
        </w:rPr>
        <w:tab/>
        <w:t>Particulate Mater (PM 10 inférieures à 10 micromètres, PM 2.5 inférieures à 2,5 micromètres)</w:t>
      </w:r>
    </w:p>
    <w:p w14:paraId="28F64746" w14:textId="77777777" w:rsidR="00802BA9" w:rsidRPr="00C92EFE" w:rsidRDefault="00802BA9" w:rsidP="00802BA9">
      <w:pPr>
        <w:pStyle w:val="Pardeliste"/>
        <w:spacing w:after="0" w:line="240" w:lineRule="auto"/>
        <w:ind w:left="0"/>
        <w:rPr>
          <w:rFonts w:eastAsia="Calibri" w:cs="Times New Roman"/>
          <w:bCs/>
          <w:sz w:val="20"/>
          <w:szCs w:val="20"/>
          <w:lang w:val="fr-FR"/>
        </w:rPr>
      </w:pPr>
      <w:r w:rsidRPr="00C92EFE">
        <w:rPr>
          <w:rFonts w:eastAsia="Calibri" w:cs="Times New Roman"/>
          <w:bCs/>
          <w:sz w:val="20"/>
          <w:szCs w:val="20"/>
          <w:lang w:val="fr-FR"/>
        </w:rPr>
        <w:t>PME :</w:t>
      </w:r>
      <w:r w:rsidRPr="00C92EFE">
        <w:rPr>
          <w:rFonts w:eastAsia="Calibri" w:cs="Times New Roman"/>
          <w:bCs/>
          <w:sz w:val="20"/>
          <w:szCs w:val="20"/>
          <w:lang w:val="fr-FR"/>
        </w:rPr>
        <w:tab/>
      </w:r>
      <w:r w:rsidRPr="00C92EFE">
        <w:rPr>
          <w:rFonts w:eastAsia="Calibri" w:cs="Times New Roman"/>
          <w:bCs/>
          <w:sz w:val="20"/>
          <w:szCs w:val="20"/>
          <w:lang w:val="fr-FR"/>
        </w:rPr>
        <w:tab/>
        <w:t>Petites et Moyennes Entreprises</w:t>
      </w:r>
    </w:p>
    <w:p w14:paraId="0B18FFBB" w14:textId="77777777" w:rsidR="00802BA9" w:rsidRPr="00C92EFE" w:rsidRDefault="00802BA9" w:rsidP="00802BA9">
      <w:pPr>
        <w:pStyle w:val="Pardeliste"/>
        <w:spacing w:after="0" w:line="240" w:lineRule="auto"/>
        <w:ind w:left="0"/>
        <w:rPr>
          <w:rFonts w:eastAsia="Calibri" w:cs="Times New Roman"/>
          <w:bCs/>
          <w:sz w:val="20"/>
          <w:szCs w:val="20"/>
          <w:lang w:val="fr-FR"/>
        </w:rPr>
      </w:pPr>
      <w:r w:rsidRPr="00C92EFE">
        <w:rPr>
          <w:rFonts w:eastAsia="Calibri" w:cs="Times New Roman"/>
          <w:bCs/>
          <w:sz w:val="20"/>
          <w:szCs w:val="20"/>
          <w:lang w:val="fr-FR"/>
        </w:rPr>
        <w:t>PPAAO/WAAPP :</w:t>
      </w:r>
      <w:r w:rsidRPr="00C92EFE">
        <w:rPr>
          <w:rFonts w:eastAsia="Calibri" w:cs="Times New Roman"/>
          <w:bCs/>
          <w:sz w:val="20"/>
          <w:szCs w:val="20"/>
          <w:lang w:val="fr-FR"/>
        </w:rPr>
        <w:tab/>
        <w:t>Programme de Productivité Agricole en Afrique de l’Ouest</w:t>
      </w:r>
    </w:p>
    <w:p w14:paraId="59175E5B" w14:textId="77777777" w:rsidR="00802BA9" w:rsidRPr="00C92EFE" w:rsidRDefault="00802BA9" w:rsidP="00802BA9">
      <w:pPr>
        <w:pStyle w:val="Pardeliste"/>
        <w:spacing w:after="0" w:line="240" w:lineRule="auto"/>
        <w:ind w:left="0"/>
        <w:rPr>
          <w:rFonts w:eastAsia="Calibri" w:cs="Times New Roman"/>
          <w:bCs/>
          <w:sz w:val="20"/>
          <w:szCs w:val="20"/>
          <w:lang w:val="fr-FR"/>
        </w:rPr>
      </w:pPr>
      <w:r w:rsidRPr="00C92EFE">
        <w:rPr>
          <w:rFonts w:eastAsia="Calibri" w:cs="Times New Roman"/>
          <w:bCs/>
          <w:sz w:val="20"/>
          <w:szCs w:val="20"/>
          <w:lang w:val="fr-FR"/>
        </w:rPr>
        <w:t>PPP :</w:t>
      </w:r>
      <w:r w:rsidRPr="00C92EFE">
        <w:rPr>
          <w:rFonts w:eastAsia="Calibri" w:cs="Times New Roman"/>
          <w:bCs/>
          <w:sz w:val="20"/>
          <w:szCs w:val="20"/>
          <w:lang w:val="fr-FR"/>
        </w:rPr>
        <w:tab/>
      </w:r>
      <w:r w:rsidRPr="00C92EFE">
        <w:rPr>
          <w:rFonts w:eastAsia="Calibri" w:cs="Times New Roman"/>
          <w:bCs/>
          <w:sz w:val="20"/>
          <w:szCs w:val="20"/>
          <w:lang w:val="fr-FR"/>
        </w:rPr>
        <w:tab/>
        <w:t>Partenariat Public Privé</w:t>
      </w:r>
    </w:p>
    <w:p w14:paraId="708BB674" w14:textId="77777777" w:rsidR="00802BA9" w:rsidRPr="00C92EFE" w:rsidRDefault="00802BA9" w:rsidP="00802BA9">
      <w:pPr>
        <w:pStyle w:val="Pardeliste"/>
        <w:spacing w:after="0" w:line="240" w:lineRule="auto"/>
        <w:ind w:left="0"/>
        <w:rPr>
          <w:rFonts w:eastAsia="Calibri" w:cs="Times New Roman"/>
          <w:bCs/>
          <w:sz w:val="20"/>
          <w:szCs w:val="20"/>
          <w:lang w:val="fr-FR"/>
        </w:rPr>
      </w:pPr>
      <w:r w:rsidRPr="00C92EFE">
        <w:rPr>
          <w:rFonts w:eastAsia="Calibri" w:cs="Times New Roman"/>
          <w:bCs/>
          <w:sz w:val="20"/>
          <w:szCs w:val="20"/>
          <w:lang w:val="fr-FR"/>
        </w:rPr>
        <w:t xml:space="preserve">PROSEA : </w:t>
      </w:r>
      <w:r w:rsidRPr="00C92EFE">
        <w:rPr>
          <w:rFonts w:eastAsia="Calibri" w:cs="Times New Roman"/>
          <w:bCs/>
          <w:sz w:val="20"/>
          <w:szCs w:val="20"/>
          <w:lang w:val="fr-FR"/>
        </w:rPr>
        <w:tab/>
        <w:t>Programme Sectoriel Eau et Assainissement</w:t>
      </w:r>
    </w:p>
    <w:p w14:paraId="3AE36179" w14:textId="77777777" w:rsidR="00802BA9" w:rsidRPr="00C92EFE" w:rsidRDefault="00802BA9" w:rsidP="00802BA9">
      <w:pPr>
        <w:pStyle w:val="Pardeliste"/>
        <w:spacing w:after="0" w:line="240" w:lineRule="auto"/>
        <w:ind w:left="0"/>
        <w:rPr>
          <w:rFonts w:eastAsia="Calibri" w:cs="Times New Roman"/>
          <w:bCs/>
          <w:sz w:val="20"/>
          <w:szCs w:val="20"/>
          <w:lang w:val="fr-FR"/>
        </w:rPr>
      </w:pPr>
      <w:r w:rsidRPr="00C92EFE">
        <w:rPr>
          <w:rFonts w:eastAsia="Calibri" w:cs="Times New Roman"/>
          <w:bCs/>
          <w:sz w:val="20"/>
          <w:szCs w:val="20"/>
          <w:lang w:val="fr-FR"/>
        </w:rPr>
        <w:t xml:space="preserve">PRRE : </w:t>
      </w:r>
      <w:r w:rsidRPr="00C92EFE">
        <w:rPr>
          <w:rFonts w:eastAsia="Calibri" w:cs="Times New Roman"/>
          <w:bCs/>
          <w:sz w:val="20"/>
          <w:szCs w:val="20"/>
          <w:lang w:val="fr-FR"/>
        </w:rPr>
        <w:tab/>
      </w:r>
      <w:r w:rsidRPr="00C92EFE">
        <w:rPr>
          <w:rFonts w:eastAsia="Calibri" w:cs="Times New Roman"/>
          <w:bCs/>
          <w:sz w:val="20"/>
          <w:szCs w:val="20"/>
          <w:lang w:val="fr-FR"/>
        </w:rPr>
        <w:tab/>
        <w:t>Projet de Reconstruction et de Relance Economique</w:t>
      </w:r>
    </w:p>
    <w:p w14:paraId="401F3700" w14:textId="77777777" w:rsidR="00802BA9" w:rsidRPr="00C92EFE" w:rsidRDefault="00802BA9" w:rsidP="00802BA9">
      <w:pPr>
        <w:pStyle w:val="Pardeliste"/>
        <w:spacing w:after="0" w:line="240" w:lineRule="auto"/>
        <w:ind w:left="0"/>
        <w:rPr>
          <w:rFonts w:eastAsia="Calibri" w:cs="Times New Roman"/>
          <w:bCs/>
          <w:sz w:val="20"/>
          <w:szCs w:val="20"/>
          <w:lang w:val="fr-FR"/>
        </w:rPr>
      </w:pPr>
      <w:r w:rsidRPr="00C92EFE">
        <w:rPr>
          <w:rFonts w:eastAsia="Calibri" w:cs="Times New Roman"/>
          <w:bCs/>
          <w:sz w:val="20"/>
          <w:szCs w:val="20"/>
          <w:lang w:val="fr-FR"/>
        </w:rPr>
        <w:t>PTF :</w:t>
      </w:r>
      <w:r w:rsidRPr="00C92EFE">
        <w:rPr>
          <w:rFonts w:eastAsia="Calibri" w:cs="Times New Roman"/>
          <w:bCs/>
          <w:sz w:val="20"/>
          <w:szCs w:val="20"/>
          <w:lang w:val="fr-FR"/>
        </w:rPr>
        <w:tab/>
      </w:r>
      <w:r w:rsidRPr="00C92EFE">
        <w:rPr>
          <w:rFonts w:eastAsia="Calibri" w:cs="Times New Roman"/>
          <w:bCs/>
          <w:sz w:val="20"/>
          <w:szCs w:val="20"/>
          <w:lang w:val="fr-FR"/>
        </w:rPr>
        <w:tab/>
        <w:t>Partenaires Techniques et Financiers</w:t>
      </w:r>
    </w:p>
    <w:p w14:paraId="088DBEE4" w14:textId="77777777" w:rsidR="00802BA9" w:rsidRPr="00C92EFE" w:rsidRDefault="00802BA9" w:rsidP="00802BA9">
      <w:pPr>
        <w:pStyle w:val="Pardeliste"/>
        <w:spacing w:after="0" w:line="240" w:lineRule="auto"/>
        <w:ind w:left="0"/>
        <w:rPr>
          <w:rFonts w:eastAsia="Calibri" w:cs="Times New Roman"/>
          <w:bCs/>
          <w:sz w:val="20"/>
          <w:szCs w:val="20"/>
          <w:lang w:val="fr-FR"/>
        </w:rPr>
      </w:pPr>
      <w:r w:rsidRPr="00C92EFE">
        <w:rPr>
          <w:rFonts w:eastAsia="Calibri" w:cs="Times New Roman"/>
          <w:bCs/>
          <w:sz w:val="20"/>
          <w:szCs w:val="20"/>
          <w:lang w:val="fr-FR"/>
        </w:rPr>
        <w:t>RAC :</w:t>
      </w:r>
      <w:r w:rsidRPr="00C92EFE">
        <w:rPr>
          <w:rFonts w:eastAsia="Calibri" w:cs="Times New Roman"/>
          <w:bCs/>
          <w:sz w:val="20"/>
          <w:szCs w:val="20"/>
          <w:lang w:val="fr-FR"/>
        </w:rPr>
        <w:tab/>
      </w:r>
      <w:r w:rsidRPr="00C92EFE">
        <w:rPr>
          <w:rFonts w:eastAsia="Calibri" w:cs="Times New Roman"/>
          <w:bCs/>
          <w:sz w:val="20"/>
          <w:szCs w:val="20"/>
          <w:lang w:val="fr-FR"/>
        </w:rPr>
        <w:tab/>
        <w:t>Rapport Annuel Conjoint</w:t>
      </w:r>
    </w:p>
    <w:p w14:paraId="40E0D3AC" w14:textId="77777777" w:rsidR="00802BA9" w:rsidRPr="00543EA5" w:rsidRDefault="00802BA9" w:rsidP="00802BA9">
      <w:pPr>
        <w:pStyle w:val="Pardeliste"/>
        <w:spacing w:after="0" w:line="240" w:lineRule="auto"/>
        <w:ind w:left="0"/>
        <w:rPr>
          <w:rFonts w:eastAsia="Calibri" w:cs="Times New Roman"/>
          <w:bCs/>
          <w:sz w:val="20"/>
          <w:szCs w:val="20"/>
          <w:lang w:val="en-GB"/>
        </w:rPr>
      </w:pPr>
      <w:r w:rsidRPr="00543EA5">
        <w:rPr>
          <w:rFonts w:eastAsia="Calibri" w:cs="Times New Roman"/>
          <w:bCs/>
          <w:sz w:val="20"/>
          <w:szCs w:val="20"/>
          <w:lang w:val="en-GB"/>
        </w:rPr>
        <w:t>RN :</w:t>
      </w:r>
      <w:r w:rsidRPr="00543EA5">
        <w:rPr>
          <w:rFonts w:eastAsia="Calibri" w:cs="Times New Roman"/>
          <w:bCs/>
          <w:sz w:val="20"/>
          <w:szCs w:val="20"/>
          <w:lang w:val="en-GB"/>
        </w:rPr>
        <w:tab/>
      </w:r>
      <w:r w:rsidRPr="00543EA5">
        <w:rPr>
          <w:rFonts w:eastAsia="Calibri" w:cs="Times New Roman"/>
          <w:bCs/>
          <w:sz w:val="20"/>
          <w:szCs w:val="20"/>
          <w:lang w:val="en-GB"/>
        </w:rPr>
        <w:tab/>
        <w:t>Ressources Naturelles</w:t>
      </w:r>
    </w:p>
    <w:p w14:paraId="0C2532B9" w14:textId="77777777" w:rsidR="00802BA9" w:rsidRPr="00C92EFE" w:rsidRDefault="00802BA9" w:rsidP="00802BA9">
      <w:pPr>
        <w:pStyle w:val="Pardeliste"/>
        <w:spacing w:after="0" w:line="240" w:lineRule="auto"/>
        <w:ind w:left="0"/>
        <w:rPr>
          <w:rFonts w:eastAsia="Calibri" w:cs="Times New Roman"/>
          <w:bCs/>
          <w:sz w:val="20"/>
          <w:szCs w:val="20"/>
          <w:lang w:val="en-US"/>
        </w:rPr>
      </w:pPr>
      <w:r w:rsidRPr="00C92EFE">
        <w:rPr>
          <w:rFonts w:eastAsia="Calibri" w:cs="Times New Roman"/>
          <w:bCs/>
          <w:sz w:val="20"/>
          <w:szCs w:val="20"/>
          <w:lang w:val="en-US"/>
        </w:rPr>
        <w:t>REDD+ :</w:t>
      </w:r>
      <w:r w:rsidRPr="00C92EFE">
        <w:rPr>
          <w:rFonts w:eastAsia="Calibri" w:cs="Times New Roman"/>
          <w:bCs/>
          <w:sz w:val="20"/>
          <w:szCs w:val="20"/>
          <w:lang w:val="en-US"/>
        </w:rPr>
        <w:tab/>
      </w:r>
      <w:r w:rsidRPr="00C92EFE">
        <w:rPr>
          <w:rFonts w:eastAsia="Calibri" w:cs="Times New Roman"/>
          <w:bCs/>
          <w:sz w:val="20"/>
          <w:szCs w:val="20"/>
          <w:lang w:val="en-US"/>
        </w:rPr>
        <w:tab/>
        <w:t>Reducing Emissions from Deforestation and Forest Degradation</w:t>
      </w:r>
    </w:p>
    <w:p w14:paraId="0A179064" w14:textId="77777777" w:rsidR="00802BA9" w:rsidRPr="00C92EFE" w:rsidRDefault="00802BA9" w:rsidP="00802BA9">
      <w:pPr>
        <w:pStyle w:val="Pardeliste"/>
        <w:spacing w:after="0" w:line="240" w:lineRule="auto"/>
        <w:ind w:left="0"/>
        <w:rPr>
          <w:rFonts w:eastAsia="Calibri" w:cs="Times New Roman"/>
          <w:bCs/>
          <w:sz w:val="20"/>
          <w:szCs w:val="20"/>
          <w:lang w:val="fr-FR"/>
        </w:rPr>
      </w:pPr>
      <w:r w:rsidRPr="00C92EFE">
        <w:rPr>
          <w:rFonts w:eastAsia="Calibri" w:cs="Times New Roman"/>
          <w:bCs/>
          <w:sz w:val="20"/>
          <w:szCs w:val="20"/>
          <w:lang w:val="fr-FR"/>
        </w:rPr>
        <w:t>REDDIN :</w:t>
      </w:r>
      <w:r w:rsidRPr="00C92EFE">
        <w:rPr>
          <w:rFonts w:eastAsia="Calibri" w:cs="Times New Roman"/>
          <w:bCs/>
          <w:sz w:val="20"/>
          <w:szCs w:val="20"/>
          <w:lang w:val="fr-FR"/>
        </w:rPr>
        <w:tab/>
        <w:t>Réhabilitation des Ecosystèmes Dégradées du Delta Intérieur du Niger</w:t>
      </w:r>
      <w:r w:rsidRPr="00C92EFE">
        <w:rPr>
          <w:rFonts w:eastAsia="Calibri" w:cs="Times New Roman"/>
          <w:bCs/>
          <w:sz w:val="20"/>
          <w:szCs w:val="20"/>
          <w:lang w:val="fr-FR"/>
        </w:rPr>
        <w:tab/>
      </w:r>
    </w:p>
    <w:p w14:paraId="450B141C" w14:textId="77777777" w:rsidR="00802BA9" w:rsidRPr="00C92EFE" w:rsidRDefault="00802BA9" w:rsidP="00802BA9">
      <w:pPr>
        <w:pStyle w:val="Pardeliste"/>
        <w:spacing w:after="0" w:line="240" w:lineRule="auto"/>
        <w:ind w:left="0"/>
        <w:rPr>
          <w:rFonts w:eastAsia="Calibri" w:cs="Times New Roman"/>
          <w:bCs/>
          <w:sz w:val="20"/>
          <w:szCs w:val="20"/>
          <w:lang w:val="fr-FR"/>
        </w:rPr>
      </w:pPr>
      <w:r w:rsidRPr="00C92EFE">
        <w:rPr>
          <w:rFonts w:eastAsia="Calibri" w:cs="Times New Roman"/>
          <w:bCs/>
          <w:sz w:val="20"/>
          <w:szCs w:val="20"/>
          <w:lang w:val="fr-FR"/>
        </w:rPr>
        <w:t>RNEE :</w:t>
      </w:r>
      <w:r w:rsidRPr="00C92EFE">
        <w:rPr>
          <w:rFonts w:eastAsia="Calibri" w:cs="Times New Roman"/>
          <w:bCs/>
          <w:sz w:val="20"/>
          <w:szCs w:val="20"/>
          <w:lang w:val="fr-FR"/>
        </w:rPr>
        <w:tab/>
      </w:r>
      <w:r w:rsidRPr="00C92EFE">
        <w:rPr>
          <w:rFonts w:eastAsia="Calibri" w:cs="Times New Roman"/>
          <w:bCs/>
          <w:sz w:val="20"/>
          <w:szCs w:val="20"/>
          <w:lang w:val="fr-FR"/>
        </w:rPr>
        <w:tab/>
        <w:t>Rapport National sur l’Etat de l’Environnement</w:t>
      </w:r>
    </w:p>
    <w:p w14:paraId="550F5076" w14:textId="77777777" w:rsidR="00802BA9" w:rsidRPr="00C92EFE" w:rsidRDefault="00802BA9" w:rsidP="00802BA9">
      <w:pPr>
        <w:pStyle w:val="Pardeliste"/>
        <w:spacing w:after="0" w:line="240" w:lineRule="auto"/>
        <w:ind w:left="0"/>
        <w:rPr>
          <w:rFonts w:cs="Arial"/>
          <w:sz w:val="20"/>
          <w:szCs w:val="20"/>
          <w:lang w:val="fr-FR"/>
        </w:rPr>
      </w:pPr>
      <w:r w:rsidRPr="00C92EFE">
        <w:rPr>
          <w:rFonts w:eastAsia="Calibri" w:cs="Times New Roman"/>
          <w:bCs/>
          <w:sz w:val="20"/>
          <w:szCs w:val="20"/>
          <w:lang w:val="fr-FR"/>
        </w:rPr>
        <w:t xml:space="preserve">RGPH : </w:t>
      </w:r>
      <w:r w:rsidRPr="00C92EFE">
        <w:rPr>
          <w:rFonts w:eastAsia="Calibri" w:cs="Times New Roman"/>
          <w:bCs/>
          <w:sz w:val="20"/>
          <w:szCs w:val="20"/>
          <w:lang w:val="fr-FR"/>
        </w:rPr>
        <w:tab/>
      </w:r>
      <w:r w:rsidRPr="00C92EFE">
        <w:rPr>
          <w:rFonts w:eastAsia="Calibri" w:cs="Times New Roman"/>
          <w:bCs/>
          <w:sz w:val="20"/>
          <w:szCs w:val="20"/>
          <w:lang w:val="fr-FR"/>
        </w:rPr>
        <w:tab/>
        <w:t>R</w:t>
      </w:r>
      <w:r w:rsidRPr="00C92EFE">
        <w:rPr>
          <w:rFonts w:cs="Arial"/>
          <w:sz w:val="20"/>
          <w:szCs w:val="20"/>
          <w:lang w:val="fr-FR"/>
        </w:rPr>
        <w:t>ecensement Général de la Population et de l’habitat</w:t>
      </w:r>
    </w:p>
    <w:p w14:paraId="478E93FC" w14:textId="77777777" w:rsidR="00802BA9" w:rsidRPr="00C92EFE" w:rsidRDefault="00802BA9" w:rsidP="00802BA9">
      <w:pPr>
        <w:pStyle w:val="Pardeliste"/>
        <w:spacing w:after="0" w:line="240" w:lineRule="auto"/>
        <w:ind w:left="0"/>
        <w:rPr>
          <w:rFonts w:cs="Arial"/>
          <w:sz w:val="20"/>
          <w:szCs w:val="20"/>
          <w:lang w:val="fr-FR"/>
        </w:rPr>
      </w:pPr>
      <w:r w:rsidRPr="00C92EFE">
        <w:rPr>
          <w:rFonts w:cs="Arial"/>
          <w:sz w:val="20"/>
          <w:szCs w:val="20"/>
          <w:lang w:val="fr-FR"/>
        </w:rPr>
        <w:t>RSE :</w:t>
      </w:r>
      <w:r w:rsidRPr="00C92EFE">
        <w:rPr>
          <w:rFonts w:cs="Arial"/>
          <w:sz w:val="20"/>
          <w:szCs w:val="20"/>
          <w:lang w:val="fr-FR"/>
        </w:rPr>
        <w:tab/>
      </w:r>
      <w:r w:rsidRPr="00C92EFE">
        <w:rPr>
          <w:rFonts w:cs="Arial"/>
          <w:sz w:val="20"/>
          <w:szCs w:val="20"/>
          <w:lang w:val="fr-FR"/>
        </w:rPr>
        <w:tab/>
        <w:t>Responsabilité Sociale des Entreprises</w:t>
      </w:r>
    </w:p>
    <w:p w14:paraId="43D01193" w14:textId="77777777" w:rsidR="00802BA9" w:rsidRPr="00C92EFE" w:rsidRDefault="00802BA9" w:rsidP="00802BA9">
      <w:pPr>
        <w:pStyle w:val="Pardeliste"/>
        <w:spacing w:after="0" w:line="240" w:lineRule="auto"/>
        <w:ind w:left="0"/>
        <w:rPr>
          <w:rFonts w:cs="Arial"/>
          <w:sz w:val="20"/>
          <w:szCs w:val="20"/>
          <w:lang w:val="fr-FR"/>
        </w:rPr>
      </w:pPr>
      <w:r w:rsidRPr="00C92EFE">
        <w:rPr>
          <w:rFonts w:cs="Arial"/>
          <w:sz w:val="20"/>
          <w:szCs w:val="20"/>
          <w:lang w:val="fr-FR"/>
        </w:rPr>
        <w:t>SAT :</w:t>
      </w:r>
      <w:r w:rsidRPr="00C92EFE">
        <w:rPr>
          <w:rFonts w:cs="Arial"/>
          <w:sz w:val="20"/>
          <w:szCs w:val="20"/>
          <w:lang w:val="fr-FR"/>
        </w:rPr>
        <w:tab/>
      </w:r>
      <w:r w:rsidRPr="00C92EFE">
        <w:rPr>
          <w:rFonts w:cs="Arial"/>
          <w:sz w:val="20"/>
          <w:szCs w:val="20"/>
          <w:lang w:val="fr-FR"/>
        </w:rPr>
        <w:tab/>
        <w:t>Schéma d’Aménagement du Territoire</w:t>
      </w:r>
    </w:p>
    <w:p w14:paraId="203F04E1" w14:textId="77777777" w:rsidR="00432180" w:rsidRPr="00C92EFE" w:rsidRDefault="00432180" w:rsidP="00A70080">
      <w:pPr>
        <w:pStyle w:val="Pardeliste"/>
        <w:tabs>
          <w:tab w:val="left" w:pos="708"/>
          <w:tab w:val="left" w:pos="1416"/>
          <w:tab w:val="left" w:pos="2124"/>
          <w:tab w:val="left" w:pos="7005"/>
        </w:tabs>
        <w:spacing w:after="0" w:line="240" w:lineRule="auto"/>
        <w:ind w:left="0"/>
        <w:rPr>
          <w:rFonts w:cs="Arial"/>
          <w:sz w:val="20"/>
          <w:szCs w:val="20"/>
          <w:lang w:val="fr-FR"/>
        </w:rPr>
      </w:pPr>
      <w:r w:rsidRPr="00C92EFE">
        <w:rPr>
          <w:rFonts w:cs="Arial"/>
          <w:sz w:val="20"/>
          <w:szCs w:val="20"/>
          <w:lang w:val="fr-FR"/>
        </w:rPr>
        <w:t>SC :</w:t>
      </w:r>
      <w:r w:rsidRPr="00C92EFE">
        <w:rPr>
          <w:rFonts w:cs="Arial"/>
          <w:sz w:val="20"/>
          <w:szCs w:val="20"/>
          <w:lang w:val="fr-FR"/>
        </w:rPr>
        <w:tab/>
      </w:r>
      <w:r w:rsidRPr="00C92EFE">
        <w:rPr>
          <w:rFonts w:cs="Arial"/>
          <w:sz w:val="20"/>
          <w:szCs w:val="20"/>
          <w:lang w:val="fr-FR"/>
        </w:rPr>
        <w:tab/>
        <w:t>Société Civile</w:t>
      </w:r>
      <w:r w:rsidR="00A70080">
        <w:rPr>
          <w:rFonts w:cs="Arial"/>
          <w:sz w:val="20"/>
          <w:szCs w:val="20"/>
          <w:lang w:val="fr-FR"/>
        </w:rPr>
        <w:tab/>
      </w:r>
    </w:p>
    <w:p w14:paraId="2CAAE25D" w14:textId="77777777" w:rsidR="00802BA9" w:rsidRPr="00C92EFE" w:rsidRDefault="00802BA9" w:rsidP="00802BA9">
      <w:pPr>
        <w:pStyle w:val="Pardeliste"/>
        <w:spacing w:after="0" w:line="240" w:lineRule="auto"/>
        <w:ind w:left="0"/>
        <w:rPr>
          <w:rFonts w:cs="Arial"/>
          <w:sz w:val="20"/>
          <w:szCs w:val="20"/>
          <w:lang w:val="fr-FR"/>
        </w:rPr>
      </w:pPr>
      <w:r w:rsidRPr="00C92EFE">
        <w:rPr>
          <w:rFonts w:cs="Arial"/>
          <w:sz w:val="20"/>
          <w:szCs w:val="20"/>
          <w:lang w:val="fr-FR"/>
        </w:rPr>
        <w:t xml:space="preserve">SCAP : </w:t>
      </w:r>
      <w:r w:rsidRPr="00C92EFE">
        <w:rPr>
          <w:rFonts w:cs="Arial"/>
          <w:sz w:val="20"/>
          <w:szCs w:val="20"/>
          <w:lang w:val="fr-FR"/>
        </w:rPr>
        <w:tab/>
      </w:r>
      <w:r w:rsidRPr="00C92EFE">
        <w:rPr>
          <w:rFonts w:cs="Arial"/>
          <w:sz w:val="20"/>
          <w:szCs w:val="20"/>
          <w:lang w:val="fr-FR"/>
        </w:rPr>
        <w:tab/>
        <w:t>Stratégie Commune d’Assistance Pays</w:t>
      </w:r>
    </w:p>
    <w:p w14:paraId="32BACD39" w14:textId="77777777" w:rsidR="00802BA9" w:rsidRPr="00C92EFE" w:rsidRDefault="00802BA9" w:rsidP="00802BA9">
      <w:pPr>
        <w:pStyle w:val="Pardeliste"/>
        <w:spacing w:after="0" w:line="240" w:lineRule="auto"/>
        <w:ind w:left="0"/>
        <w:rPr>
          <w:rFonts w:cs="Arial"/>
          <w:sz w:val="20"/>
          <w:szCs w:val="20"/>
          <w:lang w:val="fr-FR"/>
        </w:rPr>
      </w:pPr>
      <w:r w:rsidRPr="00C92EFE">
        <w:rPr>
          <w:rFonts w:cs="Arial"/>
          <w:sz w:val="20"/>
          <w:szCs w:val="20"/>
          <w:lang w:val="fr-FR"/>
        </w:rPr>
        <w:t>SDA :</w:t>
      </w:r>
      <w:r w:rsidRPr="00C92EFE">
        <w:rPr>
          <w:rFonts w:cs="Arial"/>
          <w:sz w:val="20"/>
          <w:szCs w:val="20"/>
          <w:lang w:val="fr-FR"/>
        </w:rPr>
        <w:tab/>
      </w:r>
      <w:r w:rsidRPr="00C92EFE">
        <w:rPr>
          <w:rFonts w:cs="Arial"/>
          <w:sz w:val="20"/>
          <w:szCs w:val="20"/>
          <w:lang w:val="fr-FR"/>
        </w:rPr>
        <w:tab/>
        <w:t>Schéma Directeur d’Approvisionnement</w:t>
      </w:r>
    </w:p>
    <w:p w14:paraId="435FC977" w14:textId="77777777" w:rsidR="00802BA9" w:rsidRPr="00C92EFE" w:rsidRDefault="00802BA9" w:rsidP="00802BA9">
      <w:pPr>
        <w:pStyle w:val="Pardeliste"/>
        <w:spacing w:after="0" w:line="240" w:lineRule="auto"/>
        <w:ind w:left="0"/>
        <w:rPr>
          <w:rFonts w:cs="Arial"/>
          <w:sz w:val="20"/>
          <w:szCs w:val="20"/>
          <w:lang w:val="fr-FR"/>
        </w:rPr>
      </w:pPr>
      <w:r w:rsidRPr="00C92EFE">
        <w:rPr>
          <w:rFonts w:cs="Arial"/>
          <w:sz w:val="20"/>
          <w:szCs w:val="20"/>
          <w:lang w:val="fr-FR"/>
        </w:rPr>
        <w:t>SDU :</w:t>
      </w:r>
      <w:r w:rsidRPr="00C92EFE">
        <w:rPr>
          <w:rFonts w:cs="Arial"/>
          <w:sz w:val="20"/>
          <w:szCs w:val="20"/>
          <w:lang w:val="fr-FR"/>
        </w:rPr>
        <w:tab/>
      </w:r>
      <w:r w:rsidRPr="00C92EFE">
        <w:rPr>
          <w:rFonts w:cs="Arial"/>
          <w:sz w:val="20"/>
          <w:szCs w:val="20"/>
          <w:lang w:val="fr-FR"/>
        </w:rPr>
        <w:tab/>
        <w:t>Schéma de Développement Urbain</w:t>
      </w:r>
    </w:p>
    <w:p w14:paraId="4CC0B831" w14:textId="77777777" w:rsidR="00802BA9" w:rsidRPr="00C92EFE" w:rsidRDefault="00802BA9" w:rsidP="00802BA9">
      <w:pPr>
        <w:pStyle w:val="Pardeliste"/>
        <w:spacing w:after="0" w:line="240" w:lineRule="auto"/>
        <w:ind w:left="0"/>
        <w:rPr>
          <w:rFonts w:cs="Arial"/>
          <w:sz w:val="20"/>
          <w:szCs w:val="20"/>
          <w:lang w:val="fr-FR"/>
        </w:rPr>
      </w:pPr>
      <w:r w:rsidRPr="00C92EFE">
        <w:rPr>
          <w:rFonts w:cs="Arial"/>
          <w:sz w:val="20"/>
          <w:szCs w:val="20"/>
          <w:lang w:val="fr-FR"/>
        </w:rPr>
        <w:t>SECO/ONG :</w:t>
      </w:r>
      <w:r w:rsidRPr="00C92EFE">
        <w:rPr>
          <w:rFonts w:cs="Arial"/>
          <w:sz w:val="20"/>
          <w:szCs w:val="20"/>
          <w:lang w:val="fr-FR"/>
        </w:rPr>
        <w:tab/>
        <w:t>Secrétariat de Concertation des ONG nationales</w:t>
      </w:r>
    </w:p>
    <w:p w14:paraId="1867011A" w14:textId="77777777" w:rsidR="00802BA9" w:rsidRPr="00C92EFE" w:rsidRDefault="00802BA9" w:rsidP="00802BA9">
      <w:pPr>
        <w:pStyle w:val="Pardeliste"/>
        <w:spacing w:after="0" w:line="240" w:lineRule="auto"/>
        <w:ind w:left="0"/>
        <w:rPr>
          <w:rFonts w:cs="Arial"/>
          <w:sz w:val="20"/>
          <w:szCs w:val="20"/>
          <w:lang w:val="fr-FR"/>
        </w:rPr>
      </w:pPr>
      <w:r w:rsidRPr="00C92EFE">
        <w:rPr>
          <w:rFonts w:cs="Arial"/>
          <w:sz w:val="20"/>
          <w:szCs w:val="20"/>
          <w:lang w:val="fr-FR"/>
        </w:rPr>
        <w:t>SED :</w:t>
      </w:r>
      <w:r w:rsidRPr="00C92EFE">
        <w:rPr>
          <w:rFonts w:cs="Arial"/>
          <w:sz w:val="20"/>
          <w:szCs w:val="20"/>
          <w:lang w:val="fr-FR"/>
        </w:rPr>
        <w:tab/>
      </w:r>
      <w:r w:rsidRPr="00C92EFE">
        <w:rPr>
          <w:rFonts w:cs="Arial"/>
          <w:sz w:val="20"/>
          <w:szCs w:val="20"/>
          <w:lang w:val="fr-FR"/>
        </w:rPr>
        <w:tab/>
        <w:t>Stratégie Energie Domestique</w:t>
      </w:r>
    </w:p>
    <w:p w14:paraId="42A1F8FE" w14:textId="77777777" w:rsidR="00802BA9" w:rsidRPr="00C92EFE" w:rsidRDefault="00802BA9" w:rsidP="00802BA9">
      <w:pPr>
        <w:pStyle w:val="Pardeliste"/>
        <w:spacing w:after="0" w:line="240" w:lineRule="auto"/>
        <w:ind w:left="0"/>
        <w:rPr>
          <w:rFonts w:cs="Arial"/>
          <w:sz w:val="20"/>
          <w:szCs w:val="20"/>
          <w:lang w:val="fr-FR"/>
        </w:rPr>
      </w:pPr>
      <w:r w:rsidRPr="00C92EFE">
        <w:rPr>
          <w:rFonts w:cs="Arial"/>
          <w:sz w:val="20"/>
          <w:szCs w:val="20"/>
          <w:lang w:val="fr-FR"/>
        </w:rPr>
        <w:t>SIDA :</w:t>
      </w:r>
      <w:r w:rsidRPr="00C92EFE">
        <w:rPr>
          <w:rFonts w:cs="Arial"/>
          <w:sz w:val="20"/>
          <w:szCs w:val="20"/>
          <w:lang w:val="fr-FR"/>
        </w:rPr>
        <w:tab/>
      </w:r>
      <w:r w:rsidRPr="00C92EFE">
        <w:rPr>
          <w:rFonts w:cs="Arial"/>
          <w:sz w:val="20"/>
          <w:szCs w:val="20"/>
          <w:lang w:val="fr-FR"/>
        </w:rPr>
        <w:tab/>
        <w:t>Swedish International Development Cooperation Agency</w:t>
      </w:r>
    </w:p>
    <w:p w14:paraId="5ADA0B1A" w14:textId="77777777" w:rsidR="00802BA9" w:rsidRPr="00C92EFE" w:rsidRDefault="00802BA9" w:rsidP="00802BA9">
      <w:pPr>
        <w:pStyle w:val="Pardeliste"/>
        <w:spacing w:after="0" w:line="240" w:lineRule="auto"/>
        <w:ind w:left="0"/>
        <w:rPr>
          <w:rFonts w:cs="Arial"/>
          <w:sz w:val="20"/>
          <w:szCs w:val="20"/>
          <w:lang w:val="fr-FR"/>
        </w:rPr>
      </w:pPr>
      <w:r w:rsidRPr="00C92EFE">
        <w:rPr>
          <w:rFonts w:cs="Arial"/>
          <w:sz w:val="20"/>
          <w:szCs w:val="20"/>
          <w:lang w:val="fr-FR"/>
        </w:rPr>
        <w:t>SIFOR :</w:t>
      </w:r>
      <w:r w:rsidRPr="00C92EFE">
        <w:rPr>
          <w:rFonts w:cs="Arial"/>
          <w:sz w:val="20"/>
          <w:szCs w:val="20"/>
          <w:lang w:val="fr-FR"/>
        </w:rPr>
        <w:tab/>
      </w:r>
      <w:r w:rsidRPr="00C92EFE">
        <w:rPr>
          <w:rFonts w:cs="Arial"/>
          <w:sz w:val="20"/>
          <w:szCs w:val="20"/>
          <w:lang w:val="fr-FR"/>
        </w:rPr>
        <w:tab/>
        <w:t>Système d’Information Forestière</w:t>
      </w:r>
    </w:p>
    <w:p w14:paraId="79E8D4AF" w14:textId="77777777" w:rsidR="00802BA9" w:rsidRPr="00C92EFE" w:rsidRDefault="00802BA9" w:rsidP="00802BA9">
      <w:pPr>
        <w:pStyle w:val="Pardeliste"/>
        <w:spacing w:after="0" w:line="240" w:lineRule="auto"/>
        <w:ind w:left="0"/>
        <w:rPr>
          <w:rFonts w:cs="Arial"/>
          <w:sz w:val="20"/>
          <w:szCs w:val="20"/>
          <w:lang w:val="fr-FR"/>
        </w:rPr>
      </w:pPr>
      <w:r w:rsidRPr="00C92EFE">
        <w:rPr>
          <w:rFonts w:cs="Arial"/>
          <w:sz w:val="20"/>
          <w:szCs w:val="20"/>
          <w:lang w:val="fr-FR"/>
        </w:rPr>
        <w:t>SIG :</w:t>
      </w:r>
      <w:r w:rsidRPr="00C92EFE">
        <w:rPr>
          <w:rFonts w:cs="Arial"/>
          <w:sz w:val="20"/>
          <w:szCs w:val="20"/>
          <w:lang w:val="fr-FR"/>
        </w:rPr>
        <w:tab/>
      </w:r>
      <w:r w:rsidRPr="00C92EFE">
        <w:rPr>
          <w:rFonts w:cs="Arial"/>
          <w:sz w:val="20"/>
          <w:szCs w:val="20"/>
          <w:lang w:val="fr-FR"/>
        </w:rPr>
        <w:tab/>
        <w:t>Système d’Information Géographique</w:t>
      </w:r>
    </w:p>
    <w:p w14:paraId="74344185" w14:textId="77777777" w:rsidR="00802BA9" w:rsidRPr="00C92EFE" w:rsidRDefault="00802BA9" w:rsidP="00802BA9">
      <w:pPr>
        <w:pStyle w:val="Pardeliste"/>
        <w:spacing w:after="0" w:line="240" w:lineRule="auto"/>
        <w:ind w:left="0"/>
        <w:rPr>
          <w:rFonts w:cs="Arial"/>
          <w:sz w:val="20"/>
          <w:szCs w:val="20"/>
          <w:lang w:val="fr-FR"/>
        </w:rPr>
      </w:pPr>
      <w:r w:rsidRPr="00C92EFE">
        <w:rPr>
          <w:rFonts w:cs="Arial"/>
          <w:sz w:val="20"/>
          <w:szCs w:val="20"/>
          <w:lang w:val="fr-FR"/>
        </w:rPr>
        <w:t>SISE :</w:t>
      </w:r>
      <w:r w:rsidRPr="00C92EFE">
        <w:rPr>
          <w:rFonts w:cs="Arial"/>
          <w:sz w:val="20"/>
          <w:szCs w:val="20"/>
          <w:lang w:val="fr-FR"/>
        </w:rPr>
        <w:tab/>
      </w:r>
      <w:r w:rsidRPr="00C92EFE">
        <w:rPr>
          <w:rFonts w:cs="Arial"/>
          <w:sz w:val="20"/>
          <w:szCs w:val="20"/>
          <w:lang w:val="fr-FR"/>
        </w:rPr>
        <w:tab/>
        <w:t>Système d’Informations des Statistiques Environnementales</w:t>
      </w:r>
    </w:p>
    <w:p w14:paraId="13C28694" w14:textId="77777777" w:rsidR="00802BA9" w:rsidRPr="00C92EFE" w:rsidRDefault="00802BA9" w:rsidP="00802BA9">
      <w:pPr>
        <w:pStyle w:val="Pardeliste"/>
        <w:spacing w:after="0" w:line="240" w:lineRule="auto"/>
        <w:ind w:left="0"/>
        <w:rPr>
          <w:rFonts w:cs="Arial"/>
          <w:sz w:val="20"/>
          <w:szCs w:val="20"/>
          <w:lang w:val="fr-FR"/>
        </w:rPr>
      </w:pPr>
      <w:r w:rsidRPr="00C92EFE">
        <w:rPr>
          <w:rFonts w:cs="Arial"/>
          <w:sz w:val="20"/>
          <w:szCs w:val="20"/>
          <w:lang w:val="fr-FR"/>
        </w:rPr>
        <w:t>SLAT :</w:t>
      </w:r>
      <w:r w:rsidRPr="00C92EFE">
        <w:rPr>
          <w:rFonts w:cs="Arial"/>
          <w:sz w:val="20"/>
          <w:szCs w:val="20"/>
          <w:lang w:val="fr-FR"/>
        </w:rPr>
        <w:tab/>
      </w:r>
      <w:r w:rsidRPr="00C92EFE">
        <w:rPr>
          <w:rFonts w:cs="Arial"/>
          <w:sz w:val="20"/>
          <w:szCs w:val="20"/>
          <w:lang w:val="fr-FR"/>
        </w:rPr>
        <w:tab/>
        <w:t>Schéma Local d’Aménagement du Territoire</w:t>
      </w:r>
    </w:p>
    <w:p w14:paraId="28B1879A" w14:textId="77777777" w:rsidR="00995A21" w:rsidRPr="00C92EFE" w:rsidRDefault="00995A21" w:rsidP="00802BA9">
      <w:pPr>
        <w:pStyle w:val="Pardeliste"/>
        <w:spacing w:after="0" w:line="240" w:lineRule="auto"/>
        <w:ind w:left="0"/>
        <w:rPr>
          <w:rFonts w:cs="Arial"/>
          <w:sz w:val="20"/>
          <w:szCs w:val="20"/>
          <w:lang w:val="en-US"/>
        </w:rPr>
      </w:pPr>
      <w:r w:rsidRPr="00C92EFE">
        <w:rPr>
          <w:rFonts w:cs="Arial"/>
          <w:sz w:val="20"/>
          <w:szCs w:val="20"/>
          <w:lang w:val="en-US"/>
        </w:rPr>
        <w:t xml:space="preserve">SMART : </w:t>
      </w:r>
      <w:r w:rsidRPr="00C92EFE">
        <w:rPr>
          <w:rFonts w:cs="Arial"/>
          <w:sz w:val="20"/>
          <w:szCs w:val="20"/>
          <w:lang w:val="en-US"/>
        </w:rPr>
        <w:tab/>
        <w:t>Standardized Monitoring and Assessment of Relief and Transition</w:t>
      </w:r>
    </w:p>
    <w:p w14:paraId="3DABDC63" w14:textId="77777777" w:rsidR="00802BA9" w:rsidRPr="00C80A26" w:rsidRDefault="00802BA9" w:rsidP="00802BA9">
      <w:pPr>
        <w:pStyle w:val="Pardeliste"/>
        <w:spacing w:after="0" w:line="240" w:lineRule="auto"/>
        <w:ind w:left="0"/>
        <w:rPr>
          <w:rFonts w:cs="Arial"/>
          <w:sz w:val="20"/>
          <w:szCs w:val="20"/>
          <w:lang w:val="fr-FR"/>
        </w:rPr>
      </w:pPr>
      <w:r w:rsidRPr="00C92EFE">
        <w:rPr>
          <w:rFonts w:cs="Arial"/>
          <w:sz w:val="20"/>
          <w:szCs w:val="20"/>
          <w:lang w:val="fr-FR"/>
        </w:rPr>
        <w:t>SNDB :</w:t>
      </w:r>
      <w:r w:rsidRPr="00C92EFE">
        <w:rPr>
          <w:rFonts w:cs="Arial"/>
          <w:sz w:val="20"/>
          <w:szCs w:val="20"/>
          <w:lang w:val="fr-FR"/>
        </w:rPr>
        <w:tab/>
      </w:r>
      <w:r w:rsidRPr="00C92EFE">
        <w:rPr>
          <w:rFonts w:cs="Arial"/>
          <w:sz w:val="20"/>
          <w:szCs w:val="20"/>
          <w:lang w:val="fr-FR"/>
        </w:rPr>
        <w:tab/>
        <w:t>Stratégie Nationale sur la Diversité Biologique</w:t>
      </w:r>
    </w:p>
    <w:p w14:paraId="053299B6" w14:textId="77777777" w:rsidR="00802BA9" w:rsidRPr="00C80A26" w:rsidRDefault="00802BA9" w:rsidP="00802BA9">
      <w:pPr>
        <w:pStyle w:val="Pardeliste"/>
        <w:spacing w:after="0" w:line="240" w:lineRule="auto"/>
        <w:ind w:left="0"/>
        <w:rPr>
          <w:rFonts w:cs="Arial"/>
          <w:sz w:val="20"/>
          <w:szCs w:val="20"/>
          <w:lang w:val="fr-FR"/>
        </w:rPr>
      </w:pPr>
      <w:r w:rsidRPr="00C80A26">
        <w:rPr>
          <w:rFonts w:cs="Arial"/>
          <w:sz w:val="20"/>
          <w:szCs w:val="20"/>
          <w:lang w:val="fr-FR"/>
        </w:rPr>
        <w:t>SNDD :</w:t>
      </w:r>
      <w:r w:rsidRPr="00C80A26">
        <w:rPr>
          <w:rFonts w:cs="Arial"/>
          <w:sz w:val="20"/>
          <w:szCs w:val="20"/>
          <w:lang w:val="fr-FR"/>
        </w:rPr>
        <w:tab/>
      </w:r>
      <w:r w:rsidRPr="00C80A26">
        <w:rPr>
          <w:rFonts w:cs="Arial"/>
          <w:sz w:val="20"/>
          <w:szCs w:val="20"/>
          <w:lang w:val="fr-FR"/>
        </w:rPr>
        <w:tab/>
        <w:t>Stratégie Nationale de Développement Durable</w:t>
      </w:r>
    </w:p>
    <w:p w14:paraId="013F8322" w14:textId="77777777" w:rsidR="00802BA9" w:rsidRPr="00C80A26" w:rsidRDefault="00802BA9" w:rsidP="00802BA9">
      <w:pPr>
        <w:pStyle w:val="Pardeliste"/>
        <w:spacing w:after="0" w:line="240" w:lineRule="auto"/>
        <w:ind w:left="0"/>
        <w:rPr>
          <w:rFonts w:cs="Arial"/>
          <w:sz w:val="20"/>
          <w:szCs w:val="20"/>
          <w:lang w:val="fr-FR"/>
        </w:rPr>
      </w:pPr>
      <w:r w:rsidRPr="00C80A26">
        <w:rPr>
          <w:rFonts w:cs="Arial"/>
          <w:sz w:val="20"/>
          <w:szCs w:val="20"/>
          <w:lang w:val="fr-FR"/>
        </w:rPr>
        <w:t>SNGIE :</w:t>
      </w:r>
      <w:r w:rsidRPr="00C80A26">
        <w:rPr>
          <w:rFonts w:cs="Arial"/>
          <w:sz w:val="20"/>
          <w:szCs w:val="20"/>
          <w:lang w:val="fr-FR"/>
        </w:rPr>
        <w:tab/>
      </w:r>
      <w:r w:rsidRPr="00C80A26">
        <w:rPr>
          <w:rFonts w:cs="Arial"/>
          <w:sz w:val="20"/>
          <w:szCs w:val="20"/>
          <w:lang w:val="fr-FR"/>
        </w:rPr>
        <w:tab/>
        <w:t>Système National de Gestion de l’Information Environnementale</w:t>
      </w:r>
    </w:p>
    <w:p w14:paraId="7C9662AD" w14:textId="77777777" w:rsidR="00802BA9" w:rsidRPr="00C80A26" w:rsidRDefault="00802BA9" w:rsidP="00802BA9">
      <w:pPr>
        <w:pStyle w:val="Pardeliste"/>
        <w:spacing w:after="0" w:line="240" w:lineRule="auto"/>
        <w:ind w:left="0"/>
        <w:rPr>
          <w:rFonts w:cs="Arial"/>
          <w:sz w:val="20"/>
          <w:szCs w:val="20"/>
          <w:lang w:val="fr-FR"/>
        </w:rPr>
      </w:pPr>
      <w:r w:rsidRPr="00C80A26">
        <w:rPr>
          <w:rFonts w:cs="Arial"/>
          <w:sz w:val="20"/>
          <w:szCs w:val="20"/>
          <w:lang w:val="fr-FR"/>
        </w:rPr>
        <w:t>SNV :</w:t>
      </w:r>
      <w:r w:rsidRPr="00C80A26">
        <w:rPr>
          <w:rFonts w:cs="Arial"/>
          <w:sz w:val="20"/>
          <w:szCs w:val="20"/>
          <w:lang w:val="fr-FR"/>
        </w:rPr>
        <w:tab/>
      </w:r>
      <w:r w:rsidRPr="00C80A26">
        <w:rPr>
          <w:rFonts w:cs="Arial"/>
          <w:sz w:val="20"/>
          <w:szCs w:val="20"/>
          <w:lang w:val="fr-FR"/>
        </w:rPr>
        <w:tab/>
        <w:t>Service Néerlandais des Volontaires (Coopération Technique Néerlandaise)</w:t>
      </w:r>
    </w:p>
    <w:p w14:paraId="305470F3" w14:textId="77777777" w:rsidR="00802BA9" w:rsidRPr="00C80A26" w:rsidRDefault="00802BA9" w:rsidP="00802BA9">
      <w:pPr>
        <w:pStyle w:val="Pardeliste"/>
        <w:spacing w:after="0" w:line="240" w:lineRule="auto"/>
        <w:ind w:left="0"/>
        <w:rPr>
          <w:rFonts w:cs="Arial"/>
          <w:sz w:val="20"/>
          <w:szCs w:val="20"/>
          <w:lang w:val="fr-FR"/>
        </w:rPr>
      </w:pPr>
      <w:r w:rsidRPr="00C80A26">
        <w:rPr>
          <w:rFonts w:cs="Arial"/>
          <w:sz w:val="20"/>
          <w:szCs w:val="20"/>
          <w:lang w:val="fr-FR"/>
        </w:rPr>
        <w:t xml:space="preserve">SOMAGEP : </w:t>
      </w:r>
      <w:r w:rsidRPr="00C80A26">
        <w:rPr>
          <w:rFonts w:cs="Arial"/>
          <w:sz w:val="20"/>
          <w:szCs w:val="20"/>
          <w:lang w:val="fr-FR"/>
        </w:rPr>
        <w:tab/>
        <w:t>Société Malienne de Gestion de l’Eau Potable</w:t>
      </w:r>
    </w:p>
    <w:p w14:paraId="327DE116" w14:textId="77777777" w:rsidR="00802BA9" w:rsidRPr="00C80A26" w:rsidRDefault="00802BA9" w:rsidP="00802BA9">
      <w:pPr>
        <w:pStyle w:val="Pardeliste"/>
        <w:spacing w:after="0" w:line="240" w:lineRule="auto"/>
        <w:ind w:left="0"/>
        <w:rPr>
          <w:rFonts w:cs="Arial"/>
          <w:sz w:val="20"/>
          <w:szCs w:val="20"/>
          <w:lang w:val="fr-FR"/>
        </w:rPr>
      </w:pPr>
      <w:r w:rsidRPr="00C80A26">
        <w:rPr>
          <w:rFonts w:cs="Arial"/>
          <w:sz w:val="20"/>
          <w:szCs w:val="20"/>
          <w:lang w:val="fr-FR"/>
        </w:rPr>
        <w:t xml:space="preserve">SOMAPEP : </w:t>
      </w:r>
      <w:r w:rsidRPr="00C80A26">
        <w:rPr>
          <w:rFonts w:cs="Arial"/>
          <w:sz w:val="20"/>
          <w:szCs w:val="20"/>
          <w:lang w:val="fr-FR"/>
        </w:rPr>
        <w:tab/>
        <w:t>Société Malienne de Patrimoine de l’Eau Potable</w:t>
      </w:r>
    </w:p>
    <w:p w14:paraId="2230D56C" w14:textId="77777777" w:rsidR="00802BA9" w:rsidRPr="00C80A26" w:rsidRDefault="00802BA9" w:rsidP="00802BA9">
      <w:pPr>
        <w:pStyle w:val="Pardeliste"/>
        <w:spacing w:after="0" w:line="240" w:lineRule="auto"/>
        <w:ind w:left="1410" w:hanging="1410"/>
        <w:rPr>
          <w:rFonts w:cs="Arial"/>
          <w:sz w:val="20"/>
          <w:szCs w:val="20"/>
          <w:lang w:val="fr-FR"/>
        </w:rPr>
      </w:pPr>
      <w:r w:rsidRPr="00C80A26">
        <w:rPr>
          <w:rFonts w:cs="Arial"/>
          <w:sz w:val="20"/>
          <w:szCs w:val="20"/>
          <w:lang w:val="fr-FR"/>
        </w:rPr>
        <w:t>SRAT :</w:t>
      </w:r>
      <w:r w:rsidRPr="00C80A26">
        <w:rPr>
          <w:rFonts w:cs="Arial"/>
          <w:sz w:val="20"/>
          <w:szCs w:val="20"/>
          <w:lang w:val="fr-FR"/>
        </w:rPr>
        <w:tab/>
        <w:t>Schéma Régional d’Aménagement du Territoire</w:t>
      </w:r>
    </w:p>
    <w:p w14:paraId="46784E33" w14:textId="77777777" w:rsidR="00802BA9" w:rsidRPr="00C80A26" w:rsidRDefault="00802BA9" w:rsidP="00802BA9">
      <w:pPr>
        <w:pStyle w:val="Pardeliste"/>
        <w:spacing w:after="0" w:line="240" w:lineRule="auto"/>
        <w:ind w:left="1410" w:hanging="1410"/>
        <w:rPr>
          <w:rFonts w:cs="ArialMT"/>
          <w:sz w:val="20"/>
          <w:szCs w:val="20"/>
          <w:lang w:val="fr-FR"/>
        </w:rPr>
      </w:pPr>
      <w:r w:rsidRPr="00C80A26">
        <w:rPr>
          <w:rFonts w:cs="Arial"/>
          <w:sz w:val="20"/>
          <w:szCs w:val="20"/>
          <w:lang w:val="fr-FR"/>
        </w:rPr>
        <w:t xml:space="preserve">SREP : </w:t>
      </w:r>
      <w:r w:rsidRPr="00C80A26">
        <w:rPr>
          <w:rFonts w:cs="Arial"/>
          <w:sz w:val="20"/>
          <w:szCs w:val="20"/>
          <w:lang w:val="fr-FR"/>
        </w:rPr>
        <w:tab/>
      </w:r>
      <w:r w:rsidRPr="00C80A26">
        <w:rPr>
          <w:rFonts w:cs="ArialMT"/>
          <w:sz w:val="20"/>
          <w:szCs w:val="20"/>
          <w:lang w:val="fr-FR"/>
        </w:rPr>
        <w:t>Scaling up Renewable Energy Program in Low Income Countries / Programme de Valorisation à Grande Echelle des Energies Renouvelables</w:t>
      </w:r>
    </w:p>
    <w:p w14:paraId="105CDCB0" w14:textId="77777777" w:rsidR="00802BA9" w:rsidRPr="00C80A26" w:rsidRDefault="00802BA9" w:rsidP="00802BA9">
      <w:pPr>
        <w:pStyle w:val="Pardeliste"/>
        <w:spacing w:after="0" w:line="240" w:lineRule="auto"/>
        <w:ind w:left="1410" w:hanging="1410"/>
        <w:rPr>
          <w:rFonts w:cs="Arial"/>
          <w:sz w:val="20"/>
          <w:szCs w:val="20"/>
          <w:lang w:val="fr-FR"/>
        </w:rPr>
      </w:pPr>
      <w:r w:rsidRPr="00C80A26">
        <w:rPr>
          <w:rFonts w:cs="Arial"/>
          <w:sz w:val="20"/>
          <w:szCs w:val="20"/>
          <w:lang w:val="fr-FR"/>
        </w:rPr>
        <w:t>STP/CIGQE :</w:t>
      </w:r>
      <w:r w:rsidRPr="00C80A26">
        <w:rPr>
          <w:rFonts w:cs="Arial"/>
          <w:sz w:val="20"/>
          <w:szCs w:val="20"/>
          <w:lang w:val="fr-FR"/>
        </w:rPr>
        <w:tab/>
        <w:t>Secrétariat Technique Permanent du Cadre Institutionnel de Gestion des Questions Environnementales</w:t>
      </w:r>
    </w:p>
    <w:p w14:paraId="558AFD77" w14:textId="77777777" w:rsidR="00802BA9" w:rsidRPr="00C80A26" w:rsidRDefault="00802BA9" w:rsidP="00802BA9">
      <w:pPr>
        <w:pStyle w:val="Pardeliste"/>
        <w:spacing w:after="0" w:line="240" w:lineRule="auto"/>
        <w:ind w:left="1410" w:hanging="1410"/>
        <w:rPr>
          <w:rFonts w:cs="Arial"/>
          <w:sz w:val="20"/>
          <w:szCs w:val="20"/>
          <w:lang w:val="fr-FR"/>
        </w:rPr>
      </w:pPr>
      <w:r w:rsidRPr="00C80A26">
        <w:rPr>
          <w:rFonts w:cs="Arial"/>
          <w:sz w:val="20"/>
          <w:szCs w:val="20"/>
          <w:lang w:val="fr-FR"/>
        </w:rPr>
        <w:t>TE-CO2 :</w:t>
      </w:r>
      <w:r w:rsidRPr="00C80A26">
        <w:rPr>
          <w:rFonts w:cs="Arial"/>
          <w:sz w:val="20"/>
          <w:szCs w:val="20"/>
          <w:lang w:val="fr-FR"/>
        </w:rPr>
        <w:tab/>
        <w:t>Tonnes Equivalentes CO2</w:t>
      </w:r>
    </w:p>
    <w:p w14:paraId="502A9A8B" w14:textId="77777777" w:rsidR="00802BA9" w:rsidRPr="00C80A26" w:rsidRDefault="00802BA9" w:rsidP="00802BA9">
      <w:pPr>
        <w:pStyle w:val="Pardeliste"/>
        <w:spacing w:after="0" w:line="240" w:lineRule="auto"/>
        <w:ind w:left="1410" w:hanging="1410"/>
        <w:rPr>
          <w:rFonts w:cs="Arial"/>
          <w:sz w:val="20"/>
          <w:szCs w:val="20"/>
          <w:lang w:val="fr-FR"/>
        </w:rPr>
      </w:pPr>
      <w:r w:rsidRPr="00C80A26">
        <w:rPr>
          <w:rFonts w:cs="Arial"/>
          <w:sz w:val="20"/>
          <w:szCs w:val="20"/>
          <w:lang w:val="fr-FR"/>
        </w:rPr>
        <w:t>UICN :</w:t>
      </w:r>
      <w:r w:rsidRPr="00C80A26">
        <w:rPr>
          <w:rFonts w:cs="Arial"/>
          <w:sz w:val="20"/>
          <w:szCs w:val="20"/>
          <w:lang w:val="fr-FR"/>
        </w:rPr>
        <w:tab/>
        <w:t>Union Internationale pour la Conservation de la Nature</w:t>
      </w:r>
    </w:p>
    <w:p w14:paraId="0D7797F2" w14:textId="77777777" w:rsidR="00802BA9" w:rsidRPr="00C80A26" w:rsidRDefault="00802BA9" w:rsidP="00802BA9">
      <w:pPr>
        <w:pStyle w:val="Pardeliste"/>
        <w:spacing w:after="0" w:line="240" w:lineRule="auto"/>
        <w:ind w:left="1410" w:hanging="1410"/>
        <w:rPr>
          <w:rFonts w:ascii="ArialMT" w:hAnsi="ArialMT" w:cs="ArialMT"/>
          <w:sz w:val="20"/>
          <w:szCs w:val="20"/>
          <w:lang w:val="en-US"/>
        </w:rPr>
      </w:pPr>
      <w:r w:rsidRPr="00C80A26">
        <w:rPr>
          <w:rFonts w:cs="Arial"/>
          <w:sz w:val="20"/>
          <w:szCs w:val="20"/>
          <w:lang w:val="en-US"/>
        </w:rPr>
        <w:t>UNESCO :</w:t>
      </w:r>
      <w:r w:rsidRPr="00C80A26">
        <w:rPr>
          <w:rFonts w:cs="Arial"/>
          <w:sz w:val="20"/>
          <w:szCs w:val="20"/>
          <w:lang w:val="en-US"/>
        </w:rPr>
        <w:tab/>
        <w:t>United Nations Educational, Scientific and Cultural Organization</w:t>
      </w:r>
      <w:r w:rsidRPr="00C80A26">
        <w:rPr>
          <w:rFonts w:ascii="ArialMT" w:hAnsi="ArialMT" w:cs="ArialMT"/>
          <w:sz w:val="20"/>
          <w:szCs w:val="20"/>
          <w:lang w:val="en-US"/>
        </w:rPr>
        <w:tab/>
      </w:r>
    </w:p>
    <w:p w14:paraId="400CE366" w14:textId="77777777" w:rsidR="00802BA9" w:rsidRPr="00D33BBF" w:rsidRDefault="00802BA9" w:rsidP="00802BA9">
      <w:pPr>
        <w:pStyle w:val="Pardeliste"/>
        <w:spacing w:after="0" w:line="240" w:lineRule="auto"/>
        <w:ind w:left="1410" w:hanging="1410"/>
        <w:rPr>
          <w:rFonts w:cs="Arial"/>
          <w:sz w:val="20"/>
          <w:szCs w:val="20"/>
          <w:lang w:val="fr-FR"/>
        </w:rPr>
      </w:pPr>
      <w:r w:rsidRPr="00D33BBF">
        <w:rPr>
          <w:rFonts w:cs="Arial"/>
          <w:sz w:val="20"/>
          <w:szCs w:val="20"/>
          <w:lang w:val="fr-FR"/>
        </w:rPr>
        <w:t>WASH :</w:t>
      </w:r>
      <w:r w:rsidRPr="00D33BBF">
        <w:rPr>
          <w:rFonts w:cs="Arial"/>
          <w:sz w:val="20"/>
          <w:szCs w:val="20"/>
          <w:lang w:val="fr-FR"/>
        </w:rPr>
        <w:tab/>
        <w:t>WAter, Sanitation and Hygiene</w:t>
      </w:r>
    </w:p>
    <w:p w14:paraId="497C9AA5" w14:textId="77777777" w:rsidR="00802BA9" w:rsidRPr="00D33BBF" w:rsidRDefault="00802BA9" w:rsidP="00802BA9">
      <w:pPr>
        <w:pStyle w:val="Pardeliste"/>
        <w:spacing w:after="0" w:line="240" w:lineRule="auto"/>
        <w:ind w:left="1410" w:hanging="1410"/>
        <w:rPr>
          <w:rFonts w:cs="Arial"/>
          <w:sz w:val="20"/>
          <w:szCs w:val="20"/>
          <w:lang w:val="fr-FR"/>
        </w:rPr>
      </w:pPr>
      <w:r w:rsidRPr="00D33BBF">
        <w:rPr>
          <w:rFonts w:cs="Arial"/>
          <w:sz w:val="20"/>
          <w:szCs w:val="20"/>
          <w:lang w:val="fr-FR"/>
        </w:rPr>
        <w:t xml:space="preserve">WWAP : </w:t>
      </w:r>
      <w:r w:rsidRPr="00D33BBF">
        <w:rPr>
          <w:rFonts w:cs="Arial"/>
          <w:sz w:val="20"/>
          <w:szCs w:val="20"/>
          <w:lang w:val="fr-FR"/>
        </w:rPr>
        <w:tab/>
        <w:t>World Water Assessment Program (programme mondial pour l’évaluation des ressources en eau)</w:t>
      </w:r>
    </w:p>
    <w:p w14:paraId="4C457692" w14:textId="77777777" w:rsidR="00802BA9" w:rsidRPr="00D33BBF" w:rsidRDefault="00802BA9" w:rsidP="00802BA9">
      <w:pPr>
        <w:pStyle w:val="Pardeliste"/>
        <w:spacing w:after="0" w:line="240" w:lineRule="auto"/>
        <w:ind w:left="1410" w:hanging="1410"/>
        <w:rPr>
          <w:rFonts w:cs="Arial"/>
          <w:sz w:val="20"/>
          <w:szCs w:val="20"/>
          <w:lang w:val="fr-FR"/>
        </w:rPr>
      </w:pPr>
      <w:r w:rsidRPr="00D33BBF">
        <w:rPr>
          <w:rFonts w:cs="Arial"/>
          <w:sz w:val="20"/>
          <w:szCs w:val="20"/>
          <w:lang w:val="fr-FR"/>
        </w:rPr>
        <w:t>ZIC :</w:t>
      </w:r>
      <w:r w:rsidRPr="00D33BBF">
        <w:rPr>
          <w:rFonts w:cs="Arial"/>
          <w:sz w:val="20"/>
          <w:szCs w:val="20"/>
          <w:lang w:val="fr-FR"/>
        </w:rPr>
        <w:tab/>
        <w:t>Zone d’Intérêt Cynégétique</w:t>
      </w:r>
    </w:p>
    <w:p w14:paraId="1FE29595" w14:textId="77777777" w:rsidR="00802BA9" w:rsidRPr="00D33BBF" w:rsidRDefault="00802BA9" w:rsidP="00802BA9">
      <w:pPr>
        <w:pStyle w:val="Pardeliste"/>
        <w:spacing w:after="0" w:line="240" w:lineRule="auto"/>
        <w:ind w:left="0"/>
        <w:rPr>
          <w:rFonts w:eastAsia="Calibri" w:cs="Times New Roman"/>
          <w:bCs/>
          <w:color w:val="002060"/>
          <w:sz w:val="20"/>
          <w:szCs w:val="20"/>
          <w:lang w:val="fr-FR"/>
        </w:rPr>
      </w:pPr>
    </w:p>
    <w:p w14:paraId="5291471A" w14:textId="77777777" w:rsidR="00802BA9" w:rsidRPr="00D33BBF" w:rsidRDefault="00802BA9" w:rsidP="00802BA9">
      <w:pPr>
        <w:rPr>
          <w:rFonts w:eastAsia="Calibri" w:cs="Times New Roman"/>
          <w:bCs/>
          <w:color w:val="002060"/>
          <w:sz w:val="20"/>
          <w:szCs w:val="20"/>
          <w:lang w:val="fr-FR"/>
        </w:rPr>
      </w:pPr>
      <w:r w:rsidRPr="00D33BBF">
        <w:rPr>
          <w:rFonts w:eastAsia="Calibri" w:cs="Times New Roman"/>
          <w:bCs/>
          <w:color w:val="002060"/>
          <w:sz w:val="20"/>
          <w:szCs w:val="20"/>
          <w:lang w:val="fr-FR"/>
        </w:rPr>
        <w:br w:type="page"/>
      </w:r>
    </w:p>
    <w:p w14:paraId="2A617F59" w14:textId="77777777" w:rsidR="00802BA9" w:rsidRPr="00D33BBF" w:rsidRDefault="00802BA9" w:rsidP="00500D2D">
      <w:pPr>
        <w:pStyle w:val="Titre1"/>
        <w:sectPr w:rsidR="00802BA9" w:rsidRPr="00D33BBF" w:rsidSect="00A70080">
          <w:footerReference w:type="default" r:id="rId13"/>
          <w:pgSz w:w="11906" w:h="16838"/>
          <w:pgMar w:top="1418" w:right="1274" w:bottom="1440" w:left="1440" w:header="709" w:footer="709" w:gutter="0"/>
          <w:pgNumType w:fmt="lowerRoman" w:start="2"/>
          <w:cols w:space="708"/>
          <w:docGrid w:linePitch="360"/>
        </w:sectPr>
      </w:pPr>
    </w:p>
    <w:p w14:paraId="795F3712" w14:textId="77777777" w:rsidR="00802BA9" w:rsidRPr="00971C89" w:rsidRDefault="00802BA9" w:rsidP="00500D2D">
      <w:pPr>
        <w:pStyle w:val="Titre1"/>
      </w:pPr>
      <w:bookmarkStart w:id="3" w:name="_Toc20505607"/>
      <w:r w:rsidRPr="00D063B4">
        <w:lastRenderedPageBreak/>
        <w:t xml:space="preserve">1. </w:t>
      </w:r>
      <w:r w:rsidRPr="007354D7">
        <w:t>Résumé</w:t>
      </w:r>
      <w:bookmarkEnd w:id="3"/>
    </w:p>
    <w:p w14:paraId="54D0A127" w14:textId="77777777" w:rsidR="00831E7B" w:rsidRPr="006121FB" w:rsidRDefault="00831E7B" w:rsidP="00525222">
      <w:pPr>
        <w:pStyle w:val="Titre3"/>
      </w:pPr>
      <w:bookmarkStart w:id="4" w:name="_Toc20505608"/>
      <w:r w:rsidRPr="00770DD7">
        <w:t>Etat de l’environnement</w:t>
      </w:r>
      <w:bookmarkEnd w:id="4"/>
    </w:p>
    <w:p w14:paraId="62C3397F" w14:textId="77777777" w:rsidR="00831E7B" w:rsidRPr="00831E7B" w:rsidRDefault="00831E7B" w:rsidP="00831E7B">
      <w:pPr>
        <w:spacing w:before="120" w:after="120" w:line="240" w:lineRule="auto"/>
        <w:rPr>
          <w:rFonts w:ascii="Arial" w:eastAsia="Calibri" w:hAnsi="Arial" w:cs="Arial"/>
          <w:bCs/>
          <w:sz w:val="20"/>
          <w:szCs w:val="20"/>
          <w:lang w:val="fr-FR"/>
        </w:rPr>
      </w:pPr>
      <w:r w:rsidRPr="00831E7B">
        <w:rPr>
          <w:rFonts w:ascii="Arial" w:eastAsia="Calibri" w:hAnsi="Arial" w:cs="Arial"/>
          <w:bCs/>
          <w:sz w:val="20"/>
          <w:szCs w:val="20"/>
          <w:lang w:val="fr-FR"/>
        </w:rPr>
        <w:t xml:space="preserve">La </w:t>
      </w:r>
      <w:r w:rsidRPr="00831E7B">
        <w:rPr>
          <w:rFonts w:ascii="Arial" w:eastAsia="Calibri" w:hAnsi="Arial" w:cs="Arial"/>
          <w:b/>
          <w:bCs/>
          <w:sz w:val="20"/>
          <w:szCs w:val="20"/>
          <w:lang w:val="fr-FR"/>
        </w:rPr>
        <w:t>qualité de l’air du Mali s’est nettement détériorée</w:t>
      </w:r>
      <w:r w:rsidRPr="00831E7B">
        <w:rPr>
          <w:rFonts w:ascii="Arial" w:eastAsia="Calibri" w:hAnsi="Arial" w:cs="Arial"/>
          <w:bCs/>
          <w:sz w:val="20"/>
          <w:szCs w:val="20"/>
          <w:lang w:val="fr-FR"/>
        </w:rPr>
        <w:t xml:space="preserve">, notamment à Bamako, avec des teneurs très supérieures aux normes recommandées par l’OMS sur l’ensemble de l’année. Les concentrations moyennes journalières de PM10 sont 3 à 10 fois supérieures à la norme OMS moyenne annuelle de 50 µg/m³. Les concentrations de PM2.5 en saison sèche sont </w:t>
      </w:r>
      <w:r w:rsidRPr="00831E7B">
        <w:rPr>
          <w:rFonts w:ascii="Arial" w:eastAsia="Times New Roman" w:hAnsi="Arial" w:cs="Arial"/>
          <w:sz w:val="20"/>
          <w:szCs w:val="20"/>
          <w:lang w:val="fr-FR"/>
        </w:rPr>
        <w:t>10 fois supérieures à la norme OMS et c</w:t>
      </w:r>
      <w:r w:rsidRPr="00831E7B">
        <w:rPr>
          <w:rFonts w:ascii="Arial" w:eastAsia="Calibri" w:hAnsi="Arial" w:cs="Arial"/>
          <w:bCs/>
          <w:sz w:val="20"/>
          <w:szCs w:val="20"/>
          <w:lang w:val="fr-FR"/>
        </w:rPr>
        <w:t>elles pour le benzène sont 10 (saison des pluies) à 16 fois supérieures (saison sèche) à la norme OMS.</w:t>
      </w:r>
      <w:r w:rsidRPr="00831E7B">
        <w:rPr>
          <w:rFonts w:ascii="Arial" w:eastAsia="Times New Roman" w:hAnsi="Arial" w:cs="Arial"/>
          <w:sz w:val="20"/>
          <w:szCs w:val="20"/>
        </w:rPr>
        <w:t xml:space="preserve"> Cette qualité de l’air</w:t>
      </w:r>
      <w:r w:rsidRPr="00831E7B">
        <w:rPr>
          <w:rFonts w:ascii="Arial" w:eastAsia="Calibri" w:hAnsi="Arial" w:cs="Arial"/>
          <w:bCs/>
          <w:sz w:val="20"/>
          <w:szCs w:val="20"/>
          <w:lang w:val="fr-FR"/>
        </w:rPr>
        <w:t xml:space="preserve"> a un impact négatif significatif sur le développement des Infections Respiratoires Aigües. </w:t>
      </w:r>
    </w:p>
    <w:p w14:paraId="76819F4A" w14:textId="77777777" w:rsidR="00831E7B" w:rsidRPr="00831E7B" w:rsidRDefault="00831E7B" w:rsidP="00831E7B">
      <w:pPr>
        <w:spacing w:before="120" w:after="120" w:line="240" w:lineRule="auto"/>
        <w:rPr>
          <w:rFonts w:ascii="Arial" w:eastAsia="Times New Roman" w:hAnsi="Arial" w:cs="Arial"/>
          <w:sz w:val="20"/>
          <w:szCs w:val="20"/>
          <w:lang w:val="fr-FR"/>
        </w:rPr>
      </w:pPr>
      <w:r w:rsidRPr="00831E7B">
        <w:rPr>
          <w:rFonts w:ascii="Arial" w:eastAsia="Times New Roman" w:hAnsi="Arial" w:cs="Arial"/>
          <w:sz w:val="20"/>
          <w:szCs w:val="20"/>
          <w:lang w:val="fr-FR"/>
        </w:rPr>
        <w:t xml:space="preserve">Le pays, marqué par 4 climats (saharien à soudano-guinéen), connait une </w:t>
      </w:r>
      <w:r w:rsidRPr="00831E7B">
        <w:rPr>
          <w:rFonts w:ascii="Arial" w:eastAsia="Times New Roman" w:hAnsi="Arial" w:cs="Arial"/>
          <w:b/>
          <w:sz w:val="20"/>
          <w:szCs w:val="20"/>
          <w:lang w:val="fr-FR"/>
        </w:rPr>
        <w:t>grande variabilité</w:t>
      </w:r>
      <w:r w:rsidRPr="00831E7B">
        <w:rPr>
          <w:rFonts w:ascii="Arial" w:eastAsia="Times New Roman" w:hAnsi="Arial" w:cs="Arial"/>
          <w:sz w:val="20"/>
          <w:szCs w:val="20"/>
          <w:lang w:val="fr-FR"/>
        </w:rPr>
        <w:t xml:space="preserve"> interannuelle et spatio-temporelle </w:t>
      </w:r>
      <w:r w:rsidRPr="00831E7B">
        <w:rPr>
          <w:rFonts w:ascii="Arial" w:eastAsia="Times New Roman" w:hAnsi="Arial" w:cs="Arial"/>
          <w:b/>
          <w:sz w:val="20"/>
          <w:szCs w:val="20"/>
          <w:lang w:val="fr-FR"/>
        </w:rPr>
        <w:t>des précipitations</w:t>
      </w:r>
      <w:r w:rsidRPr="00831E7B">
        <w:rPr>
          <w:rFonts w:ascii="Arial" w:eastAsia="Times New Roman" w:hAnsi="Arial" w:cs="Arial"/>
          <w:sz w:val="20"/>
          <w:szCs w:val="20"/>
          <w:lang w:val="fr-FR"/>
        </w:rPr>
        <w:t xml:space="preserve">. Le changement climatique se traduit par une augmentation de la température moyenne (2°C à l’horizon 2050) et un accroissement </w:t>
      </w:r>
      <w:r w:rsidRPr="00831E7B">
        <w:rPr>
          <w:rFonts w:ascii="Arial" w:eastAsia="Times New Roman" w:hAnsi="Arial" w:cs="Arial"/>
          <w:b/>
          <w:sz w:val="20"/>
          <w:szCs w:val="20"/>
          <w:lang w:val="fr-FR"/>
        </w:rPr>
        <w:t>des évènements climatiques extrêmes.</w:t>
      </w:r>
      <w:r w:rsidRPr="00831E7B">
        <w:rPr>
          <w:rFonts w:ascii="Arial" w:eastAsia="Times New Roman" w:hAnsi="Arial" w:cs="Arial"/>
          <w:sz w:val="20"/>
          <w:szCs w:val="20"/>
          <w:lang w:val="fr-FR"/>
        </w:rPr>
        <w:t xml:space="preserve"> </w:t>
      </w:r>
      <w:r w:rsidRPr="00831E7B">
        <w:rPr>
          <w:rFonts w:ascii="Arial" w:eastAsia="Calibri" w:hAnsi="Arial" w:cs="Arial"/>
          <w:sz w:val="20"/>
          <w:szCs w:val="20"/>
          <w:lang w:val="fr-FR" w:eastAsia="fr-FR"/>
        </w:rPr>
        <w:t>Ces dix dernières années (2007-2016), le Mali a connu 2 grandes sécheresses et 5 grandes inondations touchant 4.200.000 personnes</w:t>
      </w:r>
      <w:r w:rsidRPr="00831E7B">
        <w:rPr>
          <w:rFonts w:ascii="Arial" w:eastAsia="Times New Roman" w:hAnsi="Arial" w:cs="Arial"/>
          <w:sz w:val="20"/>
          <w:szCs w:val="20"/>
          <w:lang w:val="fr-FR"/>
        </w:rPr>
        <w:t>.</w:t>
      </w:r>
    </w:p>
    <w:p w14:paraId="65C8D823" w14:textId="77777777" w:rsidR="00831E7B" w:rsidRPr="00831E7B" w:rsidRDefault="00831E7B" w:rsidP="00831E7B">
      <w:pPr>
        <w:spacing w:before="120" w:after="120" w:line="240" w:lineRule="auto"/>
        <w:rPr>
          <w:rFonts w:ascii="Arial" w:eastAsia="Calibri" w:hAnsi="Arial" w:cs="Arial"/>
          <w:sz w:val="20"/>
          <w:szCs w:val="20"/>
          <w:lang w:val="fr-FR" w:eastAsia="fr-FR"/>
        </w:rPr>
      </w:pPr>
      <w:r w:rsidRPr="00831E7B">
        <w:rPr>
          <w:rFonts w:ascii="Arial" w:eastAsia="Calibri" w:hAnsi="Arial" w:cs="Arial"/>
          <w:sz w:val="20"/>
          <w:szCs w:val="20"/>
          <w:lang w:val="fr-FR" w:eastAsia="fr-FR"/>
        </w:rPr>
        <w:t xml:space="preserve">La </w:t>
      </w:r>
      <w:r w:rsidRPr="00831E7B">
        <w:rPr>
          <w:rFonts w:ascii="Arial" w:eastAsia="Calibri" w:hAnsi="Arial" w:cs="Arial"/>
          <w:b/>
          <w:bCs/>
          <w:sz w:val="20"/>
          <w:szCs w:val="20"/>
          <w:lang w:val="fr-FR" w:eastAsia="fr-FR"/>
        </w:rPr>
        <w:t>dégradation des terres</w:t>
      </w:r>
      <w:r w:rsidRPr="00831E7B">
        <w:rPr>
          <w:rFonts w:ascii="Arial" w:eastAsia="Calibri" w:hAnsi="Arial" w:cs="Arial"/>
          <w:sz w:val="20"/>
          <w:szCs w:val="20"/>
          <w:lang w:val="fr-FR" w:eastAsia="fr-FR"/>
        </w:rPr>
        <w:t xml:space="preserve"> s’est accélérée avec les pressions humaine et animale. Les pertes annuelles de terres arables varient de 6,5 t/ha à 30 t/ha ; l’érosion intervenant à 70 % entre la mi-avril et la mi-juillet. Le sous-sol regorge d’</w:t>
      </w:r>
      <w:r w:rsidRPr="00831E7B">
        <w:rPr>
          <w:rFonts w:ascii="Arial" w:eastAsia="Calibri" w:hAnsi="Arial" w:cs="Arial"/>
          <w:b/>
          <w:sz w:val="20"/>
          <w:szCs w:val="20"/>
          <w:lang w:val="fr-FR" w:eastAsia="fr-FR"/>
        </w:rPr>
        <w:t>importants gisements miniers</w:t>
      </w:r>
      <w:r w:rsidRPr="00831E7B">
        <w:rPr>
          <w:rFonts w:ascii="Arial" w:eastAsia="Calibri" w:hAnsi="Arial" w:cs="Arial"/>
          <w:sz w:val="20"/>
          <w:szCs w:val="20"/>
          <w:lang w:val="fr-FR" w:eastAsia="fr-FR"/>
        </w:rPr>
        <w:t xml:space="preserve"> (or, diamant, cuivre, plomb, zinc, fer, phosphate, bauxite, manganèse, uranium, calcaire et gypse, réserves pétrolières, lithium). </w:t>
      </w:r>
    </w:p>
    <w:p w14:paraId="65189319" w14:textId="77777777" w:rsidR="00831E7B" w:rsidRPr="00831E7B" w:rsidRDefault="00831E7B" w:rsidP="00831E7B">
      <w:pPr>
        <w:spacing w:before="120" w:after="120" w:line="240" w:lineRule="auto"/>
        <w:rPr>
          <w:rFonts w:ascii="Arial" w:eastAsia="Calibri" w:hAnsi="Arial" w:cs="Arial"/>
          <w:sz w:val="20"/>
          <w:szCs w:val="20"/>
          <w:lang w:val="fr-FR" w:eastAsia="fr-FR"/>
        </w:rPr>
      </w:pPr>
      <w:r w:rsidRPr="00831E7B">
        <w:rPr>
          <w:rFonts w:ascii="Arial" w:eastAsia="Calibri" w:hAnsi="Arial" w:cs="Arial"/>
          <w:sz w:val="20"/>
          <w:szCs w:val="20"/>
          <w:lang w:val="fr-FR" w:eastAsia="fr-FR"/>
        </w:rPr>
        <w:t>Le pays dispose d’</w:t>
      </w:r>
      <w:r w:rsidRPr="00831E7B">
        <w:rPr>
          <w:rFonts w:ascii="Arial" w:eastAsia="Calibri" w:hAnsi="Arial" w:cs="Arial"/>
          <w:b/>
          <w:bCs/>
          <w:sz w:val="20"/>
          <w:szCs w:val="20"/>
          <w:lang w:val="fr-FR" w:eastAsia="fr-FR"/>
        </w:rPr>
        <w:t>importantes</w:t>
      </w:r>
      <w:r w:rsidRPr="00831E7B">
        <w:rPr>
          <w:rFonts w:ascii="Arial" w:eastAsia="Calibri" w:hAnsi="Arial" w:cs="Arial"/>
          <w:sz w:val="20"/>
          <w:szCs w:val="20"/>
          <w:lang w:val="fr-FR" w:eastAsia="fr-FR"/>
        </w:rPr>
        <w:t xml:space="preserve"> </w:t>
      </w:r>
      <w:r w:rsidRPr="00831E7B">
        <w:rPr>
          <w:rFonts w:ascii="Arial" w:eastAsia="Calibri" w:hAnsi="Arial" w:cs="Arial"/>
          <w:b/>
          <w:sz w:val="20"/>
          <w:szCs w:val="20"/>
          <w:lang w:val="fr-FR" w:eastAsia="fr-FR"/>
        </w:rPr>
        <w:t xml:space="preserve">ressources en eau </w:t>
      </w:r>
      <w:r w:rsidRPr="00831E7B">
        <w:rPr>
          <w:rFonts w:ascii="Arial" w:eastAsia="Calibri" w:hAnsi="Arial" w:cs="Arial"/>
          <w:bCs/>
          <w:sz w:val="20"/>
          <w:szCs w:val="20"/>
          <w:lang w:val="fr-FR" w:eastAsia="fr-FR"/>
        </w:rPr>
        <w:t>avec : i) celles</w:t>
      </w:r>
      <w:r w:rsidRPr="00831E7B">
        <w:rPr>
          <w:rFonts w:ascii="Arial" w:eastAsia="Calibri" w:hAnsi="Arial" w:cs="Arial"/>
          <w:b/>
          <w:sz w:val="20"/>
          <w:szCs w:val="20"/>
          <w:lang w:val="fr-FR" w:eastAsia="fr-FR"/>
        </w:rPr>
        <w:t xml:space="preserve"> </w:t>
      </w:r>
      <w:r w:rsidRPr="00831E7B">
        <w:rPr>
          <w:rFonts w:ascii="Arial" w:eastAsia="Calibri" w:hAnsi="Arial" w:cs="Arial"/>
          <w:sz w:val="20"/>
          <w:szCs w:val="20"/>
          <w:lang w:val="fr-FR" w:eastAsia="fr-FR"/>
        </w:rPr>
        <w:t>de surface pérenne (fleuve Niger et ses affluents, fleuve Sénégal et ses affluents</w:t>
      </w:r>
      <w:r w:rsidRPr="00831E7B">
        <w:rPr>
          <w:rFonts w:ascii="Arial" w:eastAsia="Times New Roman" w:hAnsi="Arial" w:cs="Arial"/>
          <w:sz w:val="20"/>
          <w:szCs w:val="20"/>
          <w:lang w:val="fr-FR"/>
        </w:rPr>
        <w:t xml:space="preserve">, </w:t>
      </w:r>
      <w:r w:rsidRPr="00831E7B">
        <w:rPr>
          <w:rFonts w:ascii="Arial" w:eastAsia="Calibri" w:hAnsi="Arial" w:cs="Arial"/>
          <w:sz w:val="20"/>
          <w:szCs w:val="20"/>
          <w:lang w:val="fr-FR" w:eastAsia="fr-FR"/>
        </w:rPr>
        <w:t>du Sourou affluent de la Volta Noire et de sites naturels ou aménagés ; ii) l</w:t>
      </w:r>
      <w:r w:rsidRPr="00831E7B">
        <w:rPr>
          <w:rFonts w:ascii="Arial" w:eastAsia="Times New Roman" w:hAnsi="Arial" w:cs="Arial"/>
          <w:sz w:val="20"/>
          <w:szCs w:val="20"/>
          <w:lang w:val="fr-FR"/>
        </w:rPr>
        <w:t xml:space="preserve">es ressources en eaux souterraines constitués de 9 systèmes aquifères estimés à 2.700 milliards de m³ avec un taux de reconstitution estimé à 66 milliards de m³/an. Toutefois, la </w:t>
      </w:r>
      <w:r w:rsidRPr="00831E7B">
        <w:rPr>
          <w:rFonts w:ascii="Arial" w:eastAsia="Times New Roman" w:hAnsi="Arial" w:cs="Arial"/>
          <w:b/>
          <w:sz w:val="20"/>
          <w:szCs w:val="20"/>
          <w:lang w:val="fr-FR"/>
        </w:rPr>
        <w:t>qualité des eaux de surface</w:t>
      </w:r>
      <w:r w:rsidRPr="00831E7B">
        <w:rPr>
          <w:rFonts w:ascii="Arial" w:eastAsia="Times New Roman" w:hAnsi="Arial" w:cs="Arial"/>
          <w:sz w:val="20"/>
          <w:szCs w:val="20"/>
          <w:lang w:val="fr-FR"/>
        </w:rPr>
        <w:t xml:space="preserve"> se dégrade suite à la pollution chimique (pesticides agricoles, colorants des teintureries, résidus des tanneries, mercure et cyanure de l’orpaillage) et à la pollution microbiologique (rejets domestiques et industriels) favorisant l’eutrophisation et la prolifération de plantes aquatiques.</w:t>
      </w:r>
    </w:p>
    <w:p w14:paraId="7AD024DC" w14:textId="77777777" w:rsidR="00831E7B" w:rsidRPr="00831E7B" w:rsidRDefault="00831E7B" w:rsidP="00831E7B">
      <w:pPr>
        <w:spacing w:before="120" w:after="120" w:line="240" w:lineRule="auto"/>
        <w:rPr>
          <w:rFonts w:ascii="Arial" w:eastAsia="Times New Roman" w:hAnsi="Arial" w:cs="Arial"/>
          <w:sz w:val="20"/>
          <w:szCs w:val="20"/>
          <w:lang w:val="fr-FR"/>
        </w:rPr>
      </w:pPr>
      <w:r w:rsidRPr="00831E7B">
        <w:rPr>
          <w:rFonts w:ascii="Arial" w:eastAsia="Times New Roman" w:hAnsi="Arial" w:cs="Arial"/>
          <w:sz w:val="20"/>
          <w:szCs w:val="20"/>
          <w:lang w:val="fr-FR"/>
        </w:rPr>
        <w:t xml:space="preserve">Au niveau de la </w:t>
      </w:r>
      <w:r w:rsidRPr="00831E7B">
        <w:rPr>
          <w:rFonts w:ascii="Arial" w:eastAsia="Times New Roman" w:hAnsi="Arial" w:cs="Arial"/>
          <w:b/>
          <w:bCs/>
          <w:sz w:val="20"/>
          <w:szCs w:val="20"/>
          <w:lang w:val="fr-FR"/>
        </w:rPr>
        <w:t>diversité biologique</w:t>
      </w:r>
      <w:r w:rsidRPr="00831E7B">
        <w:rPr>
          <w:rFonts w:ascii="Arial" w:eastAsia="Times New Roman" w:hAnsi="Arial" w:cs="Arial"/>
          <w:sz w:val="20"/>
          <w:szCs w:val="20"/>
          <w:lang w:val="fr-FR"/>
        </w:rPr>
        <w:t xml:space="preserve">, le pays abrite 136 espèces de mammifères, 647 espèces d’oiseaux (dont 15 rares), 160 espèces de poissons dont 24 endémiques et 1.739 espèces de végétaux dont 8 endémiques. Actuellement, le Chimpanzé, la Gazelle dama et le Lycaon risquent de disparaitre. De même, il apparait, au niveau des </w:t>
      </w:r>
      <w:r w:rsidRPr="00831E7B">
        <w:rPr>
          <w:rFonts w:ascii="Arial" w:eastAsia="Times New Roman" w:hAnsi="Arial" w:cs="Arial"/>
          <w:b/>
          <w:bCs/>
          <w:sz w:val="20"/>
          <w:szCs w:val="20"/>
          <w:lang w:val="fr-FR"/>
        </w:rPr>
        <w:t>ressources pastorales</w:t>
      </w:r>
      <w:r w:rsidRPr="00831E7B">
        <w:rPr>
          <w:rFonts w:ascii="Arial" w:eastAsia="Times New Roman" w:hAnsi="Arial" w:cs="Arial"/>
          <w:sz w:val="20"/>
          <w:szCs w:val="20"/>
          <w:lang w:val="fr-FR"/>
        </w:rPr>
        <w:t xml:space="preserve">, </w:t>
      </w:r>
      <w:r w:rsidRPr="00831E7B">
        <w:rPr>
          <w:rFonts w:ascii="Arial" w:eastAsia="Calibri" w:hAnsi="Arial" w:cs="Arial"/>
          <w:color w:val="000000"/>
          <w:sz w:val="20"/>
          <w:szCs w:val="20"/>
          <w:lang w:val="fr-FR" w:eastAsia="fr-FR"/>
        </w:rPr>
        <w:t xml:space="preserve">un éclaircissement du couvert végétal d’une part et la disparition d’espèces herbacées et ligneuses d’autre part. Parallèlement, il apparait un appauvrissement du </w:t>
      </w:r>
      <w:r w:rsidRPr="00831E7B">
        <w:rPr>
          <w:rFonts w:ascii="Arial" w:eastAsia="Calibri" w:hAnsi="Arial" w:cs="Arial"/>
          <w:b/>
          <w:bCs/>
          <w:color w:val="000000"/>
          <w:sz w:val="20"/>
          <w:szCs w:val="20"/>
          <w:lang w:val="fr-FR" w:eastAsia="fr-FR"/>
        </w:rPr>
        <w:t>potentiel halieutique</w:t>
      </w:r>
      <w:r w:rsidRPr="00831E7B">
        <w:rPr>
          <w:rFonts w:ascii="Arial" w:eastAsia="Calibri" w:hAnsi="Arial" w:cs="Arial"/>
          <w:color w:val="000000"/>
          <w:sz w:val="20"/>
          <w:szCs w:val="20"/>
          <w:lang w:val="fr-FR" w:eastAsia="fr-FR"/>
        </w:rPr>
        <w:t xml:space="preserve"> avec disparition de 15 espèces de poisson dans le Delta du Niger)</w:t>
      </w:r>
      <w:r w:rsidRPr="00831E7B">
        <w:rPr>
          <w:rFonts w:ascii="Arial" w:eastAsia="Times New Roman" w:hAnsi="Arial" w:cs="Arial"/>
          <w:sz w:val="20"/>
          <w:szCs w:val="20"/>
          <w:lang w:val="fr-FR"/>
        </w:rPr>
        <w:t>.</w:t>
      </w:r>
    </w:p>
    <w:p w14:paraId="1E22F2A7" w14:textId="77777777" w:rsidR="00831E7B" w:rsidRPr="00831E7B" w:rsidRDefault="00831E7B" w:rsidP="00831E7B">
      <w:pPr>
        <w:spacing w:before="120" w:after="120" w:line="240" w:lineRule="auto"/>
        <w:rPr>
          <w:rFonts w:ascii="Arial" w:eastAsia="Times New Roman" w:hAnsi="Arial" w:cs="Arial"/>
          <w:sz w:val="20"/>
          <w:szCs w:val="20"/>
          <w:lang w:val="fr-FR"/>
        </w:rPr>
      </w:pPr>
      <w:r w:rsidRPr="00A02048">
        <w:rPr>
          <w:rFonts w:ascii="Arial" w:eastAsia="Times New Roman" w:hAnsi="Arial" w:cs="Arial"/>
          <w:sz w:val="20"/>
          <w:szCs w:val="20"/>
          <w:lang w:val="fr-FR"/>
        </w:rPr>
        <w:t xml:space="preserve">L’état des </w:t>
      </w:r>
      <w:r w:rsidRPr="00A02048">
        <w:rPr>
          <w:rFonts w:ascii="Arial" w:eastAsia="Times New Roman" w:hAnsi="Arial" w:cs="Arial"/>
          <w:b/>
          <w:sz w:val="20"/>
          <w:szCs w:val="20"/>
          <w:lang w:val="fr-FR"/>
        </w:rPr>
        <w:t>ressources forestières est alarmant</w:t>
      </w:r>
      <w:r w:rsidRPr="00A02048">
        <w:rPr>
          <w:rFonts w:ascii="Arial" w:eastAsia="Times New Roman" w:hAnsi="Arial" w:cs="Arial"/>
          <w:sz w:val="20"/>
          <w:szCs w:val="20"/>
          <w:lang w:val="fr-FR"/>
        </w:rPr>
        <w:t xml:space="preserve"> avec seulement 17 % du pays ayant une réelle capacité de production forestière (superficie évaluée à 4.715.000 ha en 2015) et la superficie défrichée est estimée à plus de 500.000 ha/an. En outre, 40 % de la superficie des </w:t>
      </w:r>
      <w:r w:rsidRPr="00A02048">
        <w:rPr>
          <w:rFonts w:ascii="Arial" w:eastAsia="Times New Roman" w:hAnsi="Arial" w:cs="Arial"/>
          <w:b/>
          <w:sz w:val="20"/>
          <w:szCs w:val="20"/>
          <w:lang w:val="fr-FR"/>
        </w:rPr>
        <w:t>pâturages</w:t>
      </w:r>
      <w:r w:rsidRPr="00A02048">
        <w:rPr>
          <w:rFonts w:ascii="Arial" w:eastAsia="Times New Roman" w:hAnsi="Arial" w:cs="Arial"/>
          <w:sz w:val="20"/>
          <w:szCs w:val="20"/>
          <w:lang w:val="fr-FR"/>
        </w:rPr>
        <w:t xml:space="preserve"> sont brûlés annuellement. Les produits forestiers non ligneux sont des ressources biologiques très importantes dans l’autoconsommation, la sécurité alimentaire, la pharmacopée et l’économie familiale. Toutefois, la gomme arabique n’est pas exploitée durablement et les acacias producteurs de gomme sont menacés. Afin de préserver son potentiel écologique (nette régression des effectifs de grands ruminants), le pays possède un </w:t>
      </w:r>
      <w:r w:rsidRPr="00A02048">
        <w:rPr>
          <w:rFonts w:ascii="Arial" w:eastAsia="Times New Roman" w:hAnsi="Arial" w:cs="Arial"/>
          <w:b/>
          <w:sz w:val="20"/>
          <w:szCs w:val="20"/>
          <w:lang w:val="fr-FR"/>
        </w:rPr>
        <w:t>réseau de 26 aires protégées</w:t>
      </w:r>
      <w:r w:rsidRPr="00A02048">
        <w:rPr>
          <w:rFonts w:ascii="Arial" w:eastAsia="Times New Roman" w:hAnsi="Arial" w:cs="Arial"/>
          <w:sz w:val="20"/>
          <w:szCs w:val="20"/>
          <w:lang w:val="fr-FR"/>
        </w:rPr>
        <w:t xml:space="preserve"> -AP- (9 millions d’ha) et de 107 forêts classées (788.111 ha), soit au total 7,3 % du territoire national.</w:t>
      </w:r>
      <w:r w:rsidRPr="00831E7B">
        <w:rPr>
          <w:rFonts w:ascii="Arial" w:eastAsia="Times New Roman" w:hAnsi="Arial" w:cs="Arial"/>
          <w:sz w:val="20"/>
          <w:szCs w:val="20"/>
          <w:lang w:val="fr-FR"/>
        </w:rPr>
        <w:t xml:space="preserve"> A ceci s’ajoutent les zones transitoires et tampons, 4 sites Ramsar du Delta intérieur du Niger (4,2 millions d’ha), etc. </w:t>
      </w:r>
    </w:p>
    <w:p w14:paraId="3DC3A558" w14:textId="77777777" w:rsidR="00831E7B" w:rsidRPr="00831E7B" w:rsidRDefault="00831E7B" w:rsidP="00525222">
      <w:pPr>
        <w:pStyle w:val="Titre3"/>
      </w:pPr>
      <w:bookmarkStart w:id="5" w:name="_Toc20505609"/>
      <w:r w:rsidRPr="00831E7B">
        <w:t>Les pressions sur l’environnement</w:t>
      </w:r>
      <w:bookmarkEnd w:id="5"/>
      <w:r w:rsidRPr="00831E7B">
        <w:t xml:space="preserve"> </w:t>
      </w:r>
    </w:p>
    <w:p w14:paraId="15AAEF0C" w14:textId="77777777" w:rsidR="00831E7B" w:rsidRPr="00831E7B" w:rsidRDefault="00831E7B" w:rsidP="00831E7B">
      <w:pPr>
        <w:spacing w:before="120" w:after="120" w:line="240" w:lineRule="auto"/>
        <w:rPr>
          <w:rFonts w:ascii="Arial" w:eastAsia="Times New Roman" w:hAnsi="Arial" w:cs="Arial"/>
          <w:sz w:val="20"/>
          <w:szCs w:val="20"/>
          <w:lang w:val="fr-FR"/>
        </w:rPr>
      </w:pPr>
      <w:r w:rsidRPr="00831E7B">
        <w:rPr>
          <w:rFonts w:ascii="Arial" w:eastAsia="Times New Roman" w:hAnsi="Arial" w:cs="Arial"/>
          <w:sz w:val="20"/>
          <w:szCs w:val="20"/>
          <w:lang w:val="fr-FR"/>
        </w:rPr>
        <w:t xml:space="preserve">Le pays a utilisé 25 milliards de m³ d’eau en 2015. Le secteur de l’énergie, avec 16 milliards de m³, est le plus gros utilisateur (81.4%) bien que l’eau après turbinage puisse être affectée à d’autres usages, suivi par l’irrigation (94 % de l’eau après turbinage), l’approvisionnement en eau potable (3,1 %), l’élevage (1,7%). Fin 2017, </w:t>
      </w:r>
      <w:r w:rsidRPr="00831E7B">
        <w:rPr>
          <w:rFonts w:ascii="Arial" w:eastAsia="Times New Roman" w:hAnsi="Arial" w:cs="Arial"/>
          <w:bCs/>
          <w:sz w:val="20"/>
          <w:szCs w:val="20"/>
          <w:lang w:val="fr-FR"/>
        </w:rPr>
        <w:t>le taux d’accès à l’eau potable s’élevait à 68 % au niveau national, avec un écart entre le milieu urbain (74,6 %) et le milieu rural (65,3%).</w:t>
      </w:r>
    </w:p>
    <w:p w14:paraId="59A15D2D" w14:textId="77777777" w:rsidR="00831E7B" w:rsidRPr="00831E7B" w:rsidRDefault="00831E7B" w:rsidP="00831E7B">
      <w:pPr>
        <w:spacing w:before="120" w:after="120" w:line="240" w:lineRule="auto"/>
        <w:rPr>
          <w:rFonts w:ascii="Arial" w:eastAsia="Calibri" w:hAnsi="Arial" w:cs="Arial"/>
          <w:sz w:val="20"/>
          <w:szCs w:val="20"/>
          <w:lang w:val="fr-FR" w:eastAsia="fr-FR"/>
        </w:rPr>
      </w:pPr>
      <w:r w:rsidRPr="00831E7B">
        <w:rPr>
          <w:rFonts w:ascii="Arial" w:eastAsia="Times New Roman" w:hAnsi="Arial" w:cs="Arial"/>
          <w:sz w:val="20"/>
          <w:szCs w:val="20"/>
          <w:lang w:val="fr-FR"/>
        </w:rPr>
        <w:t xml:space="preserve">Les déserts occupent 60 % du pays, les terres agricoles et pastorales couvrent 35 % avec 43,7 millions d’ha dont 2,2 millions d’ha sont aptes à l’irrigation. </w:t>
      </w:r>
      <w:r w:rsidRPr="00831E7B">
        <w:rPr>
          <w:rFonts w:ascii="Arial" w:eastAsia="Times New Roman" w:hAnsi="Arial" w:cs="Arial"/>
          <w:b/>
          <w:bCs/>
          <w:sz w:val="20"/>
          <w:szCs w:val="20"/>
          <w:lang w:val="fr-FR"/>
        </w:rPr>
        <w:t>L’utilisation des terres</w:t>
      </w:r>
      <w:r w:rsidRPr="00831E7B">
        <w:rPr>
          <w:rFonts w:ascii="Arial" w:eastAsia="Times New Roman" w:hAnsi="Arial" w:cs="Arial"/>
          <w:bCs/>
          <w:sz w:val="20"/>
          <w:szCs w:val="20"/>
          <w:lang w:val="fr-FR"/>
        </w:rPr>
        <w:t xml:space="preserve"> par l’agriculture et l’élevage présente de sérieux problèmes. Les sols sont sujets à une dégradation inquiétante liée aux érosions hydriques et éoliennes et à une exploitation irrationnelle liée à la faible gestion de la fertilité. </w:t>
      </w:r>
      <w:r w:rsidRPr="00831E7B">
        <w:rPr>
          <w:rFonts w:ascii="Arial" w:eastAsia="Calibri" w:hAnsi="Arial" w:cs="Arial"/>
          <w:sz w:val="20"/>
          <w:szCs w:val="20"/>
          <w:lang w:val="fr-FR" w:eastAsia="fr-FR"/>
        </w:rPr>
        <w:t xml:space="preserve">L’agriculture utilise 5,8 à 7,3 millions d’ha sans les exploiter durablement (faible apport d’engrais organique, utilisation d’engrais chimiques, de pesticides toxiques, etc.). </w:t>
      </w:r>
      <w:r w:rsidRPr="00A02048">
        <w:rPr>
          <w:rFonts w:ascii="Arial" w:eastAsia="Calibri" w:hAnsi="Arial" w:cs="Arial"/>
          <w:sz w:val="20"/>
          <w:szCs w:val="20"/>
          <w:lang w:val="fr-FR" w:eastAsia="fr-FR"/>
        </w:rPr>
        <w:t>L’élevage, suite au mauvais maillage hydraulique, est source de surpâturage et de dégradation des sols autour des points d’eau. Les terres boisées disparaissent au rythme de 500.000 ha/an. A ceci, s’ajoutent les terres utilisées pour l’exploitation minière avec 11 mines d’or industrielles à ciel ouvert et plusieurs centaines (non évalué) de champs d’orpaillage. L’exploitation minière industrielle respecte, plus ou moins bien, les réglementations environnementales mais les rapports EIES restent peu accessibles au public. A l’i</w:t>
      </w:r>
      <w:r w:rsidRPr="00831E7B">
        <w:rPr>
          <w:rFonts w:ascii="Arial" w:eastAsia="Calibri" w:hAnsi="Arial" w:cs="Arial"/>
          <w:sz w:val="20"/>
          <w:szCs w:val="20"/>
          <w:lang w:val="fr-FR" w:eastAsia="fr-FR"/>
        </w:rPr>
        <w:t xml:space="preserve">nverse, l’orpaillage, en hausse et très peu contrôlé, représente </w:t>
      </w:r>
      <w:r w:rsidRPr="00831E7B">
        <w:rPr>
          <w:rFonts w:ascii="Arial" w:eastAsia="Calibri" w:hAnsi="Arial" w:cs="Arial"/>
          <w:b/>
          <w:sz w:val="20"/>
          <w:szCs w:val="20"/>
          <w:lang w:val="fr-FR" w:eastAsia="fr-FR"/>
        </w:rPr>
        <w:t>une menace environnementale majeure</w:t>
      </w:r>
      <w:r w:rsidRPr="00831E7B">
        <w:rPr>
          <w:rFonts w:ascii="Arial" w:eastAsia="Calibri" w:hAnsi="Arial" w:cs="Arial"/>
          <w:sz w:val="20"/>
          <w:szCs w:val="20"/>
          <w:lang w:val="fr-FR" w:eastAsia="fr-FR"/>
        </w:rPr>
        <w:t xml:space="preserve"> (destruction de la végétation et des sols, rejets de mercure et de cyanure). </w:t>
      </w:r>
    </w:p>
    <w:p w14:paraId="1E805B92" w14:textId="77777777" w:rsidR="00831E7B" w:rsidRPr="00831E7B" w:rsidRDefault="00831E7B" w:rsidP="00831E7B">
      <w:pPr>
        <w:spacing w:before="120" w:after="120" w:line="240" w:lineRule="auto"/>
        <w:rPr>
          <w:rFonts w:ascii="Arial" w:eastAsia="SimSun" w:hAnsi="Arial" w:cs="Arial"/>
          <w:sz w:val="20"/>
          <w:szCs w:val="20"/>
          <w:lang w:val="fr-FR" w:eastAsia="zh-CN"/>
        </w:rPr>
      </w:pPr>
      <w:r w:rsidRPr="00831E7B">
        <w:rPr>
          <w:rFonts w:ascii="Arial" w:eastAsia="Calibri" w:hAnsi="Arial" w:cs="Arial"/>
          <w:b/>
          <w:sz w:val="20"/>
          <w:szCs w:val="20"/>
          <w:lang w:val="fr-FR" w:eastAsia="fr-FR"/>
        </w:rPr>
        <w:lastRenderedPageBreak/>
        <w:t>L’approvisionnement énergétique total</w:t>
      </w:r>
      <w:r w:rsidRPr="00831E7B">
        <w:rPr>
          <w:rFonts w:ascii="Arial" w:eastAsia="Calibri" w:hAnsi="Arial" w:cs="Arial"/>
          <w:sz w:val="20"/>
          <w:szCs w:val="20"/>
          <w:lang w:val="fr-FR" w:eastAsia="fr-FR"/>
        </w:rPr>
        <w:t xml:space="preserve"> (5.915 milliers de tonnes équivalent pétrole – ktep en 2016), s’appuie à 76 % sur </w:t>
      </w:r>
      <w:r>
        <w:rPr>
          <w:rFonts w:ascii="Arial" w:eastAsia="Calibri" w:hAnsi="Arial" w:cs="Arial"/>
          <w:sz w:val="20"/>
          <w:szCs w:val="20"/>
          <w:lang w:val="fr-FR" w:eastAsia="fr-FR"/>
        </w:rPr>
        <w:t xml:space="preserve">la biomasse </w:t>
      </w:r>
      <w:r w:rsidRPr="00A02048">
        <w:rPr>
          <w:rFonts w:ascii="Arial" w:eastAsia="Calibri" w:hAnsi="Arial" w:cs="Arial"/>
          <w:sz w:val="20"/>
          <w:szCs w:val="20"/>
          <w:lang w:val="fr-FR" w:eastAsia="fr-FR"/>
        </w:rPr>
        <w:t>ligneuse, à 20 %</w:t>
      </w:r>
      <w:r w:rsidRPr="00831E7B">
        <w:rPr>
          <w:rFonts w:ascii="Arial" w:eastAsia="Calibri" w:hAnsi="Arial" w:cs="Arial"/>
          <w:sz w:val="20"/>
          <w:szCs w:val="20"/>
          <w:lang w:val="fr-FR" w:eastAsia="fr-FR"/>
        </w:rPr>
        <w:t xml:space="preserve"> sur les produits pétroliers et seulement à 4 % sur les énergies renouvelables. L</w:t>
      </w:r>
      <w:r w:rsidRPr="00831E7B">
        <w:rPr>
          <w:rFonts w:ascii="Arial" w:eastAsia="SimSun" w:hAnsi="Arial" w:cs="Arial"/>
          <w:sz w:val="20"/>
          <w:szCs w:val="20"/>
          <w:lang w:val="fr-FR" w:eastAsia="zh-CN"/>
        </w:rPr>
        <w:t>a demande en bois de feu et charbon de bois a augmenté dramatiquement passant de 3.167 ktep en 2012 à 4.228 ktep en 2016 et menace cruellement l’environnement. La consommation totale d’énergie s’est accrue de près de 54 % entre 2012 et 2016, soit une progression annuelle de plus de 10 %, près de 3 fois supérieure à la croissance démographique de 3,6 %. Toutefois, les énergies renouvelables contribuent à 4 % en 2017 au bilan énergétique (1 % en 2012).</w:t>
      </w:r>
    </w:p>
    <w:p w14:paraId="3D45A9CF" w14:textId="77777777" w:rsidR="00831E7B" w:rsidRPr="00831E7B" w:rsidRDefault="00831E7B" w:rsidP="00831E7B">
      <w:pPr>
        <w:spacing w:before="120" w:after="120" w:line="240" w:lineRule="auto"/>
        <w:rPr>
          <w:rFonts w:ascii="Arial" w:eastAsia="Calibri" w:hAnsi="Arial" w:cs="Arial"/>
          <w:sz w:val="20"/>
          <w:szCs w:val="20"/>
          <w:lang w:val="fr-FR" w:eastAsia="fr-FR"/>
        </w:rPr>
      </w:pPr>
      <w:r w:rsidRPr="00831E7B">
        <w:rPr>
          <w:rFonts w:ascii="Arial" w:eastAsia="Times New Roman" w:hAnsi="Arial" w:cs="Arial"/>
          <w:sz w:val="20"/>
          <w:szCs w:val="20"/>
          <w:lang w:val="fr-FR"/>
        </w:rPr>
        <w:t xml:space="preserve">La </w:t>
      </w:r>
      <w:r w:rsidRPr="00831E7B">
        <w:rPr>
          <w:rFonts w:ascii="Arial" w:eastAsia="Times New Roman" w:hAnsi="Arial" w:cs="Arial"/>
          <w:b/>
          <w:sz w:val="20"/>
          <w:szCs w:val="20"/>
          <w:lang w:val="fr-FR"/>
        </w:rPr>
        <w:t>population urbaine</w:t>
      </w:r>
      <w:r w:rsidRPr="00831E7B">
        <w:rPr>
          <w:rFonts w:ascii="Arial" w:eastAsia="Times New Roman" w:hAnsi="Arial" w:cs="Arial"/>
          <w:sz w:val="20"/>
          <w:szCs w:val="20"/>
          <w:lang w:val="fr-FR"/>
        </w:rPr>
        <w:t xml:space="preserve"> a triplé en 30 ans (5,1 millions en 2009 -dernier recensement- contre 2,8 millions en 1998 et 1,26 millions en 1979) et devrait atteindre 50 % de la population nationale en 2025 avec 12 millions d’habitants ; le district de Bamako accueillant 55,3 % de la population totale urbaine. L'urbanisation constitue un problème majeur. Anarchique, elle souffre d’un déficit notoire dans le domaine de l’assainissement, les quelques infrastructures d’assainissement n’étant pas adaptées à la pression démographique. </w:t>
      </w:r>
      <w:r w:rsidRPr="00831E7B">
        <w:rPr>
          <w:rFonts w:ascii="Arial" w:eastAsia="Calibri" w:hAnsi="Arial" w:cs="Arial"/>
          <w:sz w:val="20"/>
          <w:szCs w:val="20"/>
          <w:lang w:val="fr-FR" w:eastAsia="fr-FR"/>
        </w:rPr>
        <w:t xml:space="preserve">Les schémas directeurs d’urbanisme (98 SDU actualisés) existants et les plans d’urbanisme sectoriels pour 30 localités sont peu respectés. Les industries sont implantées entre Bamako et Koulikoro le long du fleuve Niger. Principalement orientées vers l’agroalimentaire, certaines telles que </w:t>
      </w:r>
      <w:r w:rsidRPr="00831E7B">
        <w:rPr>
          <w:rFonts w:ascii="Arial" w:eastAsia="Times New Roman" w:hAnsi="Arial" w:cs="Arial"/>
          <w:sz w:val="20"/>
          <w:szCs w:val="20"/>
          <w:lang w:val="fr-FR"/>
        </w:rPr>
        <w:t>les industries textiles, les tanneries et les fabriques de piles et de détergents sont très polluantes car la plupart rejettent, sans prétraitement approprié, la majeure partie de leurs eaux usées dans les collecteurs et dans les cours d’eau.</w:t>
      </w:r>
    </w:p>
    <w:p w14:paraId="349045C3" w14:textId="77777777" w:rsidR="00831E7B" w:rsidRPr="00831E7B" w:rsidRDefault="00831E7B" w:rsidP="00831E7B">
      <w:pPr>
        <w:spacing w:before="120" w:after="120" w:line="240" w:lineRule="auto"/>
        <w:rPr>
          <w:rFonts w:ascii="Arial" w:eastAsia="Calibri" w:hAnsi="Arial" w:cs="Arial"/>
          <w:sz w:val="20"/>
          <w:szCs w:val="20"/>
          <w:lang w:val="fr-FR" w:eastAsia="fr-FR"/>
        </w:rPr>
      </w:pPr>
      <w:r w:rsidRPr="00831E7B">
        <w:rPr>
          <w:rFonts w:ascii="Arial" w:eastAsia="Calibri" w:hAnsi="Arial" w:cs="Arial"/>
          <w:b/>
          <w:sz w:val="20"/>
          <w:szCs w:val="20"/>
          <w:lang w:val="fr-FR" w:eastAsia="fr-FR"/>
        </w:rPr>
        <w:t>Les transports</w:t>
      </w:r>
      <w:r w:rsidRPr="00831E7B">
        <w:rPr>
          <w:rFonts w:ascii="Arial" w:eastAsia="Calibri" w:hAnsi="Arial" w:cs="Arial"/>
          <w:sz w:val="20"/>
          <w:szCs w:val="20"/>
          <w:lang w:val="fr-FR" w:eastAsia="fr-FR"/>
        </w:rPr>
        <w:t xml:space="preserve"> sont essentiellement routiers, malgré la présence de voies fluviales et ferroviaires plus favorables à l’environnement. Le parc roulant est vétuste (52,8 % des véhicules ont plus de 16 ans), progresse annuellement de 16% mais les véhicules utilisent moins le gasoil (49 % en 2016 contre 55 % en 2008). L’impact environnemental du transport routier est très important suite à la pollution qu'il génère (12 % des émissions totales de CO2 du secteur de l’énergie) d’une part et à l’ouverture de réseaux routiers entrainant forcement l’ouverture des écosystèmes et, parfois, un morcellement de ceux-ci d’autre part. De plus, Bamako et les autres villes connaissent de sérieux problèmes de circulation et de qualité de l’air aux heures de pointe. Par ailleurs, le transport aérien augmente régulièrement (+ 37 % pour les passagers et + 43 % pour le fret en 4 ans).</w:t>
      </w:r>
    </w:p>
    <w:p w14:paraId="1DD12255" w14:textId="77777777" w:rsidR="00831E7B" w:rsidRPr="00831E7B" w:rsidRDefault="00831E7B" w:rsidP="00831E7B">
      <w:pPr>
        <w:spacing w:before="120" w:after="120" w:line="240" w:lineRule="auto"/>
        <w:rPr>
          <w:rFonts w:ascii="Arial" w:eastAsia="Calibri" w:hAnsi="Arial" w:cs="Arial"/>
          <w:sz w:val="20"/>
          <w:szCs w:val="20"/>
          <w:lang w:val="fr-FR" w:eastAsia="fr-FR"/>
        </w:rPr>
      </w:pPr>
      <w:r w:rsidRPr="00831E7B">
        <w:rPr>
          <w:rFonts w:ascii="Arial" w:eastAsia="Calibri" w:hAnsi="Arial" w:cs="Arial"/>
          <w:sz w:val="20"/>
          <w:szCs w:val="20"/>
          <w:lang w:val="fr-FR" w:eastAsia="fr-FR"/>
        </w:rPr>
        <w:t xml:space="preserve">Le </w:t>
      </w:r>
      <w:r w:rsidRPr="00831E7B">
        <w:rPr>
          <w:rFonts w:ascii="Arial" w:eastAsia="Calibri" w:hAnsi="Arial" w:cs="Arial"/>
          <w:b/>
          <w:sz w:val="20"/>
          <w:szCs w:val="20"/>
          <w:lang w:val="fr-FR" w:eastAsia="fr-FR"/>
        </w:rPr>
        <w:t>tourisme</w:t>
      </w:r>
      <w:r w:rsidRPr="00831E7B">
        <w:rPr>
          <w:rFonts w:ascii="Arial" w:eastAsia="Calibri" w:hAnsi="Arial" w:cs="Arial"/>
          <w:sz w:val="20"/>
          <w:szCs w:val="20"/>
          <w:lang w:val="fr-FR" w:eastAsia="fr-FR"/>
        </w:rPr>
        <w:t xml:space="preserve"> reste très faible suite à l’insécurité du pays depuis la crise de 2012 et à la destruction d’une partie du patrimoine culturel. Les initiatives en faveur de l'écotourisme n'ont pu se déployer comme prévu. </w:t>
      </w:r>
    </w:p>
    <w:p w14:paraId="7B1EDE35" w14:textId="77777777" w:rsidR="00831E7B" w:rsidRPr="00831E7B" w:rsidRDefault="00831E7B" w:rsidP="00831E7B">
      <w:pPr>
        <w:spacing w:before="120" w:after="120" w:line="240" w:lineRule="auto"/>
        <w:rPr>
          <w:rFonts w:ascii="Arial" w:eastAsia="Times New Roman" w:hAnsi="Arial" w:cs="Arial"/>
          <w:sz w:val="20"/>
          <w:szCs w:val="20"/>
          <w:lang w:val="fr-FR"/>
        </w:rPr>
      </w:pPr>
      <w:r w:rsidRPr="00831E7B">
        <w:rPr>
          <w:rFonts w:ascii="Arial" w:eastAsia="Calibri" w:hAnsi="Arial" w:cs="Arial"/>
          <w:sz w:val="20"/>
          <w:szCs w:val="20"/>
          <w:lang w:val="fr-FR" w:eastAsia="fr-FR"/>
        </w:rPr>
        <w:t xml:space="preserve">La </w:t>
      </w:r>
      <w:r w:rsidRPr="00831E7B">
        <w:rPr>
          <w:rFonts w:ascii="Arial" w:eastAsia="Calibri" w:hAnsi="Arial" w:cs="Arial"/>
          <w:b/>
          <w:sz w:val="20"/>
          <w:szCs w:val="20"/>
          <w:lang w:val="fr-FR" w:eastAsia="fr-FR"/>
        </w:rPr>
        <w:t>gestion des déchets</w:t>
      </w:r>
      <w:r w:rsidRPr="00831E7B">
        <w:rPr>
          <w:rFonts w:ascii="Arial" w:eastAsia="Calibri" w:hAnsi="Arial" w:cs="Arial"/>
          <w:sz w:val="20"/>
          <w:szCs w:val="20"/>
          <w:lang w:val="fr-FR" w:eastAsia="fr-FR"/>
        </w:rPr>
        <w:t xml:space="preserve"> ne suit pas la croissance démographique et l’urbanisation croissante du Mali et seuls 35 % des p</w:t>
      </w:r>
      <w:r w:rsidRPr="00831E7B">
        <w:rPr>
          <w:rFonts w:ascii="Arial" w:eastAsia="Times New Roman" w:hAnsi="Arial" w:cs="Arial"/>
          <w:sz w:val="20"/>
          <w:szCs w:val="20"/>
          <w:lang w:val="fr-FR"/>
        </w:rPr>
        <w:t xml:space="preserve">opulations bénéficie d’un système d’assainissement d’eau en zones urbaines et 14 % en zones rurales. Les quelques stations de traitement des boues ne sont pas suffisantes et souffrent de problèmes de fonctionnement et ces dernières sont rejetées dans la « nature ». Seuls 40 % à 60 % des déchets solides sont évacués vers des sites de dépôt finaux, le restant s’accumulant dans des dépôts anarchiques. Le recyclage des déchets est informel et se limite aux métaux, aux plastiques et à une partie des déchets organiques. Il existe un manque de moyens d’enlèvement et la gestion des déchets biomédicaux (notamment dans le secteur privé) et industriels est inadéquate. </w:t>
      </w:r>
    </w:p>
    <w:p w14:paraId="6A3F9475" w14:textId="77777777" w:rsidR="00831E7B" w:rsidRPr="00831E7B" w:rsidRDefault="00831E7B" w:rsidP="00831E7B">
      <w:pPr>
        <w:spacing w:before="120" w:after="120" w:line="240" w:lineRule="auto"/>
        <w:rPr>
          <w:rFonts w:ascii="Arial" w:eastAsia="Calibri" w:hAnsi="Arial" w:cs="Arial"/>
          <w:sz w:val="20"/>
          <w:szCs w:val="20"/>
          <w:lang w:val="fr-FR" w:eastAsia="fr-FR"/>
        </w:rPr>
      </w:pPr>
      <w:r w:rsidRPr="00831E7B">
        <w:rPr>
          <w:rFonts w:ascii="Arial" w:eastAsia="Calibri" w:hAnsi="Arial" w:cs="Arial"/>
          <w:sz w:val="20"/>
          <w:szCs w:val="20"/>
          <w:lang w:val="fr-FR" w:eastAsia="fr-FR"/>
        </w:rPr>
        <w:t xml:space="preserve">Les </w:t>
      </w:r>
      <w:r w:rsidRPr="00831E7B">
        <w:rPr>
          <w:rFonts w:ascii="Arial" w:eastAsia="Calibri" w:hAnsi="Arial" w:cs="Arial"/>
          <w:b/>
          <w:sz w:val="20"/>
          <w:szCs w:val="20"/>
          <w:lang w:val="fr-FR" w:eastAsia="fr-FR"/>
        </w:rPr>
        <w:t>émissions de Gaz à Effet de Serre</w:t>
      </w:r>
      <w:r w:rsidRPr="00831E7B">
        <w:rPr>
          <w:rFonts w:ascii="Arial" w:eastAsia="Calibri" w:hAnsi="Arial" w:cs="Arial"/>
          <w:sz w:val="20"/>
          <w:szCs w:val="20"/>
          <w:lang w:val="fr-FR" w:eastAsia="fr-FR"/>
        </w:rPr>
        <w:t xml:space="preserve"> (GES) pour l’année de référence de 2010, se répartissent entre une absorption de 244.799 kTE-CO2 pour le changement d’affectation des terres (résultante entre l’absorption des forêts et les émissions liées aux variations de carbone suite au défrichement annuel de 500.000 ha, soit  88,8 % du total des émissions) et des émissions provenant de l’agriculture (48.402,5 kTE-CO2, 8 %), de l’énergie (4.287,9 kTE-CO2, 2,6 %), des déchets (304,9 kTE-CO2, 0,5 %) et des procédés industriels (67,5 kTE-CO2, 0,1 %). Ainsi, le Mali en 2010 peut absorber 191.736 kTE-CO2 (bilan de l’absorption et des émissions). Toutefois, si le défrichement se poursuit au même rythme, le pays ne sera plus un puits de carbone d’ici quelques années.</w:t>
      </w:r>
    </w:p>
    <w:p w14:paraId="242F3A6D" w14:textId="77777777" w:rsidR="00831E7B" w:rsidRPr="00831E7B" w:rsidRDefault="00831E7B" w:rsidP="00525222">
      <w:pPr>
        <w:pStyle w:val="Titre3"/>
      </w:pPr>
      <w:bookmarkStart w:id="6" w:name="_Toc20505610"/>
      <w:r w:rsidRPr="00831E7B">
        <w:t>L’impact socio-économique de l’état de l’environnement</w:t>
      </w:r>
      <w:bookmarkEnd w:id="6"/>
      <w:r w:rsidRPr="00831E7B">
        <w:t xml:space="preserve"> </w:t>
      </w:r>
    </w:p>
    <w:p w14:paraId="42E12CFB" w14:textId="77777777" w:rsidR="00831E7B" w:rsidRPr="00831E7B" w:rsidRDefault="00831E7B" w:rsidP="00831E7B">
      <w:pPr>
        <w:autoSpaceDE w:val="0"/>
        <w:autoSpaceDN w:val="0"/>
        <w:adjustRightInd w:val="0"/>
        <w:spacing w:before="120" w:after="120" w:line="240" w:lineRule="auto"/>
        <w:rPr>
          <w:rFonts w:ascii="Arial" w:eastAsia="Times New Roman" w:hAnsi="Arial" w:cs="Arial"/>
          <w:sz w:val="20"/>
          <w:szCs w:val="20"/>
          <w:lang w:val="fr-FR"/>
        </w:rPr>
      </w:pPr>
      <w:r w:rsidRPr="00831E7B">
        <w:rPr>
          <w:rFonts w:ascii="Arial" w:eastAsia="Times New Roman" w:hAnsi="Arial" w:cs="Arial"/>
          <w:sz w:val="20"/>
          <w:szCs w:val="20"/>
          <w:lang w:val="fr-FR"/>
        </w:rPr>
        <w:t xml:space="preserve">Liée, entre autres, à la </w:t>
      </w:r>
      <w:r w:rsidRPr="00831E7B">
        <w:rPr>
          <w:rFonts w:ascii="Arial" w:eastAsia="Times New Roman" w:hAnsi="Arial" w:cs="Arial"/>
          <w:b/>
          <w:bCs/>
          <w:sz w:val="20"/>
          <w:szCs w:val="20"/>
          <w:lang w:val="fr-FR"/>
        </w:rPr>
        <w:t>dégradation des ressources naturelles et aux impacts du changement climatique</w:t>
      </w:r>
      <w:r w:rsidRPr="00831E7B">
        <w:rPr>
          <w:rFonts w:ascii="Arial" w:eastAsia="Times New Roman" w:hAnsi="Arial" w:cs="Arial"/>
          <w:sz w:val="20"/>
          <w:szCs w:val="20"/>
          <w:lang w:val="fr-FR"/>
        </w:rPr>
        <w:t xml:space="preserve">, la population est pauvre à 44,9 % en 2017 (46,8 % en 2016). Cette pauvreté perdure </w:t>
      </w:r>
      <w:r w:rsidRPr="00831E7B">
        <w:rPr>
          <w:rFonts w:ascii="Arial" w:eastAsia="Times New Roman" w:hAnsi="Arial" w:cs="Arial"/>
          <w:sz w:val="20"/>
          <w:szCs w:val="20"/>
          <w:lang w:val="fr-FR" w:eastAsia="fr-FR"/>
        </w:rPr>
        <w:t xml:space="preserve">en raison de la crise politique, de la perturbation des échanges commerciaux et du faible niveau des investissements publics. Le milieu rural reste plus pauvre avec un taux de pauvreté de 53,6 % contre 19,0 % en milieu urbain. Cette pauvreté entrave le devenir des jeunes dans un contexte de croissance démographique forte.  Beaucoup sont attirés par l’orpaillage (en 2011, ce secteur touchait </w:t>
      </w:r>
      <w:r w:rsidRPr="00831E7B">
        <w:rPr>
          <w:rFonts w:ascii="Arial" w:eastAsia="Calibri" w:hAnsi="Arial" w:cs="Arial"/>
          <w:sz w:val="20"/>
          <w:szCs w:val="20"/>
          <w:lang w:val="fr-FR" w:eastAsia="fr-FR"/>
        </w:rPr>
        <w:t>200.000 travailleurs adultes et 20.000 à 40.000 enfants)</w:t>
      </w:r>
      <w:r w:rsidRPr="00831E7B">
        <w:rPr>
          <w:rFonts w:ascii="Arial" w:eastAsia="Times New Roman" w:hAnsi="Arial" w:cs="Arial"/>
          <w:sz w:val="20"/>
          <w:szCs w:val="20"/>
          <w:lang w:val="fr-FR" w:eastAsia="fr-FR"/>
        </w:rPr>
        <w:t xml:space="preserve">, augmentant la pression sur les ressources naturelles et raréfiant la main d’œuvre agricole. </w:t>
      </w:r>
      <w:r w:rsidRPr="00831E7B">
        <w:rPr>
          <w:rFonts w:ascii="Arial" w:eastAsia="Times New Roman" w:hAnsi="Arial" w:cs="Arial"/>
          <w:sz w:val="20"/>
          <w:szCs w:val="20"/>
          <w:lang w:val="fr-FR"/>
        </w:rPr>
        <w:t>Les productions primaires déclinent en raison de la diminution des pluies utiles et de la dégradation des sols. L’appauvrissement en éléments nutritifs entraîne une baisse de la productivité des cultures qui peut représenter plus de 50 % des productions. La dégradation de la qualité de l’eau et de l’air menace la santé. Le taux d’incidence des maladies diarrhéiques pour 1000 enfants âgés de moins de 11 mois est de 113,9 en 2016 contre 60,2 en 1998.  La dégradation de la qualité de l’air entraine des infections respiratoires aigües (IRA). Le taux d’incidence des infections respiratoires aigües pour 1000 enfants âgés de moins de 11 mois est de 84,05 (180,6 à Bamako) contre 51,04 en 1998.</w:t>
      </w:r>
    </w:p>
    <w:p w14:paraId="53877AAA" w14:textId="77777777" w:rsidR="00831E7B" w:rsidRPr="00831E7B" w:rsidRDefault="00831E7B" w:rsidP="00831E7B">
      <w:pPr>
        <w:spacing w:before="120" w:after="120" w:line="240" w:lineRule="auto"/>
        <w:rPr>
          <w:rFonts w:ascii="Arial" w:eastAsia="Calibri" w:hAnsi="Arial" w:cs="Arial"/>
          <w:sz w:val="20"/>
          <w:szCs w:val="20"/>
          <w:lang w:val="fr-FR" w:eastAsia="fr-FR"/>
        </w:rPr>
      </w:pPr>
      <w:r w:rsidRPr="00831E7B">
        <w:rPr>
          <w:rFonts w:ascii="Arial" w:eastAsia="Calibri" w:hAnsi="Arial" w:cs="Arial"/>
          <w:sz w:val="20"/>
          <w:szCs w:val="20"/>
          <w:lang w:val="fr-FR" w:eastAsia="fr-FR"/>
        </w:rPr>
        <w:t xml:space="preserve">Ces </w:t>
      </w:r>
      <w:r w:rsidRPr="00831E7B">
        <w:rPr>
          <w:rFonts w:ascii="Arial" w:eastAsia="Calibri" w:hAnsi="Arial" w:cs="Arial"/>
          <w:b/>
          <w:bCs/>
          <w:sz w:val="20"/>
          <w:szCs w:val="20"/>
          <w:lang w:val="fr-FR" w:eastAsia="fr-FR"/>
        </w:rPr>
        <w:t>Onze dernières années (2007-2017), le Mali a connu sept évènements extrêmes</w:t>
      </w:r>
      <w:r w:rsidRPr="00831E7B">
        <w:rPr>
          <w:rFonts w:ascii="Arial" w:eastAsia="Calibri" w:hAnsi="Arial" w:cs="Arial"/>
          <w:sz w:val="20"/>
          <w:szCs w:val="20"/>
          <w:lang w:val="fr-FR" w:eastAsia="fr-FR"/>
        </w:rPr>
        <w:t xml:space="preserve"> avec 2 grandes sécheresses (2010 et 2011) et 5 grandes inondations (2 en 2007, 2013, 2016, 2017) touchant plus de 4.200.000 personnes. Pour l’année 2018, 868.000 personnes ont besoin d’une assistance alimentaire immédiate ; l’insécurité alimentaire affectant 4,1 millions de personnes au Mali. La succession des catastrophes naturelles, exacerbées par la </w:t>
      </w:r>
      <w:r w:rsidRPr="00831E7B">
        <w:rPr>
          <w:rFonts w:ascii="Arial" w:eastAsia="Calibri" w:hAnsi="Arial" w:cs="Arial"/>
          <w:sz w:val="20"/>
          <w:szCs w:val="20"/>
          <w:lang w:val="fr-FR" w:eastAsia="fr-FR"/>
        </w:rPr>
        <w:lastRenderedPageBreak/>
        <w:t>crise politico-sécuritaire de 2012, ont aggravé la chronicité de la malnutrition aiguë globale (10,7 % en 2017) du pays et, plus particulièrement, celle des régions de Gao (17,4 % en 2017) et de Tombouctou. Ainsi, la situation d'insécurité alimentaire entraine des migrations qui accroissent les pressions humaines et animales et augmentent les conflits liés à l’accès aux ressources naturelles. Depuis la crise de 2012, le pays connait le spectre des conflits intercommunautaires et intra-communautaires, conséquence de l’extrême affaiblissement de l’Etat.</w:t>
      </w:r>
    </w:p>
    <w:p w14:paraId="0F79B1AA" w14:textId="77777777" w:rsidR="00831E7B" w:rsidRPr="00831E7B" w:rsidRDefault="00831E7B" w:rsidP="00831E7B">
      <w:pPr>
        <w:spacing w:before="120" w:after="120" w:line="240" w:lineRule="auto"/>
        <w:contextualSpacing/>
        <w:rPr>
          <w:rFonts w:ascii="Arial" w:eastAsia="Calibri" w:hAnsi="Arial" w:cs="Arial"/>
          <w:sz w:val="20"/>
          <w:szCs w:val="20"/>
          <w:lang w:val="fr-FR" w:eastAsia="fr-FR"/>
        </w:rPr>
      </w:pPr>
      <w:r w:rsidRPr="00831E7B">
        <w:rPr>
          <w:rFonts w:ascii="Arial" w:eastAsia="Calibri" w:hAnsi="Arial" w:cs="Arial"/>
          <w:sz w:val="20"/>
          <w:szCs w:val="20"/>
          <w:lang w:val="fr-FR" w:eastAsia="fr-FR"/>
        </w:rPr>
        <w:t xml:space="preserve">Les </w:t>
      </w:r>
      <w:r w:rsidRPr="00831E7B">
        <w:rPr>
          <w:rFonts w:ascii="Arial" w:eastAsia="Calibri" w:hAnsi="Arial" w:cs="Arial"/>
          <w:b/>
          <w:sz w:val="20"/>
          <w:szCs w:val="20"/>
          <w:lang w:val="fr-FR" w:eastAsia="fr-FR"/>
        </w:rPr>
        <w:t>coûts de la dégradation de l’environnement</w:t>
      </w:r>
      <w:r w:rsidRPr="00831E7B">
        <w:rPr>
          <w:rFonts w:ascii="Arial" w:eastAsia="Calibri" w:hAnsi="Arial" w:cs="Arial"/>
          <w:sz w:val="20"/>
          <w:szCs w:val="20"/>
          <w:lang w:val="fr-FR" w:eastAsia="fr-FR"/>
        </w:rPr>
        <w:t xml:space="preserve"> représentent entre 12,5 % (TOURE, 2016) et 23 % (PNUD, 2008) et sont principalement liés à la dégradation des sols, aux dommages environnementaux sur l'état des forêts et de l'eau et aux inefficiences, dans l’utilisation des ressources naturelles, des intrants agricoles et de l'énergie. En cas d’inaction, les dommages futurs s’avéreront encore plus sévères. </w:t>
      </w:r>
    </w:p>
    <w:p w14:paraId="4AA17B6F" w14:textId="77777777" w:rsidR="00831E7B" w:rsidRPr="00831E7B" w:rsidRDefault="00831E7B" w:rsidP="00525222">
      <w:pPr>
        <w:pStyle w:val="Titre3"/>
      </w:pPr>
      <w:bookmarkStart w:id="7" w:name="_Toc20505611"/>
      <w:r w:rsidRPr="00831E7B">
        <w:t>Politique environnementale, cadre institutionnel et législatif</w:t>
      </w:r>
      <w:bookmarkEnd w:id="7"/>
    </w:p>
    <w:p w14:paraId="30091F67" w14:textId="77777777" w:rsidR="00831E7B" w:rsidRPr="00831E7B" w:rsidRDefault="00831E7B" w:rsidP="00831E7B">
      <w:pPr>
        <w:spacing w:before="120" w:after="120" w:line="240" w:lineRule="auto"/>
        <w:rPr>
          <w:rFonts w:ascii="Arial" w:eastAsia="Times New Roman" w:hAnsi="Arial" w:cs="Arial"/>
          <w:sz w:val="20"/>
          <w:szCs w:val="20"/>
          <w:lang w:val="fr-FR"/>
        </w:rPr>
      </w:pPr>
      <w:r w:rsidRPr="00831E7B">
        <w:rPr>
          <w:rFonts w:ascii="Arial" w:eastAsia="Times New Roman" w:hAnsi="Arial" w:cs="Arial"/>
          <w:sz w:val="20"/>
          <w:szCs w:val="20"/>
          <w:lang w:val="fr-FR"/>
        </w:rPr>
        <w:t>Le Cadre pour la Relance Economique et de Développement Durable du Mali (CREDD 2016-2018 et actuellement 2019-2023) constitue la référence pour la formulation et la mise en œuvre des politiques économiques et sociales et la Politique Nationale de Protection de l’Environnement (PNPE de 1998 en relecture depuis 2012) celle de l’environnement et du phénomène de désertification. Le changement climatique est intégré dans la Politique Nationale de Changement Climatique (PNCC) de 2011 et les aspects environnementaux sont bien intégrés dans les politiques sectorielles. L</w:t>
      </w:r>
      <w:r w:rsidRPr="00831E7B">
        <w:rPr>
          <w:rFonts w:ascii="Arial" w:eastAsia="Calibri" w:hAnsi="Arial" w:cs="Arial"/>
          <w:sz w:val="20"/>
          <w:szCs w:val="20"/>
          <w:lang w:val="fr-FR" w:eastAsia="fr-FR"/>
        </w:rPr>
        <w:t xml:space="preserve">e Mali dispose de législations et réglementations régissant la préservation de l’environnement et l’application sur le terrain (Etude d’Impact Environnementale et Sociale (EIES), Evaluation Environnementale Stratégique (EES). </w:t>
      </w:r>
      <w:r w:rsidRPr="00831E7B">
        <w:rPr>
          <w:rFonts w:ascii="Arial" w:eastAsia="Times New Roman" w:hAnsi="Arial" w:cs="Arial"/>
          <w:sz w:val="20"/>
          <w:szCs w:val="20"/>
          <w:lang w:val="fr-FR"/>
        </w:rPr>
        <w:t>Toutefois, force est de reconnaître que cette législation est peu connue par les différents acteurs et n'est que très peu appliquée sur le terrain.</w:t>
      </w:r>
    </w:p>
    <w:p w14:paraId="6906703B" w14:textId="77777777" w:rsidR="00831E7B" w:rsidRPr="00831E7B" w:rsidRDefault="00831E7B" w:rsidP="00831E7B">
      <w:pPr>
        <w:spacing w:before="120" w:after="120" w:line="240" w:lineRule="auto"/>
        <w:rPr>
          <w:rFonts w:ascii="Arial" w:eastAsia="Times New Roman" w:hAnsi="Arial" w:cs="Arial"/>
          <w:sz w:val="20"/>
          <w:szCs w:val="20"/>
          <w:lang w:val="fr-FR"/>
        </w:rPr>
      </w:pPr>
      <w:r w:rsidRPr="00831E7B">
        <w:rPr>
          <w:rFonts w:ascii="Arial" w:eastAsia="Times New Roman" w:hAnsi="Arial" w:cs="Arial"/>
          <w:sz w:val="20"/>
          <w:szCs w:val="20"/>
          <w:lang w:val="fr-FR"/>
        </w:rPr>
        <w:t xml:space="preserve">L’approche participative est privilégiée lors de la rédaction et de la mise en œuvre des politiques, stratégies et plans d’actions dans le domaine de l’environnement. La société civile participe au niveau local à l’élaboration et à la mise en œuvre du Programme de Développement Economique Social et Culturel (PDESC), à la mobilisation des ressources financières et à l’élaboration des conventions locales qui sont reconnues officiellement. Elle collabore, à travers du Conseil National de l’Environnement (CNE), aux décisions politiques nationales mais n’est que très rarement associée au suivi et au contrôle des EIES et aux Plan de Gestion Environnementale et Sociale (PGES). </w:t>
      </w:r>
    </w:p>
    <w:p w14:paraId="370C8204" w14:textId="77777777" w:rsidR="00831E7B" w:rsidRPr="00831E7B" w:rsidRDefault="00831E7B" w:rsidP="00831E7B">
      <w:pPr>
        <w:spacing w:before="120" w:after="120" w:line="240" w:lineRule="auto"/>
        <w:rPr>
          <w:rFonts w:ascii="Arial" w:eastAsia="Times New Roman" w:hAnsi="Arial" w:cs="Arial"/>
          <w:sz w:val="20"/>
          <w:szCs w:val="20"/>
          <w:lang w:val="fr-FR"/>
        </w:rPr>
      </w:pPr>
      <w:r w:rsidRPr="00831E7B">
        <w:rPr>
          <w:rFonts w:ascii="Arial" w:eastAsia="Times New Roman" w:hAnsi="Arial" w:cs="Arial"/>
          <w:sz w:val="20"/>
          <w:szCs w:val="20"/>
          <w:lang w:val="fr-FR"/>
        </w:rPr>
        <w:t>Sur le plan de la décentralisation, le décret N°2018 – 0079/P-PM du 29 janvier 2018 fixe le détail des compétences de l’Etat transférées aux collectivités territoriales en matière de gestion des ressources forestières et fauniques mais actuellement la plupart des élus ne connaissent pas la législation environnementale et n’ont ni les compétences ni les moyens financiers pour l’intégrer à leurs plans de développement.</w:t>
      </w:r>
    </w:p>
    <w:p w14:paraId="75E4B395" w14:textId="77777777" w:rsidR="00831E7B" w:rsidRPr="00831E7B" w:rsidRDefault="00831E7B" w:rsidP="00831E7B">
      <w:pPr>
        <w:spacing w:before="120" w:after="120" w:line="240" w:lineRule="auto"/>
        <w:rPr>
          <w:rFonts w:ascii="Arial" w:eastAsia="Times New Roman" w:hAnsi="Arial" w:cs="Arial"/>
          <w:sz w:val="20"/>
          <w:szCs w:val="20"/>
          <w:lang w:val="fr-FR"/>
        </w:rPr>
      </w:pPr>
      <w:r w:rsidRPr="00831E7B">
        <w:rPr>
          <w:rFonts w:ascii="Arial" w:eastAsia="Times New Roman" w:hAnsi="Arial" w:cs="Arial"/>
          <w:sz w:val="20"/>
          <w:szCs w:val="20"/>
          <w:lang w:val="fr-FR"/>
        </w:rPr>
        <w:t xml:space="preserve">Au niveau international, le Mali a ratifié les principales conventions et alliances internationales et régionales mais il reste la Convention des Nations Unies sur le droit relatif aux utilisations des cours d’eau internationaux à des fins autres que la navigation. </w:t>
      </w:r>
    </w:p>
    <w:p w14:paraId="61CA5D0E" w14:textId="77777777" w:rsidR="00831E7B" w:rsidRPr="00831E7B" w:rsidRDefault="00831E7B" w:rsidP="00831E7B">
      <w:pPr>
        <w:spacing w:before="120" w:after="120" w:line="240" w:lineRule="auto"/>
        <w:rPr>
          <w:rFonts w:ascii="Arial" w:eastAsia="Calibri" w:hAnsi="Arial" w:cs="Arial"/>
          <w:sz w:val="20"/>
          <w:szCs w:val="20"/>
          <w:lang w:val="fr-CA" w:eastAsia="fr-FR"/>
        </w:rPr>
      </w:pPr>
      <w:r w:rsidRPr="00831E7B">
        <w:rPr>
          <w:rFonts w:ascii="Arial" w:eastAsia="Times New Roman" w:hAnsi="Arial" w:cs="Arial"/>
          <w:sz w:val="20"/>
          <w:szCs w:val="20"/>
          <w:lang w:val="fr-FR"/>
        </w:rPr>
        <w:t xml:space="preserve">Le cadre institutionnel en matière d’environnement relève du Ministère de l'Environnement, de l'Assainissement et du Développement Durable (MEADD) qui s’appuie </w:t>
      </w:r>
      <w:r w:rsidRPr="00831E7B">
        <w:rPr>
          <w:rFonts w:ascii="Arial" w:eastAsia="Calibri" w:hAnsi="Arial" w:cs="Arial"/>
          <w:sz w:val="20"/>
          <w:szCs w:val="20"/>
          <w:lang w:val="fr-CA" w:eastAsia="fr-FR"/>
        </w:rPr>
        <w:t xml:space="preserve">sur la Direction Nationale de l’Assainissement du Contrôle des Pollutions et des Nuisances (DNACPN) et la Direction Nationale des Eaux et des Forêts (DNEF). Une série d'agences aident le MEADD dans son travail. Parmi celles-ci, il faut citer l’Agence de l’Environnement et du Développement Durable (AEDD), l'Agence du Bassin du Fleuve Niger (ABFN), l’Agence Nationale de Gestion des Stations d’Épuration du Mali (ANGESEM) et l’Agence Nationale de la Météorologie (ANM). Le CNE intègre la société civile et formule des recommandations liées à la préservation de l'environnement tandis que le Comité National des Changements Climatiques (CNCC) appuie le gouvernement dans la formulation de sa politique. </w:t>
      </w:r>
    </w:p>
    <w:p w14:paraId="2B60BABA" w14:textId="77777777" w:rsidR="00831E7B" w:rsidRPr="00831E7B" w:rsidRDefault="00831E7B" w:rsidP="00831E7B">
      <w:pPr>
        <w:spacing w:before="120" w:after="120" w:line="240" w:lineRule="auto"/>
        <w:rPr>
          <w:rFonts w:ascii="Arial" w:eastAsia="Calibri" w:hAnsi="Arial" w:cs="Arial"/>
          <w:sz w:val="20"/>
          <w:szCs w:val="20"/>
          <w:lang w:val="fr-CA" w:eastAsia="fr-FR"/>
        </w:rPr>
      </w:pPr>
      <w:r w:rsidRPr="00831E7B">
        <w:rPr>
          <w:rFonts w:ascii="Arial" w:eastAsia="Calibri" w:hAnsi="Arial" w:cs="Arial"/>
          <w:sz w:val="20"/>
          <w:szCs w:val="20"/>
          <w:lang w:val="fr-CA" w:eastAsia="fr-FR"/>
        </w:rPr>
        <w:t>En conclusion, i) le cadre institutionnel est complexe et mériterait une simplification, (ii) les collectivités territoriales responsabilisées ont besoin d’être mieux informées sur la législation environnementale et d’avoir une autonomie financière améliorée, (iii) la société civile et le secteur privé devraient être mieux impliqués, (iv) la gestion des aires protégées devrait être améliorée, et (v) la sensibilisation à la préservation de l'environnement à tous les niveaux est nécessaire.</w:t>
      </w:r>
    </w:p>
    <w:p w14:paraId="38E846D7" w14:textId="77777777" w:rsidR="00831E7B" w:rsidRPr="00831E7B" w:rsidRDefault="00831E7B" w:rsidP="00525222">
      <w:pPr>
        <w:pStyle w:val="Titre3"/>
      </w:pPr>
      <w:bookmarkStart w:id="8" w:name="_Toc20505612"/>
      <w:r w:rsidRPr="00831E7B">
        <w:t>La coopération de l’UE et des autres bailleurs en matière d’environnement</w:t>
      </w:r>
      <w:bookmarkEnd w:id="8"/>
      <w:r w:rsidRPr="00831E7B">
        <w:t xml:space="preserve"> </w:t>
      </w:r>
    </w:p>
    <w:p w14:paraId="41F274B5" w14:textId="77777777" w:rsidR="00831E7B" w:rsidRPr="00831E7B" w:rsidRDefault="00831E7B" w:rsidP="00831E7B">
      <w:pPr>
        <w:spacing w:before="120" w:after="120" w:line="240" w:lineRule="auto"/>
        <w:rPr>
          <w:rFonts w:ascii="Arial" w:eastAsia="Times New Roman" w:hAnsi="Arial" w:cs="Arial"/>
          <w:sz w:val="20"/>
          <w:szCs w:val="20"/>
          <w:lang w:val="fr-FR"/>
        </w:rPr>
      </w:pPr>
      <w:r w:rsidRPr="00831E7B">
        <w:rPr>
          <w:rFonts w:ascii="Arial" w:eastAsia="Calibri" w:hAnsi="Arial" w:cs="Arial"/>
          <w:sz w:val="20"/>
          <w:szCs w:val="20"/>
          <w:lang w:val="fr-FR" w:eastAsia="fr-FR"/>
        </w:rPr>
        <w:t xml:space="preserve">Le groupe thématique des PTF « Environnement et Changements Climatiques » est structuré, reposant sur l’institutionnalisation d'échanges avec le gouvernement malien, un plan de communication et un plan de travail annuel jusqu’à fin 2016. Depuis, cette dynamique s’est affaiblie. </w:t>
      </w:r>
      <w:r w:rsidRPr="00831E7B">
        <w:rPr>
          <w:rFonts w:ascii="Arial" w:eastAsia="Calibri" w:hAnsi="Arial" w:cs="Arial"/>
          <w:sz w:val="20"/>
          <w:szCs w:val="20"/>
          <w:lang w:val="fr-CA" w:eastAsia="fr-FR"/>
        </w:rPr>
        <w:t>L’ensemble des PTF traditionnels reconnaissent l’importance des enjeux liés à la préservation de l’environnement et</w:t>
      </w:r>
      <w:r w:rsidRPr="00831E7B">
        <w:rPr>
          <w:rFonts w:ascii="Arial" w:eastAsia="Times New Roman" w:hAnsi="Arial" w:cs="Arial"/>
          <w:sz w:val="20"/>
          <w:szCs w:val="20"/>
          <w:lang w:val="fr-FR"/>
        </w:rPr>
        <w:t xml:space="preserve">, depuis plusieurs années, il y a une tendance à privilégier les projets de résilience aux changements climatiques intégrant la gestion des ressources naturelles. </w:t>
      </w:r>
    </w:p>
    <w:p w14:paraId="0D740BFD" w14:textId="77777777" w:rsidR="00831E7B" w:rsidRPr="00831E7B" w:rsidRDefault="00831E7B" w:rsidP="00525222">
      <w:pPr>
        <w:pStyle w:val="Titre3"/>
      </w:pPr>
      <w:bookmarkStart w:id="9" w:name="_Toc20505613"/>
      <w:r w:rsidRPr="00831E7B">
        <w:t>L’analyse de la prise en compte des recommandations du PEP 2014</w:t>
      </w:r>
      <w:bookmarkEnd w:id="9"/>
    </w:p>
    <w:p w14:paraId="37FCA048" w14:textId="77777777" w:rsidR="00831E7B" w:rsidRPr="00831E7B" w:rsidRDefault="00831E7B" w:rsidP="00831E7B">
      <w:pPr>
        <w:spacing w:before="120" w:after="120" w:line="240" w:lineRule="auto"/>
        <w:rPr>
          <w:rFonts w:ascii="Arial" w:eastAsia="Calibri" w:hAnsi="Arial" w:cs="Arial"/>
          <w:sz w:val="20"/>
          <w:szCs w:val="20"/>
          <w:lang w:val="fr-FR" w:eastAsia="fr-FR"/>
        </w:rPr>
      </w:pPr>
      <w:r w:rsidRPr="00831E7B">
        <w:rPr>
          <w:rFonts w:ascii="Arial" w:eastAsia="Calibri" w:hAnsi="Arial" w:cs="Arial"/>
          <w:sz w:val="20"/>
          <w:szCs w:val="20"/>
          <w:lang w:val="fr-FR" w:eastAsia="fr-FR"/>
        </w:rPr>
        <w:t xml:space="preserve">Seules les recommandations portant sur l’élaboration d’Evaluations Environnementales Stratégiques (EES) et la mise en place du suivi environnemental harmonisé pour une meilleure gestion environnementale (Système National de Gestion de l’Information Environnementale ou SNGIE) ont été prises en compte. Pour l’essentiel des recommandations, les activités ont été entamées par leur inscription dans les planifications récentes. Néanmoins, la </w:t>
      </w:r>
      <w:r w:rsidRPr="00831E7B">
        <w:rPr>
          <w:rFonts w:ascii="Arial" w:eastAsia="Calibri" w:hAnsi="Arial" w:cs="Arial"/>
          <w:sz w:val="20"/>
          <w:szCs w:val="20"/>
          <w:lang w:val="fr-FR" w:eastAsia="fr-FR"/>
        </w:rPr>
        <w:lastRenderedPageBreak/>
        <w:t>traduction sur le terrain, notamment dans le secteur développement rural /sécurité alimentaire, reste encore timide, limitée à quelques projets appuyés par les PTF et les processus sont à suivre, à élargir et à accélérer. Depuis 2018, il existe un décret sur le transfert des compétences de gestion des ressources naturelles de l’Etat aux collectivités territoriales avec une plus grande implication du secteur privé et des acteurs locaux. L’application du décret demandera encore beaucoup d’effort dans le renforcement des capacités des acteurs pour rendre la gestion environnementale locale efficace. En revanche, plusieurs recommandations stratégiques et cruciales, telles que le financement durable de l’action environnementale, la maîtrise de la croissance démographique, l'Information, l’Education et la Communication (IEC), l’intégration transversale des aspects environnementaux dans tous les domaines, les questions institutionnelles et le développement urbain et des industries n’ont pas eu de réponses adéquates et devront rester les priorités de l’avenir, malgré leur priorisation depuis le premier PEP 2006. Ce constat de non – mise en œuvre des recommandations concerne aussi le « suivi environnemental spécifique au niveau des bailleurs », où les indicateurs proposés par le PEP 2014 pour les principaux domaines d’intervention n’ont pas trouvé leur traduction dans la matrice de suivi du 11</w:t>
      </w:r>
      <w:r w:rsidRPr="00831E7B">
        <w:rPr>
          <w:rFonts w:ascii="Arial" w:eastAsia="Calibri" w:hAnsi="Arial" w:cs="Arial"/>
          <w:sz w:val="20"/>
          <w:szCs w:val="20"/>
          <w:vertAlign w:val="superscript"/>
          <w:lang w:val="fr-FR" w:eastAsia="fr-FR"/>
        </w:rPr>
        <w:t>ème</w:t>
      </w:r>
      <w:r w:rsidRPr="00831E7B">
        <w:rPr>
          <w:rFonts w:ascii="Arial" w:eastAsia="Calibri" w:hAnsi="Arial" w:cs="Arial"/>
          <w:sz w:val="20"/>
          <w:szCs w:val="20"/>
          <w:lang w:val="fr-FR" w:eastAsia="fr-FR"/>
        </w:rPr>
        <w:t xml:space="preserve"> FED.</w:t>
      </w:r>
    </w:p>
    <w:p w14:paraId="719DCCE9" w14:textId="77777777" w:rsidR="00802BA9" w:rsidRPr="006121FB" w:rsidRDefault="00802BA9" w:rsidP="00525222">
      <w:pPr>
        <w:pStyle w:val="Titre3"/>
      </w:pPr>
      <w:bookmarkStart w:id="10" w:name="_Toc20505614"/>
      <w:r w:rsidRPr="006121FB">
        <w:t>Conclusions et recommandations</w:t>
      </w:r>
      <w:bookmarkEnd w:id="10"/>
    </w:p>
    <w:p w14:paraId="4DCAEFEB" w14:textId="77777777" w:rsidR="00802BA9" w:rsidRPr="00514D53" w:rsidRDefault="00802BA9" w:rsidP="00514D53">
      <w:pPr>
        <w:spacing w:before="120" w:after="120" w:line="240" w:lineRule="auto"/>
        <w:rPr>
          <w:rFonts w:ascii="Arial" w:eastAsia="SimSun" w:hAnsi="Arial" w:cs="Arial"/>
          <w:bCs/>
          <w:i/>
          <w:sz w:val="20"/>
          <w:szCs w:val="20"/>
          <w:lang w:val="fr-FR" w:eastAsia="zh-CN"/>
        </w:rPr>
      </w:pPr>
      <w:r w:rsidRPr="006121FB">
        <w:rPr>
          <w:rFonts w:ascii="Arial" w:eastAsia="SimSun" w:hAnsi="Arial" w:cs="Arial"/>
          <w:bCs/>
          <w:i/>
          <w:sz w:val="20"/>
          <w:szCs w:val="20"/>
          <w:lang w:val="fr-FR" w:eastAsia="zh-CN"/>
        </w:rPr>
        <w:t xml:space="preserve"> (*) indique les recommandations spécifiques qui concernent la DUE.</w:t>
      </w:r>
    </w:p>
    <w:p w14:paraId="7D62EC26" w14:textId="77777777" w:rsidR="00802BA9" w:rsidRPr="006121FB" w:rsidRDefault="00802BA9" w:rsidP="006121FB">
      <w:pPr>
        <w:spacing w:before="120" w:after="120" w:line="240" w:lineRule="auto"/>
        <w:rPr>
          <w:rFonts w:ascii="Arial" w:hAnsi="Arial" w:cs="Arial"/>
          <w:i/>
          <w:sz w:val="20"/>
          <w:szCs w:val="20"/>
          <w:lang w:val="fr-FR"/>
        </w:rPr>
      </w:pPr>
      <w:r w:rsidRPr="006121FB">
        <w:rPr>
          <w:rFonts w:ascii="Arial" w:hAnsi="Arial" w:cs="Arial"/>
          <w:b/>
          <w:i/>
          <w:sz w:val="20"/>
          <w:szCs w:val="20"/>
          <w:lang w:val="fr-FR"/>
        </w:rPr>
        <w:t>Conclusion 1 (prioritaire)</w:t>
      </w:r>
      <w:r w:rsidRPr="006121FB">
        <w:rPr>
          <w:rFonts w:ascii="Arial" w:hAnsi="Arial" w:cs="Arial"/>
          <w:i/>
          <w:sz w:val="20"/>
          <w:szCs w:val="20"/>
          <w:lang w:val="fr-FR"/>
        </w:rPr>
        <w:t xml:space="preserve"> </w:t>
      </w:r>
    </w:p>
    <w:p w14:paraId="570A6F94" w14:textId="77777777" w:rsidR="00802BA9" w:rsidRPr="006121FB" w:rsidRDefault="00802BA9" w:rsidP="006121FB">
      <w:pPr>
        <w:spacing w:before="120" w:after="120" w:line="240" w:lineRule="auto"/>
        <w:rPr>
          <w:rFonts w:ascii="Arial" w:hAnsi="Arial" w:cs="Arial"/>
          <w:b/>
          <w:sz w:val="20"/>
          <w:szCs w:val="20"/>
          <w:lang w:val="fr-FR"/>
        </w:rPr>
      </w:pPr>
      <w:r w:rsidRPr="006121FB">
        <w:rPr>
          <w:rFonts w:ascii="Arial" w:hAnsi="Arial" w:cs="Arial"/>
          <w:b/>
          <w:sz w:val="20"/>
          <w:szCs w:val="20"/>
          <w:lang w:val="fr-FR"/>
        </w:rPr>
        <w:t>L’application de la législation environnementale</w:t>
      </w:r>
      <w:r w:rsidR="001445C5">
        <w:rPr>
          <w:rFonts w:ascii="Arial" w:hAnsi="Arial" w:cs="Arial"/>
          <w:b/>
          <w:sz w:val="20"/>
          <w:szCs w:val="20"/>
          <w:lang w:val="fr-FR"/>
        </w:rPr>
        <w:t>,</w:t>
      </w:r>
      <w:r w:rsidRPr="006121FB">
        <w:rPr>
          <w:rFonts w:ascii="Arial" w:hAnsi="Arial" w:cs="Arial"/>
          <w:b/>
          <w:sz w:val="20"/>
          <w:szCs w:val="20"/>
          <w:lang w:val="fr-FR"/>
        </w:rPr>
        <w:t xml:space="preserve"> son contrôle </w:t>
      </w:r>
      <w:r w:rsidR="001445C5">
        <w:rPr>
          <w:rFonts w:ascii="Arial" w:hAnsi="Arial" w:cs="Arial"/>
          <w:b/>
          <w:sz w:val="20"/>
          <w:szCs w:val="20"/>
          <w:lang w:val="fr-FR"/>
        </w:rPr>
        <w:t xml:space="preserve">et la sanction </w:t>
      </w:r>
      <w:r w:rsidRPr="006121FB">
        <w:rPr>
          <w:rFonts w:ascii="Arial" w:hAnsi="Arial" w:cs="Arial"/>
          <w:b/>
          <w:sz w:val="20"/>
          <w:szCs w:val="20"/>
          <w:lang w:val="fr-FR"/>
        </w:rPr>
        <w:t xml:space="preserve">font défaut et s’accroissent </w:t>
      </w:r>
    </w:p>
    <w:p w14:paraId="466771AF" w14:textId="77777777" w:rsidR="00802BA9" w:rsidRPr="006121FB" w:rsidRDefault="00802BA9" w:rsidP="006121FB">
      <w:pPr>
        <w:spacing w:before="120" w:after="120" w:line="240" w:lineRule="auto"/>
        <w:rPr>
          <w:rFonts w:ascii="Arial" w:hAnsi="Arial" w:cs="Arial"/>
          <w:sz w:val="20"/>
          <w:szCs w:val="20"/>
          <w:lang w:val="fr-FR"/>
        </w:rPr>
      </w:pPr>
      <w:r w:rsidRPr="006121FB">
        <w:rPr>
          <w:rFonts w:ascii="Arial" w:hAnsi="Arial" w:cs="Arial"/>
          <w:sz w:val="20"/>
          <w:szCs w:val="20"/>
          <w:lang w:val="fr-FR"/>
        </w:rPr>
        <w:t>Des efforts importants ont été engagés sur le plan législatif et le Mali dispose aujourd’hui d’un cadre réglementaire environnemental quasi - complet. Néanmoins, l</w:t>
      </w:r>
      <w:r w:rsidR="001445C5">
        <w:rPr>
          <w:rFonts w:ascii="Arial" w:hAnsi="Arial" w:cs="Arial"/>
          <w:sz w:val="20"/>
          <w:szCs w:val="20"/>
          <w:lang w:val="fr-FR"/>
        </w:rPr>
        <w:t>es</w:t>
      </w:r>
      <w:r w:rsidRPr="006121FB">
        <w:rPr>
          <w:rFonts w:ascii="Arial" w:hAnsi="Arial" w:cs="Arial"/>
          <w:sz w:val="20"/>
          <w:szCs w:val="20"/>
          <w:lang w:val="fr-FR"/>
        </w:rPr>
        <w:t xml:space="preserve"> réglementation</w:t>
      </w:r>
      <w:r w:rsidR="001445C5">
        <w:rPr>
          <w:rFonts w:ascii="Arial" w:hAnsi="Arial" w:cs="Arial"/>
          <w:sz w:val="20"/>
          <w:szCs w:val="20"/>
          <w:lang w:val="fr-FR"/>
        </w:rPr>
        <w:t>s</w:t>
      </w:r>
      <w:r w:rsidRPr="006121FB">
        <w:rPr>
          <w:rFonts w:ascii="Arial" w:hAnsi="Arial" w:cs="Arial"/>
          <w:sz w:val="20"/>
          <w:szCs w:val="20"/>
          <w:lang w:val="fr-FR"/>
        </w:rPr>
        <w:t xml:space="preserve"> </w:t>
      </w:r>
      <w:r w:rsidR="001445C5">
        <w:rPr>
          <w:rFonts w:ascii="Arial" w:hAnsi="Arial" w:cs="Arial"/>
          <w:sz w:val="20"/>
          <w:szCs w:val="20"/>
          <w:lang w:val="fr-FR"/>
        </w:rPr>
        <w:t>sont</w:t>
      </w:r>
      <w:r w:rsidRPr="006121FB">
        <w:rPr>
          <w:rFonts w:ascii="Arial" w:hAnsi="Arial" w:cs="Arial"/>
          <w:sz w:val="20"/>
          <w:szCs w:val="20"/>
          <w:lang w:val="fr-FR"/>
        </w:rPr>
        <w:t xml:space="preserve"> mal connue</w:t>
      </w:r>
      <w:r w:rsidR="001445C5">
        <w:rPr>
          <w:rFonts w:ascii="Arial" w:hAnsi="Arial" w:cs="Arial"/>
          <w:sz w:val="20"/>
          <w:szCs w:val="20"/>
          <w:lang w:val="fr-FR"/>
        </w:rPr>
        <w:t>s</w:t>
      </w:r>
      <w:r w:rsidRPr="006121FB">
        <w:rPr>
          <w:rFonts w:ascii="Arial" w:hAnsi="Arial" w:cs="Arial"/>
          <w:sz w:val="20"/>
          <w:szCs w:val="20"/>
          <w:lang w:val="fr-FR"/>
        </w:rPr>
        <w:t xml:space="preserve"> et surtout peu </w:t>
      </w:r>
      <w:r w:rsidR="001445C5">
        <w:rPr>
          <w:rFonts w:ascii="Arial" w:hAnsi="Arial" w:cs="Arial"/>
          <w:sz w:val="20"/>
          <w:szCs w:val="20"/>
          <w:lang w:val="fr-FR"/>
        </w:rPr>
        <w:t xml:space="preserve">ou pas </w:t>
      </w:r>
      <w:r w:rsidRPr="006121FB">
        <w:rPr>
          <w:rFonts w:ascii="Arial" w:hAnsi="Arial" w:cs="Arial"/>
          <w:sz w:val="20"/>
          <w:szCs w:val="20"/>
          <w:lang w:val="fr-FR"/>
        </w:rPr>
        <w:t>appliquée</w:t>
      </w:r>
      <w:r w:rsidR="001445C5">
        <w:rPr>
          <w:rFonts w:ascii="Arial" w:hAnsi="Arial" w:cs="Arial"/>
          <w:sz w:val="20"/>
          <w:szCs w:val="20"/>
          <w:lang w:val="fr-FR"/>
        </w:rPr>
        <w:t>s</w:t>
      </w:r>
      <w:r w:rsidRPr="006121FB">
        <w:rPr>
          <w:rFonts w:ascii="Arial" w:hAnsi="Arial" w:cs="Arial"/>
          <w:sz w:val="20"/>
          <w:szCs w:val="20"/>
          <w:lang w:val="fr-FR"/>
        </w:rPr>
        <w:t>. Il apparait une absence de volonté politique à prendre des décisions et à appliquer des mesures peu populaires au profit de la protection du patrimoine naturel, base de la vie et du développement économique ; absence qui s’est renforcée dans le contexte post - crise avec un gouvernement fragilisé. Dans ce contexte de non – respect croissant des réglementations environnementales, aucun engagement au profit de l’environnement ne peut avoir un impact significatif.</w:t>
      </w:r>
    </w:p>
    <w:p w14:paraId="09811627" w14:textId="77777777" w:rsidR="00802BA9" w:rsidRPr="006121FB" w:rsidRDefault="00802BA9" w:rsidP="006121FB">
      <w:pPr>
        <w:spacing w:before="120" w:after="120" w:line="240" w:lineRule="auto"/>
        <w:rPr>
          <w:rFonts w:ascii="Arial" w:hAnsi="Arial" w:cs="Arial"/>
          <w:b/>
          <w:sz w:val="20"/>
          <w:szCs w:val="20"/>
          <w:lang w:val="fr-FR"/>
        </w:rPr>
      </w:pPr>
      <w:r w:rsidRPr="006121FB">
        <w:rPr>
          <w:rFonts w:ascii="Arial" w:hAnsi="Arial" w:cs="Arial"/>
          <w:b/>
          <w:sz w:val="20"/>
          <w:szCs w:val="20"/>
          <w:lang w:val="fr-FR"/>
        </w:rPr>
        <w:t>Recommandation (condition préalable)</w:t>
      </w:r>
    </w:p>
    <w:p w14:paraId="383B85E6" w14:textId="77777777" w:rsidR="00802BA9" w:rsidRPr="006121FB" w:rsidRDefault="00B00C7F" w:rsidP="006121FB">
      <w:pPr>
        <w:spacing w:before="120" w:after="120" w:line="240" w:lineRule="auto"/>
        <w:rPr>
          <w:rFonts w:ascii="Arial" w:hAnsi="Arial" w:cs="Arial"/>
          <w:sz w:val="20"/>
          <w:szCs w:val="20"/>
          <w:lang w:val="fr-FR"/>
        </w:rPr>
      </w:pPr>
      <w:r w:rsidRPr="006121FB">
        <w:rPr>
          <w:rFonts w:ascii="Arial" w:hAnsi="Arial" w:cs="Arial"/>
          <w:sz w:val="20"/>
          <w:szCs w:val="20"/>
          <w:lang w:val="fr-FR"/>
        </w:rPr>
        <w:t xml:space="preserve">Une volonté politique confirmée et approuvée pour le renforcement du contrôle environnemental et de l’application des textes. En cas de non-respect de cette condition préalable, toutes les recommandations suivantes par rapport aux appuis futurs de l’UE dans le contexte environnemental ainsi que pour d’autres interventions ne sont pas pertinentes car sans impact. </w:t>
      </w:r>
    </w:p>
    <w:p w14:paraId="5E8C9714" w14:textId="77777777" w:rsidR="00802BA9" w:rsidRPr="006121FB" w:rsidRDefault="00802BA9" w:rsidP="006121FB">
      <w:pPr>
        <w:numPr>
          <w:ilvl w:val="0"/>
          <w:numId w:val="54"/>
        </w:numPr>
        <w:spacing w:before="120" w:after="120" w:line="240" w:lineRule="auto"/>
        <w:contextualSpacing/>
        <w:rPr>
          <w:rFonts w:ascii="Arial" w:hAnsi="Arial" w:cs="Arial"/>
          <w:sz w:val="20"/>
          <w:szCs w:val="20"/>
          <w:lang w:val="fr-FR"/>
        </w:rPr>
      </w:pPr>
      <w:r w:rsidRPr="006121FB">
        <w:rPr>
          <w:rFonts w:ascii="Arial" w:hAnsi="Arial" w:cs="Arial"/>
          <w:sz w:val="20"/>
          <w:szCs w:val="20"/>
          <w:lang w:val="fr-FR"/>
        </w:rPr>
        <w:t xml:space="preserve">Renforcer les capacités financières et logistiques </w:t>
      </w:r>
      <w:r w:rsidR="00A70080" w:rsidRPr="00A1464F">
        <w:rPr>
          <w:rFonts w:ascii="Arial" w:hAnsi="Arial" w:cs="Arial"/>
          <w:sz w:val="20"/>
          <w:szCs w:val="20"/>
          <w:lang w:val="fr-FR"/>
        </w:rPr>
        <w:t>et les compétences</w:t>
      </w:r>
      <w:r w:rsidR="00A70080">
        <w:rPr>
          <w:rFonts w:ascii="Arial" w:hAnsi="Arial" w:cs="Arial"/>
          <w:sz w:val="20"/>
          <w:szCs w:val="20"/>
          <w:lang w:val="fr-FR"/>
        </w:rPr>
        <w:t xml:space="preserve"> </w:t>
      </w:r>
      <w:r w:rsidRPr="006121FB">
        <w:rPr>
          <w:rFonts w:ascii="Arial" w:hAnsi="Arial" w:cs="Arial"/>
          <w:sz w:val="20"/>
          <w:szCs w:val="20"/>
          <w:lang w:val="fr-FR"/>
        </w:rPr>
        <w:t xml:space="preserve">des services chargés du contrôle (DNACPN, DNEF) </w:t>
      </w:r>
      <w:r w:rsidR="00B00C7F" w:rsidRPr="006121FB">
        <w:rPr>
          <w:rFonts w:ascii="Arial" w:hAnsi="Arial" w:cs="Arial"/>
          <w:sz w:val="20"/>
          <w:szCs w:val="20"/>
          <w:lang w:val="fr-FR"/>
        </w:rPr>
        <w:t>(</w:t>
      </w:r>
      <w:r w:rsidRPr="006121FB">
        <w:rPr>
          <w:rFonts w:ascii="Arial" w:hAnsi="Arial" w:cs="Arial"/>
          <w:sz w:val="20"/>
          <w:szCs w:val="20"/>
          <w:lang w:val="fr-FR"/>
        </w:rPr>
        <w:t>*).</w:t>
      </w:r>
    </w:p>
    <w:p w14:paraId="528CC1E4" w14:textId="77777777" w:rsidR="00802BA9" w:rsidRPr="006121FB" w:rsidRDefault="00802BA9" w:rsidP="006121FB">
      <w:pPr>
        <w:numPr>
          <w:ilvl w:val="0"/>
          <w:numId w:val="54"/>
        </w:numPr>
        <w:spacing w:before="120" w:after="120" w:line="240" w:lineRule="auto"/>
        <w:contextualSpacing/>
        <w:rPr>
          <w:rFonts w:ascii="Arial" w:hAnsi="Arial" w:cs="Arial"/>
          <w:sz w:val="20"/>
          <w:szCs w:val="20"/>
          <w:lang w:val="fr-FR"/>
        </w:rPr>
      </w:pPr>
      <w:r w:rsidRPr="006121FB">
        <w:rPr>
          <w:rFonts w:ascii="Arial" w:hAnsi="Arial" w:cs="Arial"/>
          <w:sz w:val="20"/>
          <w:szCs w:val="20"/>
          <w:lang w:val="fr-FR"/>
        </w:rPr>
        <w:t>Elargir le champ des acteurs de contrôle environnemental (formation en législation environnementale des policiers et gendarmes, comités locaux de surveillance</w:t>
      </w:r>
      <w:r w:rsidR="00A72F75">
        <w:rPr>
          <w:rFonts w:ascii="Arial" w:hAnsi="Arial" w:cs="Arial"/>
          <w:sz w:val="20"/>
          <w:szCs w:val="20"/>
          <w:lang w:val="fr-FR"/>
        </w:rPr>
        <w:t>, société civile</w:t>
      </w:r>
      <w:r w:rsidRPr="006121FB">
        <w:rPr>
          <w:rFonts w:ascii="Arial" w:hAnsi="Arial" w:cs="Arial"/>
          <w:sz w:val="20"/>
          <w:szCs w:val="20"/>
          <w:lang w:val="fr-FR"/>
        </w:rPr>
        <w:t>) tout en renforçant leurs ca</w:t>
      </w:r>
      <w:r w:rsidR="00B00C7F" w:rsidRPr="006121FB">
        <w:rPr>
          <w:rFonts w:ascii="Arial" w:hAnsi="Arial" w:cs="Arial"/>
          <w:sz w:val="20"/>
          <w:szCs w:val="20"/>
          <w:lang w:val="fr-FR"/>
        </w:rPr>
        <w:t>pacités opérationnelles (</w:t>
      </w:r>
      <w:r w:rsidRPr="006121FB">
        <w:rPr>
          <w:rFonts w:ascii="Arial" w:hAnsi="Arial" w:cs="Arial"/>
          <w:sz w:val="20"/>
          <w:szCs w:val="20"/>
          <w:lang w:val="fr-FR"/>
        </w:rPr>
        <w:t xml:space="preserve">*). </w:t>
      </w:r>
    </w:p>
    <w:p w14:paraId="7CF729AE" w14:textId="77777777" w:rsidR="00802BA9" w:rsidRPr="006121FB" w:rsidRDefault="00802BA9" w:rsidP="00525222">
      <w:pPr>
        <w:numPr>
          <w:ilvl w:val="0"/>
          <w:numId w:val="54"/>
        </w:numPr>
        <w:spacing w:before="120" w:after="0" w:line="240" w:lineRule="auto"/>
        <w:contextualSpacing/>
        <w:rPr>
          <w:rFonts w:ascii="Arial" w:hAnsi="Arial" w:cs="Arial"/>
          <w:sz w:val="20"/>
          <w:szCs w:val="20"/>
          <w:lang w:val="fr-FR"/>
        </w:rPr>
      </w:pPr>
      <w:r w:rsidRPr="006121FB">
        <w:rPr>
          <w:rFonts w:ascii="Arial" w:hAnsi="Arial" w:cs="Arial"/>
          <w:sz w:val="20"/>
          <w:szCs w:val="20"/>
          <w:lang w:val="fr-FR"/>
        </w:rPr>
        <w:t>Renforcer la communication inter- et intra-ministérielle et la circulation des documents indispensables au contrôle.</w:t>
      </w:r>
    </w:p>
    <w:p w14:paraId="310700F5" w14:textId="77777777" w:rsidR="00802BA9" w:rsidRPr="006121FB" w:rsidRDefault="00802BA9" w:rsidP="006121FB">
      <w:pPr>
        <w:spacing w:before="120" w:after="120" w:line="240" w:lineRule="auto"/>
        <w:rPr>
          <w:rFonts w:ascii="Arial" w:hAnsi="Arial" w:cs="Arial"/>
          <w:b/>
          <w:sz w:val="20"/>
          <w:szCs w:val="20"/>
          <w:lang w:val="fr-FR"/>
        </w:rPr>
      </w:pPr>
      <w:r w:rsidRPr="006121FB">
        <w:rPr>
          <w:rFonts w:ascii="Arial" w:hAnsi="Arial" w:cs="Arial"/>
          <w:b/>
          <w:sz w:val="20"/>
          <w:szCs w:val="20"/>
          <w:lang w:val="fr-FR"/>
        </w:rPr>
        <w:t>Conclusion 2</w:t>
      </w:r>
    </w:p>
    <w:p w14:paraId="74BC7D82" w14:textId="77777777" w:rsidR="00802BA9" w:rsidRPr="006121FB" w:rsidRDefault="00802BA9" w:rsidP="006121FB">
      <w:pPr>
        <w:spacing w:before="120" w:after="120" w:line="240" w:lineRule="auto"/>
        <w:rPr>
          <w:rFonts w:ascii="Arial" w:hAnsi="Arial" w:cs="Arial"/>
          <w:b/>
          <w:sz w:val="20"/>
          <w:szCs w:val="20"/>
          <w:lang w:val="fr-FR"/>
        </w:rPr>
      </w:pPr>
      <w:r w:rsidRPr="006121FB">
        <w:rPr>
          <w:rFonts w:ascii="Arial" w:hAnsi="Arial" w:cs="Arial"/>
          <w:b/>
          <w:sz w:val="20"/>
          <w:szCs w:val="20"/>
          <w:lang w:val="fr-FR"/>
        </w:rPr>
        <w:t>La décentralisation de la Gestion des Ressources Naturelles est enfin arrivée, mais c’est un défi de gestion environnementale supplémentaire</w:t>
      </w:r>
    </w:p>
    <w:p w14:paraId="7E27E181" w14:textId="77777777" w:rsidR="00802BA9" w:rsidRPr="006121FB" w:rsidRDefault="00802BA9" w:rsidP="006121FB">
      <w:pPr>
        <w:spacing w:before="120" w:after="120" w:line="240" w:lineRule="auto"/>
        <w:rPr>
          <w:rFonts w:ascii="Arial" w:hAnsi="Arial" w:cs="Arial"/>
          <w:b/>
          <w:sz w:val="20"/>
          <w:szCs w:val="20"/>
          <w:lang w:val="fr-FR"/>
        </w:rPr>
      </w:pPr>
      <w:r w:rsidRPr="006121FB">
        <w:rPr>
          <w:rFonts w:ascii="Arial" w:hAnsi="Arial" w:cs="Arial"/>
          <w:b/>
          <w:sz w:val="20"/>
          <w:szCs w:val="20"/>
          <w:lang w:val="fr-FR"/>
        </w:rPr>
        <w:t>Recommandations</w:t>
      </w:r>
    </w:p>
    <w:p w14:paraId="5B0306AD" w14:textId="77777777" w:rsidR="00802BA9" w:rsidRPr="006121FB" w:rsidRDefault="00802BA9" w:rsidP="006121FB">
      <w:pPr>
        <w:numPr>
          <w:ilvl w:val="0"/>
          <w:numId w:val="45"/>
        </w:numPr>
        <w:spacing w:before="120" w:after="120" w:line="240" w:lineRule="auto"/>
        <w:contextualSpacing/>
        <w:rPr>
          <w:rFonts w:ascii="Arial" w:hAnsi="Arial" w:cs="Arial"/>
          <w:sz w:val="20"/>
          <w:szCs w:val="20"/>
          <w:lang w:val="fr-FR"/>
        </w:rPr>
      </w:pPr>
      <w:r w:rsidRPr="006121FB">
        <w:rPr>
          <w:rFonts w:ascii="Arial" w:hAnsi="Arial" w:cs="Arial"/>
          <w:sz w:val="20"/>
          <w:szCs w:val="20"/>
          <w:lang w:val="fr-FR"/>
        </w:rPr>
        <w:t>Accélérer l’élaboration des textes d’application et le tr</w:t>
      </w:r>
      <w:r w:rsidR="00BB60B2" w:rsidRPr="006121FB">
        <w:rPr>
          <w:rFonts w:ascii="Arial" w:hAnsi="Arial" w:cs="Arial"/>
          <w:sz w:val="20"/>
          <w:szCs w:val="20"/>
          <w:lang w:val="fr-FR"/>
        </w:rPr>
        <w:t>ansfert d</w:t>
      </w:r>
      <w:r w:rsidR="00DB0490" w:rsidRPr="006121FB">
        <w:rPr>
          <w:rFonts w:ascii="Arial" w:hAnsi="Arial" w:cs="Arial"/>
          <w:sz w:val="20"/>
          <w:szCs w:val="20"/>
          <w:lang w:val="fr-FR"/>
        </w:rPr>
        <w:t>e ressources financières</w:t>
      </w:r>
      <w:r w:rsidR="00BB60B2" w:rsidRPr="006121FB">
        <w:rPr>
          <w:rFonts w:ascii="Arial" w:hAnsi="Arial" w:cs="Arial"/>
          <w:sz w:val="20"/>
          <w:szCs w:val="20"/>
          <w:lang w:val="fr-FR"/>
        </w:rPr>
        <w:t xml:space="preserve"> </w:t>
      </w:r>
      <w:r w:rsidR="001445C5">
        <w:rPr>
          <w:rFonts w:ascii="Arial" w:hAnsi="Arial" w:cs="Arial"/>
          <w:sz w:val="20"/>
          <w:szCs w:val="20"/>
          <w:lang w:val="fr-FR"/>
        </w:rPr>
        <w:t xml:space="preserve">de l’Etat </w:t>
      </w:r>
      <w:r w:rsidR="00BB60B2" w:rsidRPr="006121FB">
        <w:rPr>
          <w:rFonts w:ascii="Arial" w:hAnsi="Arial" w:cs="Arial"/>
          <w:sz w:val="20"/>
          <w:szCs w:val="20"/>
          <w:lang w:val="fr-FR"/>
        </w:rPr>
        <w:t>aux communes</w:t>
      </w:r>
    </w:p>
    <w:p w14:paraId="1E23FB95" w14:textId="77777777" w:rsidR="00802BA9" w:rsidRPr="006121FB" w:rsidRDefault="00802BA9" w:rsidP="006121FB">
      <w:pPr>
        <w:numPr>
          <w:ilvl w:val="0"/>
          <w:numId w:val="45"/>
        </w:numPr>
        <w:spacing w:before="120" w:after="120" w:line="240" w:lineRule="auto"/>
        <w:contextualSpacing/>
        <w:rPr>
          <w:rFonts w:ascii="Arial" w:hAnsi="Arial" w:cs="Arial"/>
          <w:sz w:val="20"/>
          <w:szCs w:val="20"/>
          <w:lang w:val="fr-FR"/>
        </w:rPr>
      </w:pPr>
      <w:r w:rsidRPr="006121FB">
        <w:rPr>
          <w:rFonts w:ascii="Arial" w:hAnsi="Arial" w:cs="Arial"/>
          <w:sz w:val="20"/>
          <w:szCs w:val="20"/>
          <w:lang w:val="fr-FR"/>
        </w:rPr>
        <w:t>Faire des campagnes d’information et de diffusion des réglementations environnementales pertinentes au niveau des communes, auprès des collectivités locales (maires), des autorités locales (préfet, sous-préfet), des forces de l’ordre (police, gendarmes)</w:t>
      </w:r>
      <w:r w:rsidR="001445C5">
        <w:rPr>
          <w:rFonts w:ascii="Arial" w:hAnsi="Arial" w:cs="Arial"/>
          <w:sz w:val="20"/>
          <w:szCs w:val="20"/>
          <w:lang w:val="fr-FR"/>
        </w:rPr>
        <w:t>, des services déconcentrés</w:t>
      </w:r>
      <w:r w:rsidRPr="006121FB">
        <w:rPr>
          <w:rFonts w:ascii="Arial" w:hAnsi="Arial" w:cs="Arial"/>
          <w:sz w:val="20"/>
          <w:szCs w:val="20"/>
          <w:lang w:val="fr-FR"/>
        </w:rPr>
        <w:t xml:space="preserve"> et des acteurs locaux (secteu</w:t>
      </w:r>
      <w:r w:rsidR="00BB60B2" w:rsidRPr="006121FB">
        <w:rPr>
          <w:rFonts w:ascii="Arial" w:hAnsi="Arial" w:cs="Arial"/>
          <w:sz w:val="20"/>
          <w:szCs w:val="20"/>
          <w:lang w:val="fr-FR"/>
        </w:rPr>
        <w:t xml:space="preserve">r privé, ONG) </w:t>
      </w:r>
      <w:r w:rsidRPr="006121FB">
        <w:rPr>
          <w:rFonts w:ascii="Arial" w:hAnsi="Arial" w:cs="Arial"/>
          <w:sz w:val="20"/>
          <w:szCs w:val="20"/>
          <w:lang w:val="fr-FR"/>
        </w:rPr>
        <w:t>(*</w:t>
      </w:r>
      <w:r w:rsidR="00BB60B2" w:rsidRPr="006121FB">
        <w:rPr>
          <w:rFonts w:ascii="Arial" w:hAnsi="Arial" w:cs="Arial"/>
          <w:sz w:val="20"/>
          <w:szCs w:val="20"/>
          <w:lang w:val="fr-FR"/>
        </w:rPr>
        <w:t>)</w:t>
      </w:r>
      <w:r w:rsidRPr="006121FB">
        <w:rPr>
          <w:rFonts w:ascii="Arial" w:hAnsi="Arial" w:cs="Arial"/>
          <w:sz w:val="20"/>
          <w:szCs w:val="20"/>
          <w:lang w:val="fr-FR"/>
        </w:rPr>
        <w:t>.</w:t>
      </w:r>
    </w:p>
    <w:p w14:paraId="657749B6" w14:textId="77777777" w:rsidR="00802BA9" w:rsidRPr="006121FB" w:rsidRDefault="00802BA9" w:rsidP="006121FB">
      <w:pPr>
        <w:numPr>
          <w:ilvl w:val="0"/>
          <w:numId w:val="45"/>
        </w:numPr>
        <w:spacing w:before="120" w:after="120" w:line="240" w:lineRule="auto"/>
        <w:contextualSpacing/>
        <w:rPr>
          <w:rFonts w:ascii="Arial" w:hAnsi="Arial" w:cs="Arial"/>
          <w:sz w:val="20"/>
          <w:szCs w:val="20"/>
          <w:lang w:val="fr-FR"/>
        </w:rPr>
      </w:pPr>
      <w:r w:rsidRPr="006121FB">
        <w:rPr>
          <w:rFonts w:ascii="Arial" w:hAnsi="Arial" w:cs="Arial"/>
          <w:sz w:val="20"/>
          <w:szCs w:val="20"/>
          <w:lang w:val="fr-FR"/>
        </w:rPr>
        <w:t>Faciliter la mise en œuvre des PDSEC 3</w:t>
      </w:r>
      <w:r w:rsidRPr="006121FB">
        <w:rPr>
          <w:rFonts w:ascii="Arial" w:hAnsi="Arial" w:cs="Arial"/>
          <w:sz w:val="20"/>
          <w:szCs w:val="20"/>
          <w:vertAlign w:val="superscript"/>
          <w:lang w:val="fr-FR"/>
        </w:rPr>
        <w:t>ème</w:t>
      </w:r>
      <w:r w:rsidRPr="006121FB">
        <w:rPr>
          <w:rFonts w:ascii="Arial" w:hAnsi="Arial" w:cs="Arial"/>
          <w:sz w:val="20"/>
          <w:szCs w:val="20"/>
          <w:lang w:val="fr-FR"/>
        </w:rPr>
        <w:t xml:space="preserve"> génération et des PCAE (où ils existent) et appuyer leur élaboration dans les autres communes (</w:t>
      </w:r>
      <w:r w:rsidR="00BB60B2" w:rsidRPr="006121FB">
        <w:rPr>
          <w:rFonts w:ascii="Arial" w:hAnsi="Arial" w:cs="Arial"/>
          <w:sz w:val="20"/>
          <w:szCs w:val="20"/>
          <w:lang w:val="fr-FR"/>
        </w:rPr>
        <w:t>*</w:t>
      </w:r>
      <w:r w:rsidRPr="006121FB">
        <w:rPr>
          <w:rFonts w:ascii="Arial" w:hAnsi="Arial" w:cs="Arial"/>
          <w:sz w:val="20"/>
          <w:szCs w:val="20"/>
          <w:lang w:val="fr-FR"/>
        </w:rPr>
        <w:t>).</w:t>
      </w:r>
    </w:p>
    <w:p w14:paraId="2C53A901" w14:textId="77777777" w:rsidR="00802BA9" w:rsidRPr="006121FB" w:rsidRDefault="00802BA9" w:rsidP="007D0EB2">
      <w:pPr>
        <w:numPr>
          <w:ilvl w:val="0"/>
          <w:numId w:val="45"/>
        </w:numPr>
        <w:spacing w:before="120" w:after="0" w:line="240" w:lineRule="auto"/>
        <w:contextualSpacing/>
        <w:rPr>
          <w:rFonts w:ascii="Arial" w:hAnsi="Arial" w:cs="Arial"/>
          <w:sz w:val="20"/>
          <w:szCs w:val="20"/>
          <w:lang w:val="fr-FR"/>
        </w:rPr>
      </w:pPr>
      <w:r w:rsidRPr="006121FB">
        <w:rPr>
          <w:rFonts w:ascii="Arial" w:hAnsi="Arial" w:cs="Arial"/>
          <w:sz w:val="20"/>
          <w:szCs w:val="20"/>
          <w:lang w:val="fr-FR"/>
        </w:rPr>
        <w:t xml:space="preserve">Appuyer le fonctionnement des commissions foncières locales (COFO) </w:t>
      </w:r>
      <w:r w:rsidR="001445C5">
        <w:rPr>
          <w:rFonts w:ascii="Arial" w:hAnsi="Arial" w:cs="Arial"/>
          <w:sz w:val="20"/>
          <w:szCs w:val="20"/>
          <w:lang w:val="fr-FR"/>
        </w:rPr>
        <w:t xml:space="preserve">et </w:t>
      </w:r>
      <w:r w:rsidR="001445C5" w:rsidRPr="001445C5">
        <w:rPr>
          <w:rFonts w:ascii="Arial" w:hAnsi="Arial" w:cs="Arial"/>
          <w:sz w:val="20"/>
          <w:szCs w:val="20"/>
          <w:lang w:val="fr-FR"/>
        </w:rPr>
        <w:t xml:space="preserve">des cercles de dialogue pour la paix et la réconciliation </w:t>
      </w:r>
      <w:r w:rsidRPr="006121FB">
        <w:rPr>
          <w:rFonts w:ascii="Arial" w:hAnsi="Arial" w:cs="Arial"/>
          <w:sz w:val="20"/>
          <w:szCs w:val="20"/>
          <w:lang w:val="fr-FR"/>
        </w:rPr>
        <w:t xml:space="preserve">pour assurer les investissements environnementaux </w:t>
      </w:r>
      <w:r w:rsidR="0054559C" w:rsidRPr="006121FB">
        <w:rPr>
          <w:rFonts w:ascii="Arial" w:hAnsi="Arial" w:cs="Arial"/>
          <w:sz w:val="20"/>
          <w:szCs w:val="20"/>
          <w:lang w:val="fr-FR"/>
        </w:rPr>
        <w:t>privés et/ou collectifs</w:t>
      </w:r>
      <w:r w:rsidRPr="006121FB">
        <w:rPr>
          <w:rFonts w:ascii="Arial" w:hAnsi="Arial" w:cs="Arial"/>
          <w:sz w:val="20"/>
          <w:szCs w:val="20"/>
          <w:lang w:val="fr-FR"/>
        </w:rPr>
        <w:t xml:space="preserve"> </w:t>
      </w:r>
      <w:r w:rsidR="0054559C" w:rsidRPr="006121FB">
        <w:rPr>
          <w:rFonts w:ascii="Arial" w:hAnsi="Arial" w:cs="Arial"/>
          <w:sz w:val="20"/>
          <w:szCs w:val="20"/>
          <w:lang w:val="fr-FR"/>
        </w:rPr>
        <w:t>(*</w:t>
      </w:r>
      <w:r w:rsidRPr="006121FB">
        <w:rPr>
          <w:rFonts w:ascii="Arial" w:hAnsi="Arial" w:cs="Arial"/>
          <w:sz w:val="20"/>
          <w:szCs w:val="20"/>
          <w:lang w:val="fr-FR"/>
        </w:rPr>
        <w:t>).</w:t>
      </w:r>
    </w:p>
    <w:p w14:paraId="208755B2" w14:textId="77777777" w:rsidR="00802BA9" w:rsidRPr="006121FB" w:rsidRDefault="00802BA9" w:rsidP="006121FB">
      <w:pPr>
        <w:spacing w:before="120" w:after="120" w:line="240" w:lineRule="auto"/>
        <w:rPr>
          <w:rFonts w:ascii="Arial" w:hAnsi="Arial" w:cs="Arial"/>
          <w:b/>
          <w:sz w:val="20"/>
          <w:szCs w:val="20"/>
          <w:lang w:val="fr-FR"/>
        </w:rPr>
      </w:pPr>
      <w:r w:rsidRPr="006121FB">
        <w:rPr>
          <w:rFonts w:ascii="Arial" w:hAnsi="Arial" w:cs="Arial"/>
          <w:b/>
          <w:sz w:val="20"/>
          <w:szCs w:val="20"/>
          <w:lang w:val="fr-FR"/>
        </w:rPr>
        <w:t>Conclusion 3</w:t>
      </w:r>
    </w:p>
    <w:p w14:paraId="02EF4856" w14:textId="77777777" w:rsidR="00802BA9" w:rsidRPr="006121FB" w:rsidRDefault="00802BA9" w:rsidP="006121FB">
      <w:pPr>
        <w:spacing w:before="120" w:after="120" w:line="240" w:lineRule="auto"/>
        <w:rPr>
          <w:rFonts w:ascii="Arial" w:hAnsi="Arial" w:cs="Arial"/>
          <w:b/>
          <w:sz w:val="20"/>
          <w:szCs w:val="20"/>
          <w:lang w:val="fr-FR"/>
        </w:rPr>
      </w:pPr>
      <w:r w:rsidRPr="006121FB">
        <w:rPr>
          <w:rFonts w:ascii="Arial" w:hAnsi="Arial" w:cs="Arial"/>
          <w:b/>
          <w:sz w:val="20"/>
          <w:szCs w:val="20"/>
          <w:lang w:val="fr-FR"/>
        </w:rPr>
        <w:t xml:space="preserve">Le secteur de l’énergie </w:t>
      </w:r>
      <w:r w:rsidR="001445C5">
        <w:rPr>
          <w:rFonts w:ascii="Arial" w:hAnsi="Arial" w:cs="Arial"/>
          <w:b/>
          <w:sz w:val="20"/>
          <w:szCs w:val="20"/>
          <w:lang w:val="fr-FR"/>
        </w:rPr>
        <w:t xml:space="preserve">domestique </w:t>
      </w:r>
      <w:r w:rsidRPr="006121FB">
        <w:rPr>
          <w:rFonts w:ascii="Arial" w:hAnsi="Arial" w:cs="Arial"/>
          <w:b/>
          <w:sz w:val="20"/>
          <w:szCs w:val="20"/>
          <w:lang w:val="fr-FR"/>
        </w:rPr>
        <w:t xml:space="preserve">reste </w:t>
      </w:r>
      <w:r w:rsidR="001445C5">
        <w:rPr>
          <w:rFonts w:ascii="Arial" w:hAnsi="Arial" w:cs="Arial"/>
          <w:b/>
          <w:sz w:val="20"/>
          <w:szCs w:val="20"/>
          <w:lang w:val="fr-FR"/>
        </w:rPr>
        <w:t xml:space="preserve">un des </w:t>
      </w:r>
      <w:r w:rsidRPr="006121FB">
        <w:rPr>
          <w:rFonts w:ascii="Arial" w:hAnsi="Arial" w:cs="Arial"/>
          <w:b/>
          <w:sz w:val="20"/>
          <w:szCs w:val="20"/>
          <w:lang w:val="fr-FR"/>
        </w:rPr>
        <w:t>facteur</w:t>
      </w:r>
      <w:r w:rsidR="001445C5">
        <w:rPr>
          <w:rFonts w:ascii="Arial" w:hAnsi="Arial" w:cs="Arial"/>
          <w:b/>
          <w:sz w:val="20"/>
          <w:szCs w:val="20"/>
          <w:lang w:val="fr-FR"/>
        </w:rPr>
        <w:t>s</w:t>
      </w:r>
      <w:r w:rsidRPr="006121FB">
        <w:rPr>
          <w:rFonts w:ascii="Arial" w:hAnsi="Arial" w:cs="Arial"/>
          <w:b/>
          <w:sz w:val="20"/>
          <w:szCs w:val="20"/>
          <w:lang w:val="fr-FR"/>
        </w:rPr>
        <w:t xml:space="preserve"> de destruction du patrimoine forestier face à un prix du bois énergie sans valeur </w:t>
      </w:r>
    </w:p>
    <w:p w14:paraId="30B6C756" w14:textId="77777777" w:rsidR="00802BA9" w:rsidRPr="006121FB" w:rsidRDefault="00802BA9" w:rsidP="006121FB">
      <w:pPr>
        <w:spacing w:before="120" w:after="120" w:line="240" w:lineRule="auto"/>
        <w:rPr>
          <w:rFonts w:ascii="Arial" w:hAnsi="Arial" w:cs="Arial"/>
          <w:b/>
          <w:sz w:val="20"/>
          <w:szCs w:val="20"/>
          <w:lang w:val="fr-FR"/>
        </w:rPr>
      </w:pPr>
      <w:r w:rsidRPr="006121FB">
        <w:rPr>
          <w:rFonts w:ascii="Arial" w:hAnsi="Arial" w:cs="Arial"/>
          <w:b/>
          <w:sz w:val="20"/>
          <w:szCs w:val="20"/>
          <w:lang w:val="fr-FR"/>
        </w:rPr>
        <w:t>Recommandations :</w:t>
      </w:r>
    </w:p>
    <w:p w14:paraId="6F09FBA5" w14:textId="77777777" w:rsidR="00622DDD" w:rsidRPr="006121FB" w:rsidRDefault="00622DDD" w:rsidP="006121FB">
      <w:pPr>
        <w:numPr>
          <w:ilvl w:val="0"/>
          <w:numId w:val="44"/>
        </w:numPr>
        <w:spacing w:before="120" w:after="120" w:line="240" w:lineRule="auto"/>
        <w:contextualSpacing/>
        <w:rPr>
          <w:rFonts w:ascii="Arial" w:hAnsi="Arial" w:cs="Arial"/>
          <w:sz w:val="20"/>
          <w:szCs w:val="20"/>
          <w:lang w:val="fr-FR"/>
        </w:rPr>
      </w:pPr>
      <w:r w:rsidRPr="006121FB">
        <w:rPr>
          <w:rFonts w:ascii="Arial" w:hAnsi="Arial" w:cs="Arial"/>
          <w:sz w:val="20"/>
          <w:szCs w:val="20"/>
          <w:lang w:val="fr-FR"/>
        </w:rPr>
        <w:t xml:space="preserve">Faire </w:t>
      </w:r>
      <w:r w:rsidR="00507023" w:rsidRPr="006121FB">
        <w:rPr>
          <w:rFonts w:ascii="Arial" w:hAnsi="Arial" w:cs="Arial"/>
          <w:sz w:val="20"/>
          <w:szCs w:val="20"/>
          <w:lang w:val="fr-FR"/>
        </w:rPr>
        <w:t xml:space="preserve">de </w:t>
      </w:r>
      <w:r w:rsidRPr="006121FB">
        <w:rPr>
          <w:rFonts w:ascii="Arial" w:hAnsi="Arial" w:cs="Arial"/>
          <w:sz w:val="20"/>
          <w:szCs w:val="20"/>
          <w:lang w:val="fr-FR"/>
        </w:rPr>
        <w:t>la substitution du bois –énergie</w:t>
      </w:r>
      <w:r w:rsidR="00A70080">
        <w:rPr>
          <w:rFonts w:ascii="Arial" w:hAnsi="Arial" w:cs="Arial"/>
          <w:sz w:val="20"/>
          <w:szCs w:val="20"/>
          <w:lang w:val="fr-FR"/>
        </w:rPr>
        <w:t xml:space="preserve">, </w:t>
      </w:r>
      <w:r w:rsidR="00A70080" w:rsidRPr="00A1464F">
        <w:rPr>
          <w:rFonts w:ascii="Arial" w:hAnsi="Arial" w:cs="Arial"/>
          <w:sz w:val="20"/>
          <w:szCs w:val="20"/>
          <w:lang w:val="fr-FR"/>
        </w:rPr>
        <w:t xml:space="preserve">notamment </w:t>
      </w:r>
      <w:r w:rsidR="00B653D4" w:rsidRPr="00A1464F">
        <w:rPr>
          <w:rFonts w:ascii="Arial" w:hAnsi="Arial" w:cs="Arial"/>
          <w:sz w:val="20"/>
          <w:szCs w:val="20"/>
          <w:lang w:val="fr-FR"/>
        </w:rPr>
        <w:t>pour la capitale de Bamako</w:t>
      </w:r>
      <w:r w:rsidR="00B653D4" w:rsidRPr="002A53D1">
        <w:rPr>
          <w:rFonts w:ascii="Arial" w:hAnsi="Arial" w:cs="Arial"/>
          <w:sz w:val="20"/>
          <w:szCs w:val="20"/>
          <w:lang w:val="fr-FR"/>
        </w:rPr>
        <w:t>,</w:t>
      </w:r>
      <w:r w:rsidRPr="006121FB">
        <w:rPr>
          <w:rFonts w:ascii="Arial" w:hAnsi="Arial" w:cs="Arial"/>
          <w:sz w:val="20"/>
          <w:szCs w:val="20"/>
          <w:lang w:val="fr-FR"/>
        </w:rPr>
        <w:t xml:space="preserve"> la priorité nationale dans la transition énergétique et appuyer/accélérer la mise en œuvre de projets </w:t>
      </w:r>
      <w:r w:rsidR="00507023" w:rsidRPr="006121FB">
        <w:rPr>
          <w:rFonts w:ascii="Arial" w:hAnsi="Arial" w:cs="Arial"/>
          <w:sz w:val="20"/>
          <w:szCs w:val="20"/>
          <w:lang w:val="fr-FR"/>
        </w:rPr>
        <w:t xml:space="preserve">en faveur </w:t>
      </w:r>
      <w:r w:rsidRPr="006121FB">
        <w:rPr>
          <w:rFonts w:ascii="Arial" w:hAnsi="Arial" w:cs="Arial"/>
          <w:sz w:val="20"/>
          <w:szCs w:val="20"/>
          <w:lang w:val="fr-FR"/>
        </w:rPr>
        <w:t>des énergies renouvelables déjà planifiés en s’appuyant sur des connaissances techniques internation</w:t>
      </w:r>
      <w:r w:rsidR="00BB60B2" w:rsidRPr="006121FB">
        <w:rPr>
          <w:rFonts w:ascii="Arial" w:hAnsi="Arial" w:cs="Arial"/>
          <w:sz w:val="20"/>
          <w:szCs w:val="20"/>
          <w:lang w:val="fr-FR"/>
        </w:rPr>
        <w:t>ales à travers des PPP</w:t>
      </w:r>
    </w:p>
    <w:p w14:paraId="6D07CBC5" w14:textId="77777777" w:rsidR="00802BA9" w:rsidRPr="006121FB" w:rsidRDefault="00802BA9" w:rsidP="001445C5">
      <w:pPr>
        <w:numPr>
          <w:ilvl w:val="0"/>
          <w:numId w:val="44"/>
        </w:numPr>
        <w:spacing w:before="120" w:after="120" w:line="240" w:lineRule="auto"/>
        <w:contextualSpacing/>
        <w:rPr>
          <w:rFonts w:ascii="Arial" w:hAnsi="Arial" w:cs="Arial"/>
          <w:sz w:val="20"/>
          <w:szCs w:val="20"/>
          <w:lang w:val="fr-FR"/>
        </w:rPr>
      </w:pPr>
      <w:r w:rsidRPr="006121FB">
        <w:rPr>
          <w:rFonts w:ascii="Arial" w:hAnsi="Arial" w:cs="Arial"/>
          <w:sz w:val="20"/>
          <w:szCs w:val="20"/>
          <w:lang w:val="fr-FR"/>
        </w:rPr>
        <w:t xml:space="preserve">Mettre en place des programmes de subvention aux énergies domestiques alternatives au bois (gaz, </w:t>
      </w:r>
      <w:r w:rsidR="001445C5">
        <w:rPr>
          <w:rFonts w:ascii="Arial" w:hAnsi="Arial" w:cs="Arial"/>
          <w:sz w:val="20"/>
          <w:szCs w:val="20"/>
          <w:lang w:val="fr-FR"/>
        </w:rPr>
        <w:t xml:space="preserve">biogaz, </w:t>
      </w:r>
      <w:r w:rsidRPr="006121FB">
        <w:rPr>
          <w:rFonts w:ascii="Arial" w:hAnsi="Arial" w:cs="Arial"/>
          <w:sz w:val="20"/>
          <w:szCs w:val="20"/>
          <w:lang w:val="fr-FR"/>
        </w:rPr>
        <w:t>équipements de cuisson électrique</w:t>
      </w:r>
      <w:r w:rsidR="001445C5">
        <w:rPr>
          <w:rFonts w:ascii="Arial" w:hAnsi="Arial" w:cs="Arial"/>
          <w:sz w:val="20"/>
          <w:szCs w:val="20"/>
          <w:lang w:val="fr-FR"/>
        </w:rPr>
        <w:t xml:space="preserve">, </w:t>
      </w:r>
      <w:r w:rsidR="001445C5" w:rsidRPr="001445C5">
        <w:rPr>
          <w:rFonts w:ascii="Arial" w:hAnsi="Arial" w:cs="Arial"/>
          <w:sz w:val="20"/>
          <w:szCs w:val="20"/>
          <w:lang w:val="fr-FR"/>
        </w:rPr>
        <w:t>briquettes de biomasse</w:t>
      </w:r>
      <w:r w:rsidRPr="006121FB">
        <w:rPr>
          <w:rFonts w:ascii="Arial" w:hAnsi="Arial" w:cs="Arial"/>
          <w:sz w:val="20"/>
          <w:szCs w:val="20"/>
          <w:lang w:val="fr-FR"/>
        </w:rPr>
        <w:t>)</w:t>
      </w:r>
      <w:r w:rsidR="00DB0490" w:rsidRPr="006121FB">
        <w:rPr>
          <w:rFonts w:ascii="Arial" w:hAnsi="Arial" w:cs="Arial"/>
          <w:sz w:val="20"/>
          <w:szCs w:val="20"/>
          <w:lang w:val="fr-FR"/>
        </w:rPr>
        <w:t>,</w:t>
      </w:r>
      <w:r w:rsidRPr="006121FB">
        <w:rPr>
          <w:rFonts w:ascii="Arial" w:hAnsi="Arial" w:cs="Arial"/>
          <w:sz w:val="20"/>
          <w:szCs w:val="20"/>
          <w:lang w:val="fr-FR"/>
        </w:rPr>
        <w:t xml:space="preserve"> au moins dans les grandes villes et interdire </w:t>
      </w:r>
      <w:r w:rsidR="001838C5">
        <w:rPr>
          <w:rFonts w:ascii="Arial" w:hAnsi="Arial" w:cs="Arial"/>
          <w:sz w:val="20"/>
          <w:szCs w:val="20"/>
          <w:lang w:val="fr-FR"/>
        </w:rPr>
        <w:t xml:space="preserve">le bois </w:t>
      </w:r>
      <w:r w:rsidR="001838C5">
        <w:rPr>
          <w:rFonts w:ascii="Arial" w:hAnsi="Arial" w:cs="Arial"/>
          <w:sz w:val="20"/>
          <w:szCs w:val="20"/>
          <w:lang w:val="fr-FR"/>
        </w:rPr>
        <w:lastRenderedPageBreak/>
        <w:t xml:space="preserve">– énergie </w:t>
      </w:r>
      <w:r w:rsidRPr="006121FB">
        <w:rPr>
          <w:rFonts w:ascii="Arial" w:hAnsi="Arial" w:cs="Arial"/>
          <w:sz w:val="20"/>
          <w:szCs w:val="20"/>
          <w:lang w:val="fr-FR"/>
        </w:rPr>
        <w:t>ou développer un système de taxation à coût réel pour rendre les alternatives plus propres (gaz, électricité) compétitive</w:t>
      </w:r>
      <w:r w:rsidR="00BB60B2" w:rsidRPr="006121FB">
        <w:rPr>
          <w:rFonts w:ascii="Arial" w:hAnsi="Arial" w:cs="Arial"/>
          <w:sz w:val="20"/>
          <w:szCs w:val="20"/>
          <w:lang w:val="fr-FR"/>
        </w:rPr>
        <w:t>s</w:t>
      </w:r>
      <w:r w:rsidRPr="006121FB">
        <w:rPr>
          <w:rFonts w:ascii="Arial" w:hAnsi="Arial" w:cs="Arial"/>
          <w:sz w:val="20"/>
          <w:szCs w:val="20"/>
          <w:lang w:val="fr-FR"/>
        </w:rPr>
        <w:t>.</w:t>
      </w:r>
    </w:p>
    <w:p w14:paraId="5F2134E2" w14:textId="77777777" w:rsidR="00802BA9" w:rsidRPr="006121FB" w:rsidRDefault="00802BA9" w:rsidP="006121FB">
      <w:pPr>
        <w:numPr>
          <w:ilvl w:val="0"/>
          <w:numId w:val="44"/>
        </w:numPr>
        <w:spacing w:before="120" w:after="120" w:line="240" w:lineRule="auto"/>
        <w:contextualSpacing/>
        <w:rPr>
          <w:rFonts w:ascii="Arial" w:hAnsi="Arial" w:cs="Arial"/>
          <w:sz w:val="20"/>
          <w:szCs w:val="20"/>
          <w:lang w:val="fr-FR"/>
        </w:rPr>
      </w:pPr>
      <w:r w:rsidRPr="006121FB">
        <w:rPr>
          <w:rFonts w:ascii="Arial" w:hAnsi="Arial" w:cs="Arial"/>
          <w:sz w:val="20"/>
          <w:szCs w:val="20"/>
          <w:lang w:val="fr-FR"/>
        </w:rPr>
        <w:t>Mettre en place/renforcer en milieu rural les initiatives pour l’utilisation et la production plus efficientes du bois – énergie (carbonisation améliorée, plantations individuelles/villageoises, foyers améliorés, valorisation des résidus agricoles comme combustible, redynamisation des marchés ruraux sou</w:t>
      </w:r>
      <w:r w:rsidR="00BB60B2" w:rsidRPr="006121FB">
        <w:rPr>
          <w:rFonts w:ascii="Arial" w:hAnsi="Arial" w:cs="Arial"/>
          <w:sz w:val="20"/>
          <w:szCs w:val="20"/>
          <w:lang w:val="fr-FR"/>
        </w:rPr>
        <w:t>s contrôle efficace,..) (*)</w:t>
      </w:r>
    </w:p>
    <w:p w14:paraId="17F6A6BC" w14:textId="77777777" w:rsidR="00802BA9" w:rsidRPr="006121FB" w:rsidRDefault="00802BA9" w:rsidP="00525222">
      <w:pPr>
        <w:numPr>
          <w:ilvl w:val="0"/>
          <w:numId w:val="44"/>
        </w:numPr>
        <w:spacing w:after="0" w:line="240" w:lineRule="auto"/>
        <w:contextualSpacing/>
        <w:rPr>
          <w:rFonts w:ascii="Arial" w:hAnsi="Arial" w:cs="Arial"/>
          <w:sz w:val="20"/>
          <w:szCs w:val="20"/>
          <w:lang w:val="fr-FR"/>
        </w:rPr>
      </w:pPr>
      <w:r w:rsidRPr="006121FB">
        <w:rPr>
          <w:rFonts w:ascii="Arial" w:hAnsi="Arial" w:cs="Arial"/>
          <w:sz w:val="20"/>
          <w:szCs w:val="20"/>
          <w:lang w:val="fr-FR"/>
        </w:rPr>
        <w:t xml:space="preserve">Donner la préférence à la réhabilitation des centrales hydroélectriques </w:t>
      </w:r>
      <w:r w:rsidR="00D15E16">
        <w:rPr>
          <w:rFonts w:ascii="Arial" w:hAnsi="Arial" w:cs="Arial"/>
          <w:sz w:val="20"/>
          <w:szCs w:val="20"/>
          <w:lang w:val="fr-FR"/>
        </w:rPr>
        <w:t xml:space="preserve">(en panne, en sous – productivité) </w:t>
      </w:r>
      <w:r w:rsidRPr="006121FB">
        <w:rPr>
          <w:rFonts w:ascii="Arial" w:hAnsi="Arial" w:cs="Arial"/>
          <w:sz w:val="20"/>
          <w:szCs w:val="20"/>
          <w:lang w:val="fr-FR"/>
        </w:rPr>
        <w:t>et aux centrales solaires ou mixtes isolé</w:t>
      </w:r>
      <w:r w:rsidR="009930BF" w:rsidRPr="006121FB">
        <w:rPr>
          <w:rFonts w:ascii="Arial" w:hAnsi="Arial" w:cs="Arial"/>
          <w:sz w:val="20"/>
          <w:szCs w:val="20"/>
          <w:lang w:val="fr-FR"/>
        </w:rPr>
        <w:t>e</w:t>
      </w:r>
      <w:r w:rsidRPr="006121FB">
        <w:rPr>
          <w:rFonts w:ascii="Arial" w:hAnsi="Arial" w:cs="Arial"/>
          <w:sz w:val="20"/>
          <w:szCs w:val="20"/>
          <w:lang w:val="fr-FR"/>
        </w:rPr>
        <w:t>s dans la transi</w:t>
      </w:r>
      <w:r w:rsidR="00BB60B2" w:rsidRPr="006121FB">
        <w:rPr>
          <w:rFonts w:ascii="Arial" w:hAnsi="Arial" w:cs="Arial"/>
          <w:sz w:val="20"/>
          <w:szCs w:val="20"/>
          <w:lang w:val="fr-FR"/>
        </w:rPr>
        <w:t>tion énergétique</w:t>
      </w:r>
      <w:r w:rsidRPr="006121FB">
        <w:rPr>
          <w:rFonts w:ascii="Arial" w:hAnsi="Arial" w:cs="Arial"/>
          <w:sz w:val="20"/>
          <w:szCs w:val="20"/>
          <w:lang w:val="fr-FR"/>
        </w:rPr>
        <w:t>.</w:t>
      </w:r>
    </w:p>
    <w:p w14:paraId="6C672B99" w14:textId="77777777" w:rsidR="00802BA9" w:rsidRPr="006121FB" w:rsidRDefault="00802BA9" w:rsidP="006121FB">
      <w:pPr>
        <w:spacing w:before="120" w:after="120" w:line="240" w:lineRule="auto"/>
        <w:rPr>
          <w:rFonts w:ascii="Arial" w:hAnsi="Arial" w:cs="Arial"/>
          <w:b/>
          <w:sz w:val="20"/>
          <w:szCs w:val="20"/>
          <w:lang w:val="fr-FR"/>
        </w:rPr>
      </w:pPr>
      <w:r w:rsidRPr="006121FB">
        <w:rPr>
          <w:rFonts w:ascii="Arial" w:hAnsi="Arial" w:cs="Arial"/>
          <w:b/>
          <w:sz w:val="20"/>
          <w:szCs w:val="20"/>
          <w:lang w:val="fr-FR"/>
        </w:rPr>
        <w:t>Conclusion 4</w:t>
      </w:r>
    </w:p>
    <w:p w14:paraId="4D007A5A" w14:textId="77777777" w:rsidR="00802BA9" w:rsidRPr="006121FB" w:rsidRDefault="00802BA9" w:rsidP="006121FB">
      <w:pPr>
        <w:spacing w:before="120" w:after="120" w:line="240" w:lineRule="auto"/>
        <w:rPr>
          <w:rFonts w:ascii="Arial" w:hAnsi="Arial" w:cs="Arial"/>
          <w:b/>
          <w:sz w:val="20"/>
          <w:szCs w:val="20"/>
          <w:lang w:val="fr-FR"/>
        </w:rPr>
      </w:pPr>
      <w:r w:rsidRPr="006121FB">
        <w:rPr>
          <w:rFonts w:ascii="Arial" w:hAnsi="Arial" w:cs="Arial"/>
          <w:b/>
          <w:sz w:val="20"/>
          <w:szCs w:val="20"/>
          <w:lang w:val="fr-FR"/>
        </w:rPr>
        <w:t>L’orpaillage, une richesse à un prix environnemental et social désastreux</w:t>
      </w:r>
    </w:p>
    <w:p w14:paraId="2662AC95" w14:textId="77777777" w:rsidR="00802BA9" w:rsidRPr="006121FB" w:rsidRDefault="00802BA9" w:rsidP="006121FB">
      <w:pPr>
        <w:spacing w:before="120" w:after="120" w:line="240" w:lineRule="auto"/>
        <w:rPr>
          <w:rFonts w:ascii="Arial" w:hAnsi="Arial" w:cs="Arial"/>
          <w:b/>
          <w:sz w:val="20"/>
          <w:szCs w:val="20"/>
          <w:lang w:val="fr-FR"/>
        </w:rPr>
      </w:pPr>
      <w:r w:rsidRPr="006121FB">
        <w:rPr>
          <w:rFonts w:ascii="Arial" w:hAnsi="Arial" w:cs="Arial"/>
          <w:b/>
          <w:sz w:val="20"/>
          <w:szCs w:val="20"/>
          <w:lang w:val="fr-FR"/>
        </w:rPr>
        <w:t>Recommandations :</w:t>
      </w:r>
    </w:p>
    <w:p w14:paraId="32839A75" w14:textId="77777777" w:rsidR="00802BA9" w:rsidRPr="006121FB" w:rsidRDefault="00802BA9" w:rsidP="006121FB">
      <w:pPr>
        <w:numPr>
          <w:ilvl w:val="0"/>
          <w:numId w:val="52"/>
        </w:numPr>
        <w:spacing w:before="120" w:after="120" w:line="240" w:lineRule="auto"/>
        <w:contextualSpacing/>
        <w:rPr>
          <w:rFonts w:ascii="Arial" w:hAnsi="Arial" w:cs="Arial"/>
          <w:sz w:val="20"/>
          <w:szCs w:val="20"/>
          <w:lang w:val="fr-FR"/>
        </w:rPr>
      </w:pPr>
      <w:r w:rsidRPr="006121FB">
        <w:rPr>
          <w:rFonts w:ascii="Arial" w:hAnsi="Arial" w:cs="Arial"/>
          <w:sz w:val="20"/>
          <w:szCs w:val="20"/>
          <w:lang w:val="fr-FR"/>
        </w:rPr>
        <w:t>Mettre en œuvre /appliquer les actions et mesures déjà décidées et mises en attente (pour éviter les troubles sociaux d’avant élection) : interdiction du dragage sur les berges des fleuves et plans d’eau, application de l’interdiction de l’orpaillage du</w:t>
      </w:r>
      <w:r w:rsidR="00BB60B2" w:rsidRPr="006121FB">
        <w:rPr>
          <w:rFonts w:ascii="Arial" w:hAnsi="Arial" w:cs="Arial"/>
          <w:sz w:val="20"/>
          <w:szCs w:val="20"/>
          <w:lang w:val="fr-FR"/>
        </w:rPr>
        <w:t>rant l’hivernage</w:t>
      </w:r>
      <w:r w:rsidRPr="006121FB">
        <w:rPr>
          <w:rFonts w:ascii="Arial" w:hAnsi="Arial" w:cs="Arial"/>
          <w:sz w:val="20"/>
          <w:szCs w:val="20"/>
          <w:lang w:val="fr-FR"/>
        </w:rPr>
        <w:t>.</w:t>
      </w:r>
    </w:p>
    <w:p w14:paraId="7DC95B88" w14:textId="77777777" w:rsidR="00802BA9" w:rsidRDefault="00802BA9" w:rsidP="006121FB">
      <w:pPr>
        <w:numPr>
          <w:ilvl w:val="0"/>
          <w:numId w:val="52"/>
        </w:numPr>
        <w:spacing w:before="120" w:after="120" w:line="240" w:lineRule="auto"/>
        <w:contextualSpacing/>
        <w:rPr>
          <w:rFonts w:ascii="Arial" w:hAnsi="Arial" w:cs="Arial"/>
          <w:sz w:val="20"/>
          <w:szCs w:val="20"/>
          <w:lang w:val="fr-FR"/>
        </w:rPr>
      </w:pPr>
      <w:r w:rsidRPr="006121FB">
        <w:rPr>
          <w:rFonts w:ascii="Arial" w:hAnsi="Arial" w:cs="Arial"/>
          <w:sz w:val="20"/>
          <w:szCs w:val="20"/>
          <w:lang w:val="fr-FR"/>
        </w:rPr>
        <w:t>Réduire / interdire l’orpaillage semi – industriel utilisant le mercure et le cyanure et assurer un co</w:t>
      </w:r>
      <w:r w:rsidR="00BB60B2" w:rsidRPr="006121FB">
        <w:rPr>
          <w:rFonts w:ascii="Arial" w:hAnsi="Arial" w:cs="Arial"/>
          <w:sz w:val="20"/>
          <w:szCs w:val="20"/>
          <w:lang w:val="fr-FR"/>
        </w:rPr>
        <w:t>ntrôle efficace (*</w:t>
      </w:r>
      <w:r w:rsidRPr="006121FB">
        <w:rPr>
          <w:rFonts w:ascii="Arial" w:hAnsi="Arial" w:cs="Arial"/>
          <w:sz w:val="20"/>
          <w:szCs w:val="20"/>
          <w:lang w:val="fr-FR"/>
        </w:rPr>
        <w:t>).</w:t>
      </w:r>
    </w:p>
    <w:p w14:paraId="30C9793A" w14:textId="77777777" w:rsidR="001445C5" w:rsidRPr="001445C5" w:rsidRDefault="001445C5" w:rsidP="001445C5">
      <w:pPr>
        <w:numPr>
          <w:ilvl w:val="0"/>
          <w:numId w:val="52"/>
        </w:numPr>
        <w:spacing w:before="120" w:after="120" w:line="240" w:lineRule="auto"/>
        <w:contextualSpacing/>
        <w:rPr>
          <w:rFonts w:ascii="Arial" w:hAnsi="Arial" w:cs="Arial"/>
          <w:sz w:val="20"/>
          <w:szCs w:val="20"/>
          <w:lang w:val="fr-FR"/>
        </w:rPr>
      </w:pPr>
      <w:r w:rsidRPr="001445C5">
        <w:rPr>
          <w:rFonts w:ascii="Arial" w:hAnsi="Arial" w:cs="Arial"/>
          <w:sz w:val="20"/>
          <w:szCs w:val="20"/>
          <w:lang w:val="fr-FR"/>
        </w:rPr>
        <w:t>Faire l’état des lieux</w:t>
      </w:r>
      <w:r>
        <w:rPr>
          <w:rFonts w:ascii="Arial" w:hAnsi="Arial" w:cs="Arial"/>
          <w:sz w:val="20"/>
          <w:szCs w:val="20"/>
          <w:lang w:val="fr-FR"/>
        </w:rPr>
        <w:t xml:space="preserve"> des sites d’orpaillage</w:t>
      </w:r>
    </w:p>
    <w:p w14:paraId="3C3C739F" w14:textId="77777777" w:rsidR="00802BA9" w:rsidRPr="006121FB" w:rsidRDefault="001445C5" w:rsidP="00525222">
      <w:pPr>
        <w:numPr>
          <w:ilvl w:val="0"/>
          <w:numId w:val="52"/>
        </w:numPr>
        <w:spacing w:before="120" w:after="0" w:line="240" w:lineRule="auto"/>
        <w:ind w:left="357" w:hanging="357"/>
        <w:contextualSpacing/>
        <w:rPr>
          <w:rFonts w:ascii="Arial" w:hAnsi="Arial" w:cs="Arial"/>
          <w:sz w:val="20"/>
          <w:szCs w:val="20"/>
          <w:lang w:val="fr-FR"/>
        </w:rPr>
      </w:pPr>
      <w:r w:rsidRPr="001445C5">
        <w:rPr>
          <w:rFonts w:ascii="Arial" w:hAnsi="Arial" w:cs="Arial"/>
          <w:sz w:val="20"/>
          <w:szCs w:val="20"/>
          <w:lang w:val="fr-FR"/>
        </w:rPr>
        <w:t>Organiser et encadrer le secteur et les communes concernées à respecter la réglementation en vigueur en impliquant le service technique des mines, la DRACPN, le Conseil National des Orpailleurs, la Chambre des Mines, les acteurs sur les sites d’orpaillage et les forces de l’ordre</w:t>
      </w:r>
      <w:r w:rsidR="00802BA9" w:rsidRPr="006121FB">
        <w:rPr>
          <w:rFonts w:ascii="Arial" w:hAnsi="Arial" w:cs="Arial"/>
          <w:sz w:val="20"/>
          <w:szCs w:val="20"/>
          <w:lang w:val="fr-FR"/>
        </w:rPr>
        <w:t xml:space="preserve"> (*).</w:t>
      </w:r>
    </w:p>
    <w:p w14:paraId="762C7486" w14:textId="77777777" w:rsidR="00802BA9" w:rsidRPr="006121FB" w:rsidRDefault="00802BA9" w:rsidP="006121FB">
      <w:pPr>
        <w:spacing w:before="120" w:after="120" w:line="240" w:lineRule="auto"/>
        <w:rPr>
          <w:rFonts w:ascii="Arial" w:hAnsi="Arial" w:cs="Arial"/>
          <w:b/>
          <w:sz w:val="20"/>
          <w:szCs w:val="20"/>
          <w:lang w:val="fr-FR"/>
        </w:rPr>
      </w:pPr>
      <w:r w:rsidRPr="006121FB">
        <w:rPr>
          <w:rFonts w:ascii="Arial" w:hAnsi="Arial" w:cs="Arial"/>
          <w:b/>
          <w:sz w:val="20"/>
          <w:szCs w:val="20"/>
          <w:lang w:val="fr-FR"/>
        </w:rPr>
        <w:t>Conclusion 5</w:t>
      </w:r>
    </w:p>
    <w:p w14:paraId="227F29C0" w14:textId="77777777" w:rsidR="00802BA9" w:rsidRPr="006121FB" w:rsidRDefault="00802BA9" w:rsidP="006121FB">
      <w:pPr>
        <w:spacing w:before="120" w:after="120" w:line="240" w:lineRule="auto"/>
        <w:rPr>
          <w:rFonts w:ascii="Arial" w:hAnsi="Arial" w:cs="Arial"/>
          <w:b/>
          <w:sz w:val="20"/>
          <w:szCs w:val="20"/>
          <w:lang w:val="fr-FR"/>
        </w:rPr>
      </w:pPr>
      <w:r w:rsidRPr="006121FB">
        <w:rPr>
          <w:rFonts w:ascii="Arial" w:hAnsi="Arial" w:cs="Arial"/>
          <w:b/>
          <w:sz w:val="20"/>
          <w:szCs w:val="20"/>
          <w:lang w:val="fr-FR"/>
        </w:rPr>
        <w:t>Bamako, une capitale « peu propre », sans espace pour l’assainissement et piégée par ses questions foncières, institutionnelles</w:t>
      </w:r>
      <w:r w:rsidR="00034EB8">
        <w:rPr>
          <w:rFonts w:ascii="Arial" w:hAnsi="Arial" w:cs="Arial"/>
          <w:b/>
          <w:sz w:val="20"/>
          <w:szCs w:val="20"/>
          <w:lang w:val="fr-FR"/>
        </w:rPr>
        <w:t xml:space="preserve"> et</w:t>
      </w:r>
      <w:r w:rsidRPr="006121FB">
        <w:rPr>
          <w:rFonts w:ascii="Arial" w:hAnsi="Arial" w:cs="Arial"/>
          <w:b/>
          <w:sz w:val="20"/>
          <w:szCs w:val="20"/>
          <w:lang w:val="fr-FR"/>
        </w:rPr>
        <w:t xml:space="preserve"> procédurales  </w:t>
      </w:r>
    </w:p>
    <w:p w14:paraId="037161FA" w14:textId="77777777" w:rsidR="00802BA9" w:rsidRPr="006121FB" w:rsidRDefault="00802BA9" w:rsidP="006121FB">
      <w:pPr>
        <w:spacing w:before="120" w:after="120" w:line="240" w:lineRule="auto"/>
        <w:rPr>
          <w:rFonts w:ascii="Arial" w:hAnsi="Arial" w:cs="Arial"/>
          <w:b/>
          <w:sz w:val="20"/>
          <w:szCs w:val="20"/>
          <w:lang w:val="fr-FR"/>
        </w:rPr>
      </w:pPr>
      <w:r w:rsidRPr="006121FB">
        <w:rPr>
          <w:rFonts w:ascii="Arial" w:hAnsi="Arial" w:cs="Arial"/>
          <w:b/>
          <w:sz w:val="20"/>
          <w:szCs w:val="20"/>
          <w:lang w:val="fr-FR"/>
        </w:rPr>
        <w:t>Recommandations</w:t>
      </w:r>
    </w:p>
    <w:p w14:paraId="2FC86247" w14:textId="77777777" w:rsidR="00802BA9" w:rsidRPr="006121FB" w:rsidRDefault="00802BA9" w:rsidP="006121FB">
      <w:pPr>
        <w:numPr>
          <w:ilvl w:val="0"/>
          <w:numId w:val="46"/>
        </w:numPr>
        <w:spacing w:before="120" w:after="120" w:line="240" w:lineRule="auto"/>
        <w:contextualSpacing/>
        <w:rPr>
          <w:rFonts w:ascii="Arial" w:hAnsi="Arial" w:cs="Arial"/>
          <w:sz w:val="20"/>
          <w:szCs w:val="20"/>
          <w:lang w:val="fr-FR"/>
        </w:rPr>
      </w:pPr>
      <w:r w:rsidRPr="006121FB">
        <w:rPr>
          <w:rFonts w:ascii="Arial" w:hAnsi="Arial" w:cs="Arial"/>
          <w:sz w:val="20"/>
          <w:szCs w:val="20"/>
          <w:lang w:val="fr-FR"/>
        </w:rPr>
        <w:t>Intégrer l’environnement / le développement urbain de Bamako dans le post – 11</w:t>
      </w:r>
      <w:r w:rsidRPr="006121FB">
        <w:rPr>
          <w:rFonts w:ascii="Arial" w:hAnsi="Arial" w:cs="Arial"/>
          <w:sz w:val="20"/>
          <w:szCs w:val="20"/>
          <w:vertAlign w:val="superscript"/>
          <w:lang w:val="fr-FR"/>
        </w:rPr>
        <w:t xml:space="preserve">ème </w:t>
      </w:r>
      <w:r w:rsidRPr="006121FB">
        <w:rPr>
          <w:rFonts w:ascii="Arial" w:hAnsi="Arial" w:cs="Arial"/>
          <w:sz w:val="20"/>
          <w:szCs w:val="20"/>
          <w:lang w:val="fr-FR"/>
        </w:rPr>
        <w:t>FED vu l’ampleur de la problématique (*). Selon l’engagement prévu, deux scenarii semblent opportuns :</w:t>
      </w:r>
    </w:p>
    <w:p w14:paraId="356F08F2" w14:textId="77777777" w:rsidR="00802BA9" w:rsidRPr="006121FB" w:rsidRDefault="00802BA9" w:rsidP="006121FB">
      <w:pPr>
        <w:numPr>
          <w:ilvl w:val="0"/>
          <w:numId w:val="49"/>
        </w:numPr>
        <w:spacing w:before="120" w:after="120" w:line="240" w:lineRule="auto"/>
        <w:ind w:left="709" w:hanging="349"/>
        <w:contextualSpacing/>
        <w:rPr>
          <w:rFonts w:ascii="Arial" w:hAnsi="Arial" w:cs="Arial"/>
          <w:sz w:val="20"/>
          <w:szCs w:val="20"/>
          <w:lang w:val="fr-FR"/>
        </w:rPr>
      </w:pPr>
      <w:r w:rsidRPr="006121FB">
        <w:rPr>
          <w:rFonts w:ascii="Arial" w:hAnsi="Arial" w:cs="Arial"/>
          <w:sz w:val="20"/>
          <w:szCs w:val="20"/>
          <w:lang w:val="fr-FR"/>
        </w:rPr>
        <w:t xml:space="preserve">Intégration dans les domaines de compétences existants de l’UE au Mali : </w:t>
      </w:r>
    </w:p>
    <w:p w14:paraId="7FB70CDE" w14:textId="77777777" w:rsidR="00802BA9" w:rsidRPr="006121FB" w:rsidRDefault="00802BA9" w:rsidP="007D0EB2">
      <w:pPr>
        <w:spacing w:before="120" w:after="0" w:line="240" w:lineRule="auto"/>
        <w:ind w:left="360" w:firstLine="207"/>
        <w:rPr>
          <w:rFonts w:ascii="Arial" w:hAnsi="Arial" w:cs="Arial"/>
          <w:sz w:val="20"/>
          <w:szCs w:val="20"/>
          <w:lang w:val="fr-FR"/>
        </w:rPr>
      </w:pPr>
      <w:r w:rsidRPr="006121FB">
        <w:rPr>
          <w:rFonts w:ascii="Arial" w:hAnsi="Arial" w:cs="Arial"/>
          <w:sz w:val="20"/>
          <w:szCs w:val="20"/>
          <w:lang w:val="fr-FR"/>
        </w:rPr>
        <w:t>Ia) Secteur transports :</w:t>
      </w:r>
    </w:p>
    <w:p w14:paraId="2C75A280" w14:textId="77777777" w:rsidR="00802BA9" w:rsidRPr="006121FB" w:rsidRDefault="00802BA9" w:rsidP="006121FB">
      <w:pPr>
        <w:numPr>
          <w:ilvl w:val="0"/>
          <w:numId w:val="47"/>
        </w:numPr>
        <w:spacing w:before="120" w:after="120" w:line="240" w:lineRule="auto"/>
        <w:contextualSpacing/>
        <w:rPr>
          <w:rFonts w:ascii="Arial" w:hAnsi="Arial" w:cs="Arial"/>
          <w:sz w:val="20"/>
          <w:szCs w:val="20"/>
          <w:lang w:val="fr-FR"/>
        </w:rPr>
      </w:pPr>
      <w:r w:rsidRPr="006121FB">
        <w:rPr>
          <w:rFonts w:ascii="Arial" w:hAnsi="Arial" w:cs="Arial"/>
          <w:sz w:val="20"/>
          <w:szCs w:val="20"/>
          <w:lang w:val="fr-FR"/>
        </w:rPr>
        <w:t>Appuyer l’élaboration et la mise en œuvre du plan de circulation de Bamako</w:t>
      </w:r>
      <w:r w:rsidR="001254ED">
        <w:rPr>
          <w:rFonts w:ascii="Arial" w:hAnsi="Arial" w:cs="Arial"/>
          <w:sz w:val="20"/>
          <w:szCs w:val="20"/>
          <w:lang w:val="fr-FR"/>
        </w:rPr>
        <w:t>.</w:t>
      </w:r>
    </w:p>
    <w:p w14:paraId="37E7DA19" w14:textId="77777777" w:rsidR="00802BA9" w:rsidRPr="006121FB" w:rsidRDefault="00802BA9" w:rsidP="006121FB">
      <w:pPr>
        <w:numPr>
          <w:ilvl w:val="0"/>
          <w:numId w:val="47"/>
        </w:numPr>
        <w:spacing w:before="120" w:after="120" w:line="240" w:lineRule="auto"/>
        <w:contextualSpacing/>
        <w:rPr>
          <w:rFonts w:ascii="Arial" w:hAnsi="Arial" w:cs="Arial"/>
          <w:sz w:val="20"/>
          <w:szCs w:val="20"/>
          <w:lang w:val="fr-FR"/>
        </w:rPr>
      </w:pPr>
      <w:r w:rsidRPr="006121FB">
        <w:rPr>
          <w:rFonts w:ascii="Arial" w:hAnsi="Arial" w:cs="Arial"/>
          <w:sz w:val="20"/>
          <w:szCs w:val="20"/>
          <w:lang w:val="fr-FR"/>
        </w:rPr>
        <w:t>Appuyer le développement / l’adaptation des canaux d’évacuation d’eau de surface.</w:t>
      </w:r>
    </w:p>
    <w:p w14:paraId="54A6C381" w14:textId="77777777" w:rsidR="00802BA9" w:rsidRDefault="00802BA9" w:rsidP="006121FB">
      <w:pPr>
        <w:numPr>
          <w:ilvl w:val="0"/>
          <w:numId w:val="47"/>
        </w:numPr>
        <w:spacing w:before="120" w:after="120" w:line="240" w:lineRule="auto"/>
        <w:contextualSpacing/>
        <w:rPr>
          <w:rFonts w:ascii="Arial" w:hAnsi="Arial" w:cs="Arial"/>
          <w:sz w:val="20"/>
          <w:szCs w:val="20"/>
          <w:lang w:val="fr-FR"/>
        </w:rPr>
      </w:pPr>
      <w:r w:rsidRPr="006121FB">
        <w:rPr>
          <w:rFonts w:ascii="Arial" w:hAnsi="Arial" w:cs="Arial"/>
          <w:sz w:val="20"/>
          <w:szCs w:val="20"/>
          <w:lang w:val="fr-FR"/>
        </w:rPr>
        <w:t>Appuyer la révision des normes des contrôles techniques des véhicules en faveur de la réduction des pollutions.</w:t>
      </w:r>
    </w:p>
    <w:p w14:paraId="1CA6FE36" w14:textId="77777777" w:rsidR="007D0EB2" w:rsidRPr="006121FB" w:rsidRDefault="007D0EB2" w:rsidP="007D0EB2">
      <w:pPr>
        <w:spacing w:before="120" w:after="120" w:line="240" w:lineRule="auto"/>
        <w:ind w:left="720"/>
        <w:contextualSpacing/>
        <w:rPr>
          <w:rFonts w:ascii="Arial" w:hAnsi="Arial" w:cs="Arial"/>
          <w:sz w:val="20"/>
          <w:szCs w:val="20"/>
          <w:lang w:val="fr-FR"/>
        </w:rPr>
      </w:pPr>
    </w:p>
    <w:p w14:paraId="4D7328FF" w14:textId="77777777" w:rsidR="00802BA9" w:rsidRPr="006121FB" w:rsidRDefault="00802BA9" w:rsidP="007D0EB2">
      <w:pPr>
        <w:spacing w:before="120" w:after="0" w:line="240" w:lineRule="auto"/>
        <w:ind w:left="-360" w:firstLine="927"/>
        <w:rPr>
          <w:rFonts w:ascii="Arial" w:hAnsi="Arial" w:cs="Arial"/>
          <w:sz w:val="20"/>
          <w:szCs w:val="20"/>
          <w:lang w:val="fr-FR"/>
        </w:rPr>
      </w:pPr>
      <w:r w:rsidRPr="006121FB">
        <w:rPr>
          <w:rFonts w:ascii="Arial" w:hAnsi="Arial" w:cs="Arial"/>
          <w:sz w:val="20"/>
          <w:szCs w:val="20"/>
          <w:lang w:val="fr-FR"/>
        </w:rPr>
        <w:t>Ib) Gouvernance :</w:t>
      </w:r>
    </w:p>
    <w:p w14:paraId="55F88E22" w14:textId="77777777" w:rsidR="00802BA9" w:rsidRPr="006121FB" w:rsidRDefault="00802BA9" w:rsidP="006121FB">
      <w:pPr>
        <w:numPr>
          <w:ilvl w:val="0"/>
          <w:numId w:val="48"/>
        </w:numPr>
        <w:spacing w:before="120" w:after="120" w:line="240" w:lineRule="auto"/>
        <w:contextualSpacing/>
        <w:rPr>
          <w:rFonts w:ascii="Arial" w:hAnsi="Arial" w:cs="Arial"/>
          <w:sz w:val="20"/>
          <w:szCs w:val="20"/>
          <w:lang w:val="fr-FR"/>
        </w:rPr>
      </w:pPr>
      <w:r w:rsidRPr="006121FB">
        <w:rPr>
          <w:rFonts w:ascii="Arial" w:hAnsi="Arial" w:cs="Arial"/>
          <w:sz w:val="20"/>
          <w:szCs w:val="20"/>
          <w:lang w:val="fr-FR"/>
        </w:rPr>
        <w:t>Appuyer / renforcer l’opérationnalité de la DNACPN afin qu’elle puisse assurer son mandat régalien de contrôle des pollutions.</w:t>
      </w:r>
    </w:p>
    <w:p w14:paraId="3B71A3D7" w14:textId="77777777" w:rsidR="00802BA9" w:rsidRDefault="00802BA9" w:rsidP="007D0EB2">
      <w:pPr>
        <w:numPr>
          <w:ilvl w:val="0"/>
          <w:numId w:val="48"/>
        </w:numPr>
        <w:spacing w:before="120" w:after="0" w:line="240" w:lineRule="auto"/>
        <w:contextualSpacing/>
        <w:rPr>
          <w:rFonts w:ascii="Arial" w:hAnsi="Arial" w:cs="Arial"/>
          <w:sz w:val="20"/>
          <w:szCs w:val="20"/>
          <w:lang w:val="fr-FR"/>
        </w:rPr>
      </w:pPr>
      <w:r w:rsidRPr="006121FB">
        <w:rPr>
          <w:rFonts w:ascii="Arial" w:hAnsi="Arial" w:cs="Arial"/>
          <w:sz w:val="20"/>
          <w:szCs w:val="20"/>
          <w:lang w:val="fr-FR"/>
        </w:rPr>
        <w:t>Mettre en place un observatoire de la qualité de l’air (à l’instar de celui de Dakar) incluant l’opérationnalisation / la réhabilitation de l’unité mobile actuellement hors service.</w:t>
      </w:r>
    </w:p>
    <w:p w14:paraId="11A741C1" w14:textId="77777777" w:rsidR="007D0EB2" w:rsidRPr="006121FB" w:rsidRDefault="007D0EB2" w:rsidP="007D0EB2">
      <w:pPr>
        <w:spacing w:before="120" w:after="0" w:line="240" w:lineRule="auto"/>
        <w:ind w:left="708"/>
        <w:contextualSpacing/>
        <w:rPr>
          <w:rFonts w:ascii="Arial" w:hAnsi="Arial" w:cs="Arial"/>
          <w:sz w:val="20"/>
          <w:szCs w:val="20"/>
          <w:lang w:val="fr-FR"/>
        </w:rPr>
      </w:pPr>
    </w:p>
    <w:p w14:paraId="58924A00" w14:textId="77777777" w:rsidR="00802BA9" w:rsidRPr="00D85946" w:rsidRDefault="00802BA9" w:rsidP="006121FB">
      <w:pPr>
        <w:numPr>
          <w:ilvl w:val="0"/>
          <w:numId w:val="49"/>
        </w:numPr>
        <w:tabs>
          <w:tab w:val="left" w:pos="426"/>
        </w:tabs>
        <w:spacing w:before="120" w:after="120" w:line="240" w:lineRule="auto"/>
        <w:ind w:left="709" w:hanging="349"/>
        <w:contextualSpacing/>
        <w:rPr>
          <w:rFonts w:ascii="Arial" w:hAnsi="Arial" w:cs="Arial"/>
          <w:sz w:val="20"/>
          <w:szCs w:val="20"/>
          <w:lang w:val="fr-FR"/>
        </w:rPr>
      </w:pPr>
      <w:r w:rsidRPr="006121FB">
        <w:rPr>
          <w:rFonts w:ascii="Arial" w:hAnsi="Arial" w:cs="Arial"/>
          <w:sz w:val="20"/>
          <w:szCs w:val="20"/>
          <w:lang w:val="fr-FR"/>
        </w:rPr>
        <w:t>Un programme spécifique de gestion environnementale pour la ville de Bamako</w:t>
      </w:r>
      <w:r w:rsidR="00CA7594" w:rsidRPr="006121FB">
        <w:rPr>
          <w:rFonts w:ascii="Arial" w:hAnsi="Arial" w:cs="Arial"/>
          <w:color w:val="C00000"/>
          <w:sz w:val="20"/>
          <w:szCs w:val="20"/>
          <w:lang w:val="fr-FR"/>
        </w:rPr>
        <w:t xml:space="preserve"> </w:t>
      </w:r>
      <w:r w:rsidR="00CA7594" w:rsidRPr="00D85946">
        <w:rPr>
          <w:rFonts w:ascii="Arial" w:hAnsi="Arial" w:cs="Arial"/>
          <w:sz w:val="20"/>
          <w:szCs w:val="20"/>
          <w:lang w:val="fr-FR"/>
        </w:rPr>
        <w:t>comme secteur de concentration du post – 11</w:t>
      </w:r>
      <w:r w:rsidR="00CA7594" w:rsidRPr="00D85946">
        <w:rPr>
          <w:rFonts w:ascii="Arial" w:hAnsi="Arial" w:cs="Arial"/>
          <w:sz w:val="20"/>
          <w:szCs w:val="20"/>
          <w:vertAlign w:val="superscript"/>
          <w:lang w:val="fr-FR"/>
        </w:rPr>
        <w:t>ème</w:t>
      </w:r>
      <w:r w:rsidR="00CA7594" w:rsidRPr="00D85946">
        <w:rPr>
          <w:rFonts w:ascii="Arial" w:hAnsi="Arial" w:cs="Arial"/>
          <w:sz w:val="20"/>
          <w:szCs w:val="20"/>
          <w:lang w:val="fr-FR"/>
        </w:rPr>
        <w:t xml:space="preserve"> FED en ajoutant en plus</w:t>
      </w:r>
      <w:r w:rsidRPr="00D85946">
        <w:rPr>
          <w:rFonts w:ascii="Arial" w:hAnsi="Arial" w:cs="Arial"/>
          <w:sz w:val="20"/>
          <w:szCs w:val="20"/>
          <w:lang w:val="fr-FR"/>
        </w:rPr>
        <w:t> :</w:t>
      </w:r>
    </w:p>
    <w:p w14:paraId="7F2DC760" w14:textId="77777777" w:rsidR="00802BA9" w:rsidRPr="006121FB" w:rsidRDefault="00802BA9" w:rsidP="006121FB">
      <w:pPr>
        <w:numPr>
          <w:ilvl w:val="0"/>
          <w:numId w:val="50"/>
        </w:numPr>
        <w:tabs>
          <w:tab w:val="left" w:pos="426"/>
        </w:tabs>
        <w:spacing w:before="120" w:after="120" w:line="240" w:lineRule="auto"/>
        <w:contextualSpacing/>
        <w:rPr>
          <w:rFonts w:ascii="Arial" w:hAnsi="Arial" w:cs="Arial"/>
          <w:sz w:val="20"/>
          <w:szCs w:val="20"/>
          <w:lang w:val="fr-FR"/>
        </w:rPr>
      </w:pPr>
      <w:r w:rsidRPr="006121FB">
        <w:rPr>
          <w:rFonts w:ascii="Arial" w:hAnsi="Arial" w:cs="Arial"/>
          <w:sz w:val="20"/>
          <w:szCs w:val="20"/>
          <w:lang w:val="fr-FR"/>
        </w:rPr>
        <w:t>Appuyer</w:t>
      </w:r>
      <w:r w:rsidRPr="006121FB">
        <w:rPr>
          <w:rFonts w:ascii="Arial" w:hAnsi="Arial" w:cs="Arial"/>
          <w:sz w:val="20"/>
          <w:szCs w:val="20"/>
        </w:rPr>
        <w:t xml:space="preserve"> </w:t>
      </w:r>
      <w:r w:rsidRPr="006121FB">
        <w:rPr>
          <w:rFonts w:ascii="Arial" w:hAnsi="Arial" w:cs="Arial"/>
          <w:sz w:val="20"/>
          <w:szCs w:val="20"/>
          <w:lang w:val="fr-FR"/>
        </w:rPr>
        <w:t>les efforts en cours et la mise en œuvre du Schéma Directeur d’Urbanisme de l’agglomération de Bamako en incluant un appui technique pour résoudre les questions foncières et institutionnelles cruciales.</w:t>
      </w:r>
    </w:p>
    <w:p w14:paraId="1A46A4DD" w14:textId="77777777" w:rsidR="00802BA9" w:rsidRPr="006121FB" w:rsidRDefault="00802BA9" w:rsidP="006121FB">
      <w:pPr>
        <w:numPr>
          <w:ilvl w:val="0"/>
          <w:numId w:val="50"/>
        </w:numPr>
        <w:tabs>
          <w:tab w:val="left" w:pos="426"/>
        </w:tabs>
        <w:spacing w:before="120" w:after="120" w:line="240" w:lineRule="auto"/>
        <w:contextualSpacing/>
        <w:rPr>
          <w:rFonts w:ascii="Arial" w:hAnsi="Arial" w:cs="Arial"/>
          <w:sz w:val="20"/>
          <w:szCs w:val="20"/>
          <w:lang w:val="fr-FR"/>
        </w:rPr>
      </w:pPr>
      <w:r w:rsidRPr="006121FB">
        <w:rPr>
          <w:rFonts w:ascii="Arial" w:hAnsi="Arial" w:cs="Arial"/>
          <w:sz w:val="20"/>
          <w:szCs w:val="20"/>
          <w:lang w:val="fr-FR"/>
        </w:rPr>
        <w:t>Appuyer les filières intégrées d’assainissement (collecte, recyclage et dépôts de transit et final des déchets domestiques/industriels) et la mise en œuvre des actions techniques prioritaires (traitement/valorisation des boues de vidange, aménagement des dépôts transitoires)</w:t>
      </w:r>
    </w:p>
    <w:p w14:paraId="232F76D9" w14:textId="77777777" w:rsidR="00802BA9" w:rsidRPr="006121FB" w:rsidRDefault="00802BA9" w:rsidP="006121FB">
      <w:pPr>
        <w:tabs>
          <w:tab w:val="left" w:pos="426"/>
        </w:tabs>
        <w:spacing w:before="120" w:after="120" w:line="240" w:lineRule="auto"/>
        <w:ind w:left="420"/>
        <w:rPr>
          <w:rFonts w:ascii="Arial" w:hAnsi="Arial" w:cs="Arial"/>
          <w:color w:val="C00000"/>
          <w:sz w:val="20"/>
          <w:szCs w:val="20"/>
          <w:lang w:val="fr-FR"/>
        </w:rPr>
      </w:pPr>
      <w:r w:rsidRPr="006121FB">
        <w:rPr>
          <w:rFonts w:ascii="Arial" w:hAnsi="Arial" w:cs="Arial"/>
          <w:sz w:val="20"/>
          <w:szCs w:val="20"/>
          <w:lang w:val="fr-FR"/>
        </w:rPr>
        <w:t xml:space="preserve">NB : Une délégation d’un tel programme peut s’adresser aux PTF spécialisés (UN-Habitat, Enabel, SNV,..)  </w:t>
      </w:r>
    </w:p>
    <w:p w14:paraId="6EEF1E06" w14:textId="77777777" w:rsidR="00802BA9" w:rsidRPr="006121FB" w:rsidRDefault="00802BA9" w:rsidP="006121FB">
      <w:pPr>
        <w:spacing w:before="120" w:after="120" w:line="240" w:lineRule="auto"/>
        <w:rPr>
          <w:rFonts w:ascii="Arial" w:hAnsi="Arial" w:cs="Arial"/>
          <w:b/>
          <w:sz w:val="20"/>
          <w:szCs w:val="20"/>
          <w:lang w:val="fr-FR"/>
        </w:rPr>
      </w:pPr>
      <w:r w:rsidRPr="006121FB">
        <w:rPr>
          <w:rFonts w:ascii="Arial" w:hAnsi="Arial" w:cs="Arial"/>
          <w:b/>
          <w:sz w:val="20"/>
          <w:szCs w:val="20"/>
          <w:lang w:val="fr-FR"/>
        </w:rPr>
        <w:t>Conclusion 6</w:t>
      </w:r>
    </w:p>
    <w:p w14:paraId="665FB90C" w14:textId="77777777" w:rsidR="00802BA9" w:rsidRPr="006121FB" w:rsidRDefault="00802BA9" w:rsidP="006121FB">
      <w:pPr>
        <w:spacing w:before="120" w:after="120" w:line="240" w:lineRule="auto"/>
        <w:rPr>
          <w:rFonts w:ascii="Arial" w:hAnsi="Arial" w:cs="Arial"/>
          <w:b/>
          <w:sz w:val="20"/>
          <w:szCs w:val="20"/>
          <w:lang w:val="fr-FR"/>
        </w:rPr>
      </w:pPr>
      <w:r w:rsidRPr="006121FB">
        <w:rPr>
          <w:rFonts w:ascii="Arial" w:hAnsi="Arial" w:cs="Arial"/>
          <w:b/>
          <w:sz w:val="20"/>
          <w:szCs w:val="20"/>
          <w:lang w:val="fr-FR"/>
        </w:rPr>
        <w:t xml:space="preserve">Les progrès du développement / de la production rurale se </w:t>
      </w:r>
      <w:r w:rsidRPr="00034EB8">
        <w:rPr>
          <w:rFonts w:ascii="Arial" w:hAnsi="Arial" w:cs="Arial"/>
          <w:b/>
          <w:sz w:val="20"/>
          <w:szCs w:val="20"/>
          <w:lang w:val="fr-FR"/>
        </w:rPr>
        <w:t>f</w:t>
      </w:r>
      <w:r w:rsidR="003D0A38" w:rsidRPr="00034EB8">
        <w:rPr>
          <w:rFonts w:ascii="Arial" w:hAnsi="Arial" w:cs="Arial"/>
          <w:b/>
          <w:sz w:val="20"/>
          <w:szCs w:val="20"/>
          <w:lang w:val="fr-FR"/>
        </w:rPr>
        <w:t>ont</w:t>
      </w:r>
      <w:r w:rsidRPr="006121FB">
        <w:rPr>
          <w:rFonts w:ascii="Arial" w:hAnsi="Arial" w:cs="Arial"/>
          <w:b/>
          <w:color w:val="7030A0"/>
          <w:sz w:val="20"/>
          <w:szCs w:val="20"/>
          <w:lang w:val="fr-FR"/>
        </w:rPr>
        <w:t xml:space="preserve"> </w:t>
      </w:r>
      <w:r w:rsidRPr="006121FB">
        <w:rPr>
          <w:rFonts w:ascii="Arial" w:hAnsi="Arial" w:cs="Arial"/>
          <w:b/>
          <w:sz w:val="20"/>
          <w:szCs w:val="20"/>
          <w:lang w:val="fr-FR"/>
        </w:rPr>
        <w:t xml:space="preserve">au détriment des ressources naturelles sans véritable prise en compte </w:t>
      </w:r>
      <w:r w:rsidR="00034EB8">
        <w:rPr>
          <w:rFonts w:ascii="Arial" w:hAnsi="Arial" w:cs="Arial"/>
          <w:b/>
          <w:sz w:val="20"/>
          <w:szCs w:val="20"/>
          <w:lang w:val="fr-FR"/>
        </w:rPr>
        <w:t xml:space="preserve">de l’environnement et </w:t>
      </w:r>
      <w:r w:rsidRPr="006121FB">
        <w:rPr>
          <w:rFonts w:ascii="Arial" w:hAnsi="Arial" w:cs="Arial"/>
          <w:b/>
          <w:sz w:val="20"/>
          <w:szCs w:val="20"/>
          <w:lang w:val="fr-FR"/>
        </w:rPr>
        <w:t>des effets des changements climatiques</w:t>
      </w:r>
    </w:p>
    <w:p w14:paraId="014AFEB8" w14:textId="77777777" w:rsidR="00802BA9" w:rsidRPr="006121FB" w:rsidRDefault="00802BA9" w:rsidP="006121FB">
      <w:pPr>
        <w:spacing w:before="120" w:after="120" w:line="240" w:lineRule="auto"/>
        <w:rPr>
          <w:rFonts w:ascii="Arial" w:hAnsi="Arial" w:cs="Arial"/>
          <w:b/>
          <w:sz w:val="20"/>
          <w:szCs w:val="20"/>
          <w:lang w:val="fr-FR"/>
        </w:rPr>
      </w:pPr>
      <w:r w:rsidRPr="006121FB">
        <w:rPr>
          <w:rFonts w:ascii="Arial" w:hAnsi="Arial" w:cs="Arial"/>
          <w:b/>
          <w:sz w:val="20"/>
          <w:szCs w:val="20"/>
          <w:lang w:val="fr-FR"/>
        </w:rPr>
        <w:t>Recommandations :</w:t>
      </w:r>
    </w:p>
    <w:p w14:paraId="351A87E6" w14:textId="77777777" w:rsidR="00802BA9" w:rsidRPr="006121FB" w:rsidRDefault="00802BA9" w:rsidP="006121FB">
      <w:pPr>
        <w:numPr>
          <w:ilvl w:val="0"/>
          <w:numId w:val="51"/>
        </w:numPr>
        <w:spacing w:before="120" w:after="120" w:line="240" w:lineRule="auto"/>
        <w:contextualSpacing/>
        <w:rPr>
          <w:rFonts w:ascii="Arial" w:hAnsi="Arial" w:cs="Arial"/>
          <w:sz w:val="20"/>
          <w:szCs w:val="20"/>
          <w:lang w:val="fr-FR"/>
        </w:rPr>
      </w:pPr>
      <w:r w:rsidRPr="006121FB">
        <w:rPr>
          <w:rFonts w:ascii="Arial" w:hAnsi="Arial" w:cs="Arial"/>
          <w:sz w:val="20"/>
          <w:szCs w:val="20"/>
          <w:lang w:val="fr-FR"/>
        </w:rPr>
        <w:t>Favoriser l’augmentation de la productivité à la place de l’extension des surfaces de production (</w:t>
      </w:r>
      <w:r w:rsidR="00BB60B2" w:rsidRPr="006121FB">
        <w:rPr>
          <w:rFonts w:ascii="Arial" w:hAnsi="Arial" w:cs="Arial"/>
          <w:sz w:val="20"/>
          <w:szCs w:val="20"/>
          <w:lang w:val="fr-FR"/>
        </w:rPr>
        <w:t>*</w:t>
      </w:r>
      <w:r w:rsidRPr="006121FB">
        <w:rPr>
          <w:rFonts w:ascii="Arial" w:hAnsi="Arial" w:cs="Arial"/>
          <w:sz w:val="20"/>
          <w:szCs w:val="20"/>
          <w:lang w:val="fr-FR"/>
        </w:rPr>
        <w:t>).</w:t>
      </w:r>
    </w:p>
    <w:p w14:paraId="55DC5F17" w14:textId="77777777" w:rsidR="00802BA9" w:rsidRPr="006121FB" w:rsidRDefault="00802BA9" w:rsidP="006121FB">
      <w:pPr>
        <w:numPr>
          <w:ilvl w:val="0"/>
          <w:numId w:val="51"/>
        </w:numPr>
        <w:spacing w:before="120" w:after="120" w:line="240" w:lineRule="auto"/>
        <w:contextualSpacing/>
        <w:rPr>
          <w:rFonts w:ascii="Arial" w:hAnsi="Arial" w:cs="Arial"/>
          <w:sz w:val="20"/>
          <w:szCs w:val="20"/>
          <w:lang w:val="fr-FR"/>
        </w:rPr>
      </w:pPr>
      <w:r w:rsidRPr="006121FB">
        <w:rPr>
          <w:rFonts w:ascii="Arial" w:hAnsi="Arial" w:cs="Arial"/>
          <w:sz w:val="20"/>
          <w:szCs w:val="20"/>
          <w:lang w:val="fr-FR"/>
        </w:rPr>
        <w:t>Promouvoir les techniques d’utilisation rationnelle des ressources naturelles par une approche systémique pour une utilisation rationnelle de l’espace (eau d’irrigation, agriculture intégrée à l’élevage (renforcement des cultures fourragères), à la fore</w:t>
      </w:r>
      <w:r w:rsidR="00BB60B2" w:rsidRPr="006121FB">
        <w:rPr>
          <w:rFonts w:ascii="Arial" w:hAnsi="Arial" w:cs="Arial"/>
          <w:sz w:val="20"/>
          <w:szCs w:val="20"/>
          <w:lang w:val="fr-FR"/>
        </w:rPr>
        <w:t>sterie (agroforesterie)</w:t>
      </w:r>
      <w:r w:rsidRPr="006121FB">
        <w:rPr>
          <w:rFonts w:ascii="Arial" w:hAnsi="Arial" w:cs="Arial"/>
          <w:sz w:val="20"/>
          <w:szCs w:val="20"/>
          <w:lang w:val="fr-FR"/>
        </w:rPr>
        <w:t xml:space="preserve"> (*).</w:t>
      </w:r>
    </w:p>
    <w:p w14:paraId="0238E737" w14:textId="77777777" w:rsidR="00802BA9" w:rsidRPr="006121FB" w:rsidRDefault="00802BA9" w:rsidP="006121FB">
      <w:pPr>
        <w:numPr>
          <w:ilvl w:val="0"/>
          <w:numId w:val="51"/>
        </w:numPr>
        <w:spacing w:before="120" w:after="120" w:line="240" w:lineRule="auto"/>
        <w:contextualSpacing/>
        <w:rPr>
          <w:rFonts w:ascii="Arial" w:hAnsi="Arial" w:cs="Arial"/>
          <w:sz w:val="20"/>
          <w:szCs w:val="20"/>
          <w:lang w:val="fr-FR"/>
        </w:rPr>
      </w:pPr>
      <w:r w:rsidRPr="006121FB">
        <w:rPr>
          <w:rFonts w:ascii="Arial" w:hAnsi="Arial" w:cs="Arial"/>
          <w:sz w:val="20"/>
          <w:szCs w:val="20"/>
          <w:lang w:val="fr-FR"/>
        </w:rPr>
        <w:t>Prendre en compte les projections du changement climatique à moyen/long terme dans le développement des projet</w:t>
      </w:r>
      <w:r w:rsidR="00BB60B2" w:rsidRPr="006121FB">
        <w:rPr>
          <w:rFonts w:ascii="Arial" w:hAnsi="Arial" w:cs="Arial"/>
          <w:sz w:val="20"/>
          <w:szCs w:val="20"/>
          <w:lang w:val="fr-FR"/>
        </w:rPr>
        <w:t>s (*</w:t>
      </w:r>
      <w:r w:rsidRPr="006121FB">
        <w:rPr>
          <w:rFonts w:ascii="Arial" w:hAnsi="Arial" w:cs="Arial"/>
          <w:sz w:val="20"/>
          <w:szCs w:val="20"/>
          <w:lang w:val="fr-FR"/>
        </w:rPr>
        <w:t xml:space="preserve">). </w:t>
      </w:r>
    </w:p>
    <w:p w14:paraId="5C0AC959" w14:textId="77777777" w:rsidR="00802BA9" w:rsidRPr="006121FB" w:rsidRDefault="00802BA9" w:rsidP="006121FB">
      <w:pPr>
        <w:numPr>
          <w:ilvl w:val="0"/>
          <w:numId w:val="51"/>
        </w:numPr>
        <w:spacing w:before="120" w:after="120" w:line="240" w:lineRule="auto"/>
        <w:contextualSpacing/>
        <w:rPr>
          <w:rFonts w:ascii="Arial" w:hAnsi="Arial" w:cs="Arial"/>
          <w:sz w:val="20"/>
          <w:szCs w:val="20"/>
          <w:lang w:val="fr-FR"/>
        </w:rPr>
      </w:pPr>
      <w:r w:rsidRPr="006121FB">
        <w:rPr>
          <w:rFonts w:ascii="Arial" w:hAnsi="Arial" w:cs="Arial"/>
          <w:sz w:val="20"/>
          <w:szCs w:val="20"/>
          <w:lang w:val="fr-FR"/>
        </w:rPr>
        <w:t>Vulgariser les semences et variétés adaptées et résilientes aux conditions climatiques pré</w:t>
      </w:r>
      <w:r w:rsidR="00BB60B2" w:rsidRPr="006121FB">
        <w:rPr>
          <w:rFonts w:ascii="Arial" w:hAnsi="Arial" w:cs="Arial"/>
          <w:sz w:val="20"/>
          <w:szCs w:val="20"/>
          <w:lang w:val="fr-FR"/>
        </w:rPr>
        <w:t>visibles à moyen terme (*</w:t>
      </w:r>
      <w:r w:rsidRPr="006121FB">
        <w:rPr>
          <w:rFonts w:ascii="Arial" w:hAnsi="Arial" w:cs="Arial"/>
          <w:sz w:val="20"/>
          <w:szCs w:val="20"/>
          <w:lang w:val="fr-FR"/>
        </w:rPr>
        <w:t>).</w:t>
      </w:r>
    </w:p>
    <w:p w14:paraId="24DB4728" w14:textId="77777777" w:rsidR="00802BA9" w:rsidRPr="006121FB" w:rsidRDefault="00802BA9" w:rsidP="006121FB">
      <w:pPr>
        <w:numPr>
          <w:ilvl w:val="0"/>
          <w:numId w:val="51"/>
        </w:numPr>
        <w:spacing w:before="120" w:after="120" w:line="240" w:lineRule="auto"/>
        <w:contextualSpacing/>
        <w:rPr>
          <w:rFonts w:ascii="Arial" w:hAnsi="Arial" w:cs="Arial"/>
          <w:sz w:val="20"/>
          <w:szCs w:val="20"/>
          <w:lang w:val="fr-FR"/>
        </w:rPr>
      </w:pPr>
      <w:r w:rsidRPr="006121FB">
        <w:rPr>
          <w:rFonts w:ascii="Arial" w:hAnsi="Arial" w:cs="Arial"/>
          <w:sz w:val="20"/>
          <w:szCs w:val="20"/>
          <w:lang w:val="fr-FR"/>
        </w:rPr>
        <w:lastRenderedPageBreak/>
        <w:t>Promouvoir la construction de greniers/silos adaptés aux évènements météorologiques extrêmes et mettre en place un système d’assurance pour les agriculteurs comme réponse aux changements climatique</w:t>
      </w:r>
      <w:r w:rsidR="00BB60B2" w:rsidRPr="006121FB">
        <w:rPr>
          <w:rFonts w:ascii="Arial" w:hAnsi="Arial" w:cs="Arial"/>
          <w:sz w:val="20"/>
          <w:szCs w:val="20"/>
          <w:lang w:val="fr-FR"/>
        </w:rPr>
        <w:t>s (*</w:t>
      </w:r>
      <w:r w:rsidRPr="006121FB">
        <w:rPr>
          <w:rFonts w:ascii="Arial" w:hAnsi="Arial" w:cs="Arial"/>
          <w:sz w:val="20"/>
          <w:szCs w:val="20"/>
          <w:lang w:val="fr-FR"/>
        </w:rPr>
        <w:t>).</w:t>
      </w:r>
    </w:p>
    <w:p w14:paraId="0B45A2A0" w14:textId="77777777" w:rsidR="00802BA9" w:rsidRPr="006121FB" w:rsidRDefault="003D0A38" w:rsidP="007D0EB2">
      <w:pPr>
        <w:numPr>
          <w:ilvl w:val="0"/>
          <w:numId w:val="51"/>
        </w:numPr>
        <w:spacing w:before="120" w:after="0" w:line="240" w:lineRule="auto"/>
        <w:contextualSpacing/>
        <w:rPr>
          <w:rFonts w:ascii="Arial" w:hAnsi="Arial" w:cs="Arial"/>
          <w:b/>
          <w:sz w:val="20"/>
          <w:szCs w:val="20"/>
          <w:lang w:val="fr-FR"/>
        </w:rPr>
      </w:pPr>
      <w:bookmarkStart w:id="11" w:name="_Hlk532451694"/>
      <w:r w:rsidRPr="00D85946">
        <w:rPr>
          <w:rFonts w:ascii="Arial" w:hAnsi="Arial" w:cs="Arial"/>
          <w:sz w:val="20"/>
          <w:szCs w:val="20"/>
          <w:lang w:val="fr-FR"/>
        </w:rPr>
        <w:t xml:space="preserve">Chercher un équilibre entre les appuis en faveur du domaine </w:t>
      </w:r>
      <w:r w:rsidR="00802BA9" w:rsidRPr="00D85946">
        <w:rPr>
          <w:rFonts w:ascii="Arial" w:hAnsi="Arial" w:cs="Arial"/>
          <w:sz w:val="20"/>
          <w:szCs w:val="20"/>
          <w:lang w:val="fr-FR"/>
        </w:rPr>
        <w:t xml:space="preserve">des changements climatiques et </w:t>
      </w:r>
      <w:r w:rsidRPr="00D85946">
        <w:rPr>
          <w:rFonts w:ascii="Arial" w:hAnsi="Arial" w:cs="Arial"/>
          <w:sz w:val="20"/>
          <w:szCs w:val="20"/>
          <w:lang w:val="fr-FR"/>
        </w:rPr>
        <w:t>d</w:t>
      </w:r>
      <w:r w:rsidR="00802BA9" w:rsidRPr="00D85946">
        <w:rPr>
          <w:rFonts w:ascii="Arial" w:hAnsi="Arial" w:cs="Arial"/>
          <w:sz w:val="20"/>
          <w:szCs w:val="20"/>
          <w:lang w:val="fr-FR"/>
        </w:rPr>
        <w:t xml:space="preserve">es </w:t>
      </w:r>
      <w:r w:rsidR="00802BA9" w:rsidRPr="006121FB">
        <w:rPr>
          <w:rFonts w:ascii="Arial" w:hAnsi="Arial" w:cs="Arial"/>
          <w:sz w:val="20"/>
          <w:szCs w:val="20"/>
          <w:lang w:val="fr-FR"/>
        </w:rPr>
        <w:t>domaines classiques de gestion durable des ressources naturelles (GDT, lutte contre la désertification, GIRE, foresterie, AP et protection de la faune, lutte contre les sources des pollutions), qui reste</w:t>
      </w:r>
      <w:r w:rsidR="00BB60B2" w:rsidRPr="006121FB">
        <w:rPr>
          <w:rFonts w:ascii="Arial" w:hAnsi="Arial" w:cs="Arial"/>
          <w:sz w:val="20"/>
          <w:szCs w:val="20"/>
          <w:lang w:val="fr-FR"/>
        </w:rPr>
        <w:t>nt toujours d’actualité</w:t>
      </w:r>
      <w:r w:rsidR="00802BA9" w:rsidRPr="006121FB">
        <w:rPr>
          <w:rFonts w:ascii="Arial" w:hAnsi="Arial" w:cs="Arial"/>
          <w:sz w:val="20"/>
          <w:szCs w:val="20"/>
          <w:lang w:val="fr-FR"/>
        </w:rPr>
        <w:t>.</w:t>
      </w:r>
    </w:p>
    <w:bookmarkEnd w:id="11"/>
    <w:p w14:paraId="097C867B" w14:textId="77777777" w:rsidR="00802BA9" w:rsidRPr="006121FB" w:rsidRDefault="00802BA9" w:rsidP="006121FB">
      <w:pPr>
        <w:spacing w:before="120" w:after="120" w:line="240" w:lineRule="auto"/>
        <w:rPr>
          <w:rFonts w:ascii="Arial" w:hAnsi="Arial" w:cs="Arial"/>
          <w:b/>
          <w:sz w:val="20"/>
          <w:szCs w:val="20"/>
          <w:lang w:val="fr-FR"/>
        </w:rPr>
      </w:pPr>
      <w:r w:rsidRPr="006121FB">
        <w:rPr>
          <w:rFonts w:ascii="Arial" w:hAnsi="Arial" w:cs="Arial"/>
          <w:b/>
          <w:sz w:val="20"/>
          <w:szCs w:val="20"/>
          <w:lang w:val="fr-FR"/>
        </w:rPr>
        <w:t>Conclusion 7</w:t>
      </w:r>
    </w:p>
    <w:p w14:paraId="093FD290" w14:textId="77777777" w:rsidR="00802BA9" w:rsidRPr="006121FB" w:rsidRDefault="00802BA9" w:rsidP="006121FB">
      <w:pPr>
        <w:spacing w:before="120" w:after="120" w:line="240" w:lineRule="auto"/>
        <w:rPr>
          <w:rFonts w:ascii="Arial" w:hAnsi="Arial" w:cs="Arial"/>
          <w:b/>
          <w:sz w:val="20"/>
          <w:szCs w:val="20"/>
          <w:lang w:val="fr-FR"/>
        </w:rPr>
      </w:pPr>
      <w:r w:rsidRPr="006121FB">
        <w:rPr>
          <w:rFonts w:ascii="Arial" w:hAnsi="Arial" w:cs="Arial"/>
          <w:b/>
          <w:sz w:val="20"/>
          <w:szCs w:val="20"/>
          <w:lang w:val="fr-FR"/>
        </w:rPr>
        <w:t>Une réglementation environnementale notable avec une très faible traduction en actions concrètes dans les projets de développement</w:t>
      </w:r>
    </w:p>
    <w:p w14:paraId="707D826D" w14:textId="77777777" w:rsidR="00802BA9" w:rsidRPr="006121FB" w:rsidRDefault="00802BA9" w:rsidP="006121FB">
      <w:pPr>
        <w:spacing w:before="120" w:after="120" w:line="240" w:lineRule="auto"/>
        <w:rPr>
          <w:rFonts w:ascii="Arial" w:hAnsi="Arial" w:cs="Arial"/>
          <w:b/>
          <w:sz w:val="20"/>
          <w:szCs w:val="20"/>
          <w:lang w:val="fr-FR"/>
        </w:rPr>
      </w:pPr>
      <w:r w:rsidRPr="006121FB">
        <w:rPr>
          <w:rFonts w:ascii="Arial" w:hAnsi="Arial" w:cs="Arial"/>
          <w:b/>
          <w:sz w:val="20"/>
          <w:szCs w:val="20"/>
          <w:lang w:val="fr-FR"/>
        </w:rPr>
        <w:t>Recommandations</w:t>
      </w:r>
    </w:p>
    <w:p w14:paraId="1A017E92" w14:textId="77777777" w:rsidR="00802BA9" w:rsidRPr="006121FB" w:rsidRDefault="00802BA9" w:rsidP="006121FB">
      <w:pPr>
        <w:numPr>
          <w:ilvl w:val="0"/>
          <w:numId w:val="44"/>
        </w:numPr>
        <w:spacing w:before="120" w:after="120" w:line="240" w:lineRule="auto"/>
        <w:contextualSpacing/>
        <w:rPr>
          <w:rFonts w:ascii="Arial" w:hAnsi="Arial" w:cs="Arial"/>
          <w:sz w:val="20"/>
          <w:szCs w:val="20"/>
          <w:lang w:val="fr-FR"/>
        </w:rPr>
      </w:pPr>
      <w:r w:rsidRPr="006121FB">
        <w:rPr>
          <w:rFonts w:ascii="Arial" w:hAnsi="Arial" w:cs="Arial"/>
          <w:sz w:val="20"/>
          <w:szCs w:val="20"/>
          <w:lang w:val="fr-FR"/>
        </w:rPr>
        <w:t>Inclure systématiquement dans les projets d’aide au développement une ligne budgétaire pour l’assainissement des effluents liquide</w:t>
      </w:r>
      <w:r w:rsidR="00BB60B2" w:rsidRPr="006121FB">
        <w:rPr>
          <w:rFonts w:ascii="Arial" w:hAnsi="Arial" w:cs="Arial"/>
          <w:sz w:val="20"/>
          <w:szCs w:val="20"/>
          <w:lang w:val="fr-FR"/>
        </w:rPr>
        <w:t xml:space="preserve">s et solides du </w:t>
      </w:r>
      <w:r w:rsidR="00BB60B2" w:rsidRPr="00D85946">
        <w:rPr>
          <w:rFonts w:ascii="Arial" w:hAnsi="Arial" w:cs="Arial"/>
          <w:sz w:val="20"/>
          <w:szCs w:val="20"/>
          <w:lang w:val="fr-FR"/>
        </w:rPr>
        <w:t xml:space="preserve">projet </w:t>
      </w:r>
      <w:r w:rsidR="00EA5EB4" w:rsidRPr="00D85946">
        <w:rPr>
          <w:rFonts w:ascii="Arial" w:hAnsi="Arial" w:cs="Arial"/>
          <w:sz w:val="20"/>
          <w:szCs w:val="20"/>
          <w:lang w:val="fr-FR"/>
        </w:rPr>
        <w:t xml:space="preserve">et assurer le suivi de la mise en œuvre des compensations prévues </w:t>
      </w:r>
      <w:r w:rsidRPr="006121FB">
        <w:rPr>
          <w:rFonts w:ascii="Arial" w:hAnsi="Arial" w:cs="Arial"/>
          <w:sz w:val="20"/>
          <w:szCs w:val="20"/>
          <w:lang w:val="fr-FR"/>
        </w:rPr>
        <w:t>(*).</w:t>
      </w:r>
    </w:p>
    <w:p w14:paraId="46615AF7" w14:textId="77777777" w:rsidR="00802BA9" w:rsidRPr="006121FB" w:rsidRDefault="00802BA9" w:rsidP="007D0EB2">
      <w:pPr>
        <w:numPr>
          <w:ilvl w:val="0"/>
          <w:numId w:val="44"/>
        </w:numPr>
        <w:spacing w:before="120" w:after="0" w:line="240" w:lineRule="auto"/>
        <w:contextualSpacing/>
        <w:rPr>
          <w:rFonts w:ascii="Arial" w:hAnsi="Arial" w:cs="Arial"/>
          <w:sz w:val="20"/>
          <w:szCs w:val="20"/>
          <w:lang w:val="fr-FR"/>
        </w:rPr>
      </w:pPr>
      <w:r w:rsidRPr="006121FB">
        <w:rPr>
          <w:rFonts w:ascii="Arial" w:hAnsi="Arial" w:cs="Arial"/>
          <w:sz w:val="20"/>
          <w:szCs w:val="20"/>
          <w:lang w:val="fr-FR"/>
        </w:rPr>
        <w:t xml:space="preserve">Associer aux projets routiers des projets </w:t>
      </w:r>
      <w:r w:rsidR="00034EB8" w:rsidRPr="00034EB8">
        <w:rPr>
          <w:rFonts w:ascii="Arial" w:hAnsi="Arial" w:cs="Arial"/>
          <w:sz w:val="20"/>
          <w:szCs w:val="20"/>
          <w:lang w:val="fr-FR"/>
        </w:rPr>
        <w:t>de boisement et de reboisement (bois - énergie, bois de service, PFNL)</w:t>
      </w:r>
      <w:r w:rsidR="00034EB8">
        <w:rPr>
          <w:rFonts w:ascii="Arial" w:hAnsi="Arial" w:cs="Arial"/>
          <w:sz w:val="20"/>
          <w:szCs w:val="20"/>
          <w:lang w:val="fr-FR"/>
        </w:rPr>
        <w:t xml:space="preserve"> </w:t>
      </w:r>
      <w:r w:rsidRPr="006121FB">
        <w:rPr>
          <w:rFonts w:ascii="Arial" w:hAnsi="Arial" w:cs="Arial"/>
          <w:sz w:val="20"/>
          <w:szCs w:val="20"/>
          <w:lang w:val="fr-FR"/>
        </w:rPr>
        <w:t>dans les vil</w:t>
      </w:r>
      <w:r w:rsidR="00BB60B2" w:rsidRPr="006121FB">
        <w:rPr>
          <w:rFonts w:ascii="Arial" w:hAnsi="Arial" w:cs="Arial"/>
          <w:sz w:val="20"/>
          <w:szCs w:val="20"/>
          <w:lang w:val="fr-FR"/>
        </w:rPr>
        <w:t xml:space="preserve">lages en bord de route </w:t>
      </w:r>
      <w:r w:rsidRPr="006121FB">
        <w:rPr>
          <w:rFonts w:ascii="Arial" w:hAnsi="Arial" w:cs="Arial"/>
          <w:sz w:val="20"/>
          <w:szCs w:val="20"/>
          <w:lang w:val="fr-FR"/>
        </w:rPr>
        <w:t>(*).</w:t>
      </w:r>
    </w:p>
    <w:p w14:paraId="1FEB8ADA" w14:textId="77777777" w:rsidR="00802BA9" w:rsidRPr="006121FB" w:rsidRDefault="00802BA9" w:rsidP="006121FB">
      <w:pPr>
        <w:spacing w:before="120" w:after="120" w:line="240" w:lineRule="auto"/>
        <w:rPr>
          <w:rFonts w:ascii="Arial" w:hAnsi="Arial" w:cs="Arial"/>
          <w:b/>
          <w:sz w:val="20"/>
          <w:szCs w:val="20"/>
          <w:lang w:val="fr-FR"/>
        </w:rPr>
      </w:pPr>
      <w:r w:rsidRPr="006121FB">
        <w:rPr>
          <w:rFonts w:ascii="Arial" w:hAnsi="Arial" w:cs="Arial"/>
          <w:b/>
          <w:sz w:val="20"/>
          <w:szCs w:val="20"/>
          <w:lang w:val="fr-FR"/>
        </w:rPr>
        <w:t>Conclusion 8</w:t>
      </w:r>
    </w:p>
    <w:p w14:paraId="2A3A8DDC" w14:textId="77777777" w:rsidR="00802BA9" w:rsidRPr="006121FB" w:rsidRDefault="00802BA9" w:rsidP="006121FB">
      <w:pPr>
        <w:spacing w:before="120" w:after="120" w:line="240" w:lineRule="auto"/>
        <w:rPr>
          <w:rFonts w:ascii="Arial" w:hAnsi="Arial" w:cs="Arial"/>
          <w:b/>
          <w:sz w:val="20"/>
          <w:szCs w:val="20"/>
          <w:lang w:val="fr-FR"/>
        </w:rPr>
      </w:pPr>
      <w:r w:rsidRPr="006121FB">
        <w:rPr>
          <w:rFonts w:ascii="Arial" w:hAnsi="Arial" w:cs="Arial"/>
          <w:b/>
          <w:sz w:val="20"/>
          <w:szCs w:val="20"/>
          <w:lang w:val="fr-FR"/>
        </w:rPr>
        <w:t xml:space="preserve">L’environnement </w:t>
      </w:r>
      <w:r w:rsidR="00034EB8" w:rsidRPr="00034EB8">
        <w:rPr>
          <w:rFonts w:ascii="Arial" w:hAnsi="Arial" w:cs="Arial"/>
          <w:b/>
          <w:sz w:val="20"/>
          <w:szCs w:val="20"/>
          <w:lang w:val="fr-FR"/>
        </w:rPr>
        <w:t xml:space="preserve">n’est toujours pas une priorité </w:t>
      </w:r>
      <w:r w:rsidRPr="006121FB">
        <w:rPr>
          <w:rFonts w:ascii="Arial" w:hAnsi="Arial" w:cs="Arial"/>
          <w:b/>
          <w:sz w:val="20"/>
          <w:szCs w:val="20"/>
          <w:lang w:val="fr-FR"/>
        </w:rPr>
        <w:t xml:space="preserve">et l’affaire des autres. </w:t>
      </w:r>
    </w:p>
    <w:p w14:paraId="23610166" w14:textId="77777777" w:rsidR="00802BA9" w:rsidRPr="006121FB" w:rsidRDefault="00802BA9" w:rsidP="006121FB">
      <w:pPr>
        <w:spacing w:before="120" w:after="120" w:line="240" w:lineRule="auto"/>
        <w:rPr>
          <w:rFonts w:ascii="Arial" w:hAnsi="Arial" w:cs="Arial"/>
          <w:b/>
          <w:sz w:val="20"/>
          <w:szCs w:val="20"/>
          <w:lang w:val="fr-FR"/>
        </w:rPr>
      </w:pPr>
      <w:r w:rsidRPr="006121FB">
        <w:rPr>
          <w:rFonts w:ascii="Arial" w:hAnsi="Arial" w:cs="Arial"/>
          <w:b/>
          <w:sz w:val="20"/>
          <w:szCs w:val="20"/>
          <w:lang w:val="fr-FR"/>
        </w:rPr>
        <w:t>Recommandations :</w:t>
      </w:r>
    </w:p>
    <w:p w14:paraId="5B7F5CAD" w14:textId="77777777" w:rsidR="00802BA9" w:rsidRPr="006121FB" w:rsidRDefault="00802BA9" w:rsidP="006121FB">
      <w:pPr>
        <w:numPr>
          <w:ilvl w:val="0"/>
          <w:numId w:val="44"/>
        </w:numPr>
        <w:spacing w:before="120" w:after="120" w:line="240" w:lineRule="auto"/>
        <w:contextualSpacing/>
        <w:rPr>
          <w:rFonts w:ascii="Arial" w:hAnsi="Arial" w:cs="Arial"/>
          <w:sz w:val="20"/>
          <w:szCs w:val="20"/>
          <w:lang w:val="fr-FR"/>
        </w:rPr>
      </w:pPr>
      <w:r w:rsidRPr="006121FB">
        <w:rPr>
          <w:rFonts w:ascii="Arial" w:hAnsi="Arial" w:cs="Arial"/>
          <w:sz w:val="20"/>
          <w:szCs w:val="20"/>
          <w:lang w:val="fr-FR"/>
        </w:rPr>
        <w:t>Produire et diffuser régulièrement à grande échelle les études de coût de la dégradation de l’environnement ou des différentes ressources naturelles pour attirer l’attention et sensibiliser les décideurs. La seule étude dans ce sens date de 2008 (*).</w:t>
      </w:r>
    </w:p>
    <w:p w14:paraId="401342A6" w14:textId="77777777" w:rsidR="00802BA9" w:rsidRPr="006121FB" w:rsidRDefault="00802BA9" w:rsidP="006121FB">
      <w:pPr>
        <w:numPr>
          <w:ilvl w:val="0"/>
          <w:numId w:val="44"/>
        </w:numPr>
        <w:spacing w:before="120" w:after="120" w:line="240" w:lineRule="auto"/>
        <w:contextualSpacing/>
        <w:rPr>
          <w:rFonts w:ascii="Arial" w:hAnsi="Arial" w:cs="Arial"/>
          <w:sz w:val="20"/>
          <w:szCs w:val="20"/>
          <w:lang w:val="fr-FR"/>
        </w:rPr>
      </w:pPr>
      <w:r w:rsidRPr="006121FB">
        <w:rPr>
          <w:rFonts w:ascii="Arial" w:hAnsi="Arial" w:cs="Arial"/>
          <w:sz w:val="20"/>
          <w:szCs w:val="20"/>
          <w:lang w:val="fr-FR"/>
        </w:rPr>
        <w:t>Renforcer les capacités de développement des modèles (prévisions/prospectives/scénarii) et les analyses, notamment économiques du MEADD dans le but de réduire l’externalisation actuelle des études dans</w:t>
      </w:r>
      <w:r w:rsidR="00BB60B2" w:rsidRPr="006121FB">
        <w:rPr>
          <w:rFonts w:ascii="Arial" w:hAnsi="Arial" w:cs="Arial"/>
          <w:sz w:val="20"/>
          <w:szCs w:val="20"/>
          <w:lang w:val="fr-FR"/>
        </w:rPr>
        <w:t xml:space="preserve"> ce sens</w:t>
      </w:r>
      <w:r w:rsidRPr="006121FB">
        <w:rPr>
          <w:rFonts w:ascii="Arial" w:hAnsi="Arial" w:cs="Arial"/>
          <w:sz w:val="20"/>
          <w:szCs w:val="20"/>
          <w:lang w:val="fr-FR"/>
        </w:rPr>
        <w:t>.</w:t>
      </w:r>
    </w:p>
    <w:p w14:paraId="3DF0A010" w14:textId="77777777" w:rsidR="00802BA9" w:rsidRPr="006121FB" w:rsidRDefault="00802BA9" w:rsidP="006121FB">
      <w:pPr>
        <w:numPr>
          <w:ilvl w:val="0"/>
          <w:numId w:val="44"/>
        </w:numPr>
        <w:spacing w:before="120" w:after="120" w:line="240" w:lineRule="auto"/>
        <w:contextualSpacing/>
        <w:rPr>
          <w:rFonts w:ascii="Arial" w:hAnsi="Arial" w:cs="Arial"/>
          <w:sz w:val="20"/>
          <w:szCs w:val="20"/>
          <w:lang w:val="fr-FR"/>
        </w:rPr>
      </w:pPr>
      <w:r w:rsidRPr="006121FB">
        <w:rPr>
          <w:rFonts w:ascii="Arial" w:hAnsi="Arial" w:cs="Arial"/>
          <w:sz w:val="20"/>
          <w:szCs w:val="20"/>
          <w:lang w:val="fr-FR"/>
        </w:rPr>
        <w:t>Renforcer / élargir les formations du secteur privé dans le domaine de l’impact des changements climatiques et de la dégradation des ressources naturelles dans leur secteur d’activité.</w:t>
      </w:r>
    </w:p>
    <w:p w14:paraId="533963C6" w14:textId="77777777" w:rsidR="00802BA9" w:rsidRPr="006121FB" w:rsidRDefault="00802BA9" w:rsidP="006121FB">
      <w:pPr>
        <w:numPr>
          <w:ilvl w:val="0"/>
          <w:numId w:val="44"/>
        </w:numPr>
        <w:spacing w:before="120" w:after="120" w:line="240" w:lineRule="auto"/>
        <w:contextualSpacing/>
        <w:rPr>
          <w:rFonts w:ascii="Arial" w:hAnsi="Arial" w:cs="Arial"/>
          <w:sz w:val="20"/>
          <w:szCs w:val="20"/>
          <w:lang w:val="fr-FR"/>
        </w:rPr>
      </w:pPr>
      <w:r w:rsidRPr="006121FB">
        <w:rPr>
          <w:rFonts w:ascii="Arial" w:hAnsi="Arial" w:cs="Arial"/>
          <w:sz w:val="20"/>
          <w:szCs w:val="20"/>
          <w:lang w:val="fr-FR"/>
        </w:rPr>
        <w:t>Sensibiliser à l’éco – citoyenneté et insérer la formation à l’éco - citoyenneté dans l</w:t>
      </w:r>
      <w:r w:rsidR="00BB60B2" w:rsidRPr="006121FB">
        <w:rPr>
          <w:rFonts w:ascii="Arial" w:hAnsi="Arial" w:cs="Arial"/>
          <w:sz w:val="20"/>
          <w:szCs w:val="20"/>
          <w:lang w:val="fr-FR"/>
        </w:rPr>
        <w:t>es curricula des écoles</w:t>
      </w:r>
      <w:r w:rsidRPr="006121FB">
        <w:rPr>
          <w:rFonts w:ascii="Arial" w:hAnsi="Arial" w:cs="Arial"/>
          <w:sz w:val="20"/>
          <w:szCs w:val="20"/>
          <w:lang w:val="fr-FR"/>
        </w:rPr>
        <w:t xml:space="preserve"> (*</w:t>
      </w:r>
      <w:r w:rsidR="00BB60B2" w:rsidRPr="006121FB">
        <w:rPr>
          <w:rFonts w:ascii="Arial" w:hAnsi="Arial" w:cs="Arial"/>
          <w:sz w:val="20"/>
          <w:szCs w:val="20"/>
          <w:lang w:val="fr-FR"/>
        </w:rPr>
        <w:t>)</w:t>
      </w:r>
    </w:p>
    <w:p w14:paraId="5BB5743A" w14:textId="77777777" w:rsidR="00802BA9" w:rsidRPr="006121FB" w:rsidRDefault="00802BA9" w:rsidP="007D0EB2">
      <w:pPr>
        <w:numPr>
          <w:ilvl w:val="0"/>
          <w:numId w:val="44"/>
        </w:numPr>
        <w:spacing w:before="120" w:after="0" w:line="240" w:lineRule="auto"/>
        <w:contextualSpacing/>
        <w:rPr>
          <w:rFonts w:ascii="Arial" w:hAnsi="Arial" w:cs="Arial"/>
          <w:sz w:val="20"/>
          <w:szCs w:val="20"/>
          <w:lang w:val="fr-FR"/>
        </w:rPr>
      </w:pPr>
      <w:r w:rsidRPr="006121FB">
        <w:rPr>
          <w:rFonts w:ascii="Arial" w:hAnsi="Arial" w:cs="Arial"/>
          <w:sz w:val="20"/>
          <w:szCs w:val="20"/>
          <w:lang w:val="fr-FR"/>
        </w:rPr>
        <w:t>Promouvoir l’utilisation d’outils calculant l‘empreinte écologique à tous les niveaux et faire une large di</w:t>
      </w:r>
      <w:r w:rsidR="00BB60B2" w:rsidRPr="006121FB">
        <w:rPr>
          <w:rFonts w:ascii="Arial" w:hAnsi="Arial" w:cs="Arial"/>
          <w:sz w:val="20"/>
          <w:szCs w:val="20"/>
          <w:lang w:val="fr-FR"/>
        </w:rPr>
        <w:t>ffusion dans les médias</w:t>
      </w:r>
      <w:r w:rsidRPr="006121FB">
        <w:rPr>
          <w:rFonts w:ascii="Arial" w:hAnsi="Arial" w:cs="Arial"/>
          <w:sz w:val="20"/>
          <w:szCs w:val="20"/>
          <w:lang w:val="fr-FR"/>
        </w:rPr>
        <w:t>.</w:t>
      </w:r>
    </w:p>
    <w:p w14:paraId="5B38B1FB" w14:textId="77777777" w:rsidR="00802BA9" w:rsidRPr="006121FB" w:rsidRDefault="00802BA9" w:rsidP="006121FB">
      <w:pPr>
        <w:spacing w:before="120" w:after="120" w:line="240" w:lineRule="auto"/>
        <w:rPr>
          <w:rFonts w:ascii="Arial" w:hAnsi="Arial" w:cs="Arial"/>
          <w:b/>
          <w:sz w:val="20"/>
          <w:szCs w:val="20"/>
          <w:lang w:val="fr-FR"/>
        </w:rPr>
      </w:pPr>
      <w:r w:rsidRPr="006121FB">
        <w:rPr>
          <w:rFonts w:ascii="Arial" w:hAnsi="Arial" w:cs="Arial"/>
          <w:b/>
          <w:sz w:val="20"/>
          <w:szCs w:val="20"/>
          <w:lang w:val="fr-FR"/>
        </w:rPr>
        <w:t>Conclusion 9</w:t>
      </w:r>
    </w:p>
    <w:p w14:paraId="2910CD04" w14:textId="77777777" w:rsidR="00802BA9" w:rsidRPr="006121FB" w:rsidRDefault="00802BA9" w:rsidP="006121FB">
      <w:pPr>
        <w:spacing w:before="120" w:after="120" w:line="240" w:lineRule="auto"/>
        <w:rPr>
          <w:rFonts w:ascii="Arial" w:hAnsi="Arial" w:cs="Arial"/>
          <w:b/>
          <w:sz w:val="20"/>
          <w:szCs w:val="20"/>
          <w:lang w:val="fr-FR"/>
        </w:rPr>
      </w:pPr>
      <w:r w:rsidRPr="006121FB">
        <w:rPr>
          <w:rFonts w:ascii="Arial" w:hAnsi="Arial" w:cs="Arial"/>
          <w:b/>
          <w:sz w:val="20"/>
          <w:szCs w:val="20"/>
          <w:lang w:val="fr-FR"/>
        </w:rPr>
        <w:t>Les éléments de base du développement durable ne sont toujours pas bien compris, ni pris en compte</w:t>
      </w:r>
    </w:p>
    <w:p w14:paraId="0495DC56" w14:textId="77777777" w:rsidR="00802BA9" w:rsidRPr="006121FB" w:rsidRDefault="00802BA9" w:rsidP="006121FB">
      <w:pPr>
        <w:spacing w:before="120" w:after="120" w:line="240" w:lineRule="auto"/>
        <w:rPr>
          <w:rFonts w:ascii="Arial" w:hAnsi="Arial" w:cs="Arial"/>
          <w:b/>
          <w:sz w:val="20"/>
          <w:szCs w:val="20"/>
          <w:lang w:val="fr-FR"/>
        </w:rPr>
      </w:pPr>
      <w:r w:rsidRPr="006121FB">
        <w:rPr>
          <w:rFonts w:ascii="Arial" w:hAnsi="Arial" w:cs="Arial"/>
          <w:b/>
          <w:sz w:val="20"/>
          <w:szCs w:val="20"/>
          <w:lang w:val="fr-FR"/>
        </w:rPr>
        <w:t>Recommandations :</w:t>
      </w:r>
    </w:p>
    <w:p w14:paraId="04328678" w14:textId="77777777" w:rsidR="00802BA9" w:rsidRDefault="00802BA9" w:rsidP="006121FB">
      <w:pPr>
        <w:numPr>
          <w:ilvl w:val="0"/>
          <w:numId w:val="44"/>
        </w:numPr>
        <w:spacing w:before="120" w:after="120" w:line="240" w:lineRule="auto"/>
        <w:contextualSpacing/>
        <w:rPr>
          <w:rFonts w:ascii="Arial" w:hAnsi="Arial" w:cs="Arial"/>
          <w:sz w:val="20"/>
          <w:szCs w:val="20"/>
          <w:lang w:val="fr-FR"/>
        </w:rPr>
      </w:pPr>
      <w:r w:rsidRPr="006121FB">
        <w:rPr>
          <w:rFonts w:ascii="Arial" w:hAnsi="Arial" w:cs="Arial"/>
          <w:sz w:val="20"/>
          <w:szCs w:val="20"/>
          <w:lang w:val="fr-FR"/>
        </w:rPr>
        <w:t xml:space="preserve">Reprendre l’élaboration de la SNDD. Le seul instrument en place est le CREDD et son verdissement. Il reste toujours dans </w:t>
      </w:r>
      <w:r w:rsidR="00BB60B2" w:rsidRPr="006121FB">
        <w:rPr>
          <w:rFonts w:ascii="Arial" w:hAnsi="Arial" w:cs="Arial"/>
          <w:sz w:val="20"/>
          <w:szCs w:val="20"/>
          <w:lang w:val="fr-FR"/>
        </w:rPr>
        <w:t>une logique sectorielle</w:t>
      </w:r>
      <w:r w:rsidRPr="006121FB">
        <w:rPr>
          <w:rFonts w:ascii="Arial" w:hAnsi="Arial" w:cs="Arial"/>
          <w:sz w:val="20"/>
          <w:szCs w:val="20"/>
          <w:lang w:val="fr-FR"/>
        </w:rPr>
        <w:t>.</w:t>
      </w:r>
    </w:p>
    <w:p w14:paraId="215D580D" w14:textId="77777777" w:rsidR="00034EB8" w:rsidRPr="006121FB" w:rsidRDefault="00034EB8" w:rsidP="00034EB8">
      <w:pPr>
        <w:numPr>
          <w:ilvl w:val="0"/>
          <w:numId w:val="44"/>
        </w:numPr>
        <w:spacing w:before="120" w:after="120" w:line="240" w:lineRule="auto"/>
        <w:contextualSpacing/>
        <w:rPr>
          <w:rFonts w:ascii="Arial" w:hAnsi="Arial" w:cs="Arial"/>
          <w:sz w:val="20"/>
          <w:szCs w:val="20"/>
          <w:lang w:val="fr-FR"/>
        </w:rPr>
      </w:pPr>
      <w:r w:rsidRPr="00034EB8">
        <w:rPr>
          <w:rFonts w:ascii="Arial" w:hAnsi="Arial" w:cs="Arial"/>
          <w:sz w:val="20"/>
          <w:szCs w:val="20"/>
          <w:lang w:val="fr-FR"/>
        </w:rPr>
        <w:t>Effectuer une analyse institutionnelle et organisationnelle des structures qui sont impliquées dans la question de l’environnement pour harmoniser les mandats</w:t>
      </w:r>
      <w:r>
        <w:rPr>
          <w:rFonts w:ascii="Arial" w:hAnsi="Arial" w:cs="Arial"/>
          <w:sz w:val="20"/>
          <w:szCs w:val="20"/>
          <w:lang w:val="fr-FR"/>
        </w:rPr>
        <w:t>.</w:t>
      </w:r>
    </w:p>
    <w:p w14:paraId="1507B5E1" w14:textId="77777777" w:rsidR="00802BA9" w:rsidRPr="006121FB" w:rsidRDefault="00802BA9" w:rsidP="007D0EB2">
      <w:pPr>
        <w:numPr>
          <w:ilvl w:val="0"/>
          <w:numId w:val="44"/>
        </w:numPr>
        <w:spacing w:before="120" w:after="0" w:line="240" w:lineRule="auto"/>
        <w:contextualSpacing/>
        <w:rPr>
          <w:rFonts w:ascii="Arial" w:hAnsi="Arial" w:cs="Arial"/>
          <w:sz w:val="20"/>
          <w:szCs w:val="20"/>
          <w:lang w:val="fr-FR"/>
        </w:rPr>
      </w:pPr>
      <w:r w:rsidRPr="006121FB">
        <w:rPr>
          <w:rFonts w:ascii="Arial" w:hAnsi="Arial" w:cs="Arial"/>
          <w:sz w:val="20"/>
          <w:szCs w:val="20"/>
          <w:lang w:val="fr-FR"/>
        </w:rPr>
        <w:t>Revoir le cadre institutionnel du DD dans le but d’un rattachement au plus haut niveau (primature) en lien avec la place accordée à un ‘environnement sain’ dans</w:t>
      </w:r>
      <w:r w:rsidR="00BB60B2" w:rsidRPr="006121FB">
        <w:rPr>
          <w:rFonts w:ascii="Arial" w:hAnsi="Arial" w:cs="Arial"/>
          <w:sz w:val="20"/>
          <w:szCs w:val="20"/>
          <w:lang w:val="fr-FR"/>
        </w:rPr>
        <w:t xml:space="preserve"> la Constitution du Mali</w:t>
      </w:r>
      <w:r w:rsidRPr="006121FB">
        <w:rPr>
          <w:rFonts w:ascii="Arial" w:hAnsi="Arial" w:cs="Arial"/>
          <w:sz w:val="20"/>
          <w:szCs w:val="20"/>
          <w:lang w:val="fr-FR"/>
        </w:rPr>
        <w:t>.</w:t>
      </w:r>
    </w:p>
    <w:p w14:paraId="63D93355" w14:textId="77777777" w:rsidR="00802BA9" w:rsidRPr="006121FB" w:rsidRDefault="00802BA9" w:rsidP="006121FB">
      <w:pPr>
        <w:spacing w:before="120" w:after="120" w:line="240" w:lineRule="auto"/>
        <w:rPr>
          <w:rFonts w:ascii="Arial" w:hAnsi="Arial" w:cs="Arial"/>
          <w:b/>
          <w:sz w:val="20"/>
          <w:szCs w:val="20"/>
          <w:lang w:val="fr-FR"/>
        </w:rPr>
      </w:pPr>
      <w:r w:rsidRPr="006121FB">
        <w:rPr>
          <w:rFonts w:ascii="Arial" w:hAnsi="Arial" w:cs="Arial"/>
          <w:b/>
          <w:sz w:val="20"/>
          <w:szCs w:val="20"/>
          <w:lang w:val="fr-FR"/>
        </w:rPr>
        <w:t>Conclusion 10</w:t>
      </w:r>
    </w:p>
    <w:p w14:paraId="1E931F5E" w14:textId="77777777" w:rsidR="00802BA9" w:rsidRPr="006121FB" w:rsidRDefault="00802BA9" w:rsidP="006121FB">
      <w:pPr>
        <w:spacing w:before="120" w:after="120" w:line="240" w:lineRule="auto"/>
        <w:rPr>
          <w:rFonts w:ascii="Arial" w:hAnsi="Arial" w:cs="Arial"/>
          <w:b/>
          <w:sz w:val="20"/>
          <w:szCs w:val="20"/>
          <w:lang w:val="fr-FR"/>
        </w:rPr>
      </w:pPr>
      <w:r w:rsidRPr="006121FB">
        <w:rPr>
          <w:rFonts w:ascii="Arial" w:hAnsi="Arial" w:cs="Arial"/>
          <w:b/>
          <w:sz w:val="20"/>
          <w:szCs w:val="20"/>
          <w:lang w:val="fr-FR"/>
        </w:rPr>
        <w:t xml:space="preserve">Des progrès dans l’information environnementale, à suivre et surtout à valoriser </w:t>
      </w:r>
    </w:p>
    <w:p w14:paraId="0D272AAD" w14:textId="77777777" w:rsidR="00802BA9" w:rsidRPr="006121FB" w:rsidRDefault="00802BA9" w:rsidP="006121FB">
      <w:pPr>
        <w:spacing w:before="120" w:after="120" w:line="240" w:lineRule="auto"/>
        <w:rPr>
          <w:rFonts w:ascii="Arial" w:hAnsi="Arial" w:cs="Arial"/>
          <w:b/>
          <w:sz w:val="20"/>
          <w:szCs w:val="20"/>
          <w:lang w:val="fr-FR"/>
        </w:rPr>
      </w:pPr>
      <w:r w:rsidRPr="006121FB">
        <w:rPr>
          <w:rFonts w:ascii="Arial" w:hAnsi="Arial" w:cs="Arial"/>
          <w:b/>
          <w:sz w:val="20"/>
          <w:szCs w:val="20"/>
          <w:lang w:val="fr-FR"/>
        </w:rPr>
        <w:t>Recommandations :</w:t>
      </w:r>
    </w:p>
    <w:p w14:paraId="329CD3F0" w14:textId="77777777" w:rsidR="00802BA9" w:rsidRPr="006121FB" w:rsidRDefault="00802BA9" w:rsidP="006121FB">
      <w:pPr>
        <w:numPr>
          <w:ilvl w:val="0"/>
          <w:numId w:val="53"/>
        </w:numPr>
        <w:spacing w:before="120" w:after="120" w:line="240" w:lineRule="auto"/>
        <w:contextualSpacing/>
        <w:rPr>
          <w:rFonts w:ascii="Arial" w:hAnsi="Arial" w:cs="Arial"/>
          <w:sz w:val="20"/>
          <w:szCs w:val="20"/>
          <w:lang w:val="fr-FR"/>
        </w:rPr>
      </w:pPr>
      <w:r w:rsidRPr="006121FB">
        <w:rPr>
          <w:rFonts w:ascii="Arial" w:hAnsi="Arial" w:cs="Arial"/>
          <w:sz w:val="20"/>
          <w:szCs w:val="20"/>
          <w:lang w:val="fr-FR"/>
        </w:rPr>
        <w:t>Assurer la disponibilité des ressources nécessaires à la collecte, le traitement continu des données et la diffusion d</w:t>
      </w:r>
      <w:r w:rsidR="00C80A26" w:rsidRPr="006121FB">
        <w:rPr>
          <w:rFonts w:ascii="Arial" w:hAnsi="Arial" w:cs="Arial"/>
          <w:sz w:val="20"/>
          <w:szCs w:val="20"/>
          <w:lang w:val="fr-FR"/>
        </w:rPr>
        <w:t xml:space="preserve">es résultats du </w:t>
      </w:r>
      <w:r w:rsidR="00507023" w:rsidRPr="006121FB">
        <w:rPr>
          <w:rFonts w:ascii="Arial" w:hAnsi="Arial" w:cs="Arial"/>
          <w:sz w:val="20"/>
          <w:szCs w:val="20"/>
          <w:lang w:val="fr-FR"/>
        </w:rPr>
        <w:t>Système National de Gestion de l’Information Environnementale (</w:t>
      </w:r>
      <w:r w:rsidR="00C80A26" w:rsidRPr="006121FB">
        <w:rPr>
          <w:rFonts w:ascii="Arial" w:hAnsi="Arial" w:cs="Arial"/>
          <w:sz w:val="20"/>
          <w:szCs w:val="20"/>
          <w:lang w:val="fr-FR"/>
        </w:rPr>
        <w:t>SNGIE</w:t>
      </w:r>
      <w:r w:rsidR="00507023" w:rsidRPr="006121FB">
        <w:rPr>
          <w:rFonts w:ascii="Arial" w:hAnsi="Arial" w:cs="Arial"/>
          <w:sz w:val="20"/>
          <w:szCs w:val="20"/>
          <w:lang w:val="fr-FR"/>
        </w:rPr>
        <w:t>)</w:t>
      </w:r>
      <w:r w:rsidRPr="006121FB">
        <w:rPr>
          <w:rFonts w:ascii="Arial" w:hAnsi="Arial" w:cs="Arial"/>
          <w:sz w:val="20"/>
          <w:szCs w:val="20"/>
          <w:lang w:val="fr-FR"/>
        </w:rPr>
        <w:t>.</w:t>
      </w:r>
    </w:p>
    <w:p w14:paraId="457B74A8" w14:textId="77777777" w:rsidR="00802BA9" w:rsidRPr="006121FB" w:rsidRDefault="00802BA9" w:rsidP="006121FB">
      <w:pPr>
        <w:numPr>
          <w:ilvl w:val="0"/>
          <w:numId w:val="53"/>
        </w:numPr>
        <w:spacing w:before="120" w:after="120" w:line="240" w:lineRule="auto"/>
        <w:contextualSpacing/>
        <w:rPr>
          <w:rFonts w:ascii="Arial" w:hAnsi="Arial" w:cs="Arial"/>
          <w:sz w:val="20"/>
          <w:szCs w:val="20"/>
          <w:lang w:val="fr-FR"/>
        </w:rPr>
      </w:pPr>
      <w:r w:rsidRPr="006121FB">
        <w:rPr>
          <w:rFonts w:ascii="Arial" w:hAnsi="Arial" w:cs="Arial"/>
          <w:sz w:val="20"/>
          <w:szCs w:val="20"/>
          <w:lang w:val="fr-FR"/>
        </w:rPr>
        <w:t>Assurer le renforcement des capacités techniques de l’AEDD par une assistance technique, surtout, pour l’analyse et l’int</w:t>
      </w:r>
      <w:r w:rsidR="00C80A26" w:rsidRPr="006121FB">
        <w:rPr>
          <w:rFonts w:ascii="Arial" w:hAnsi="Arial" w:cs="Arial"/>
          <w:sz w:val="20"/>
          <w:szCs w:val="20"/>
          <w:lang w:val="fr-FR"/>
        </w:rPr>
        <w:t>erprétation des données</w:t>
      </w:r>
      <w:r w:rsidRPr="006121FB">
        <w:rPr>
          <w:rFonts w:ascii="Arial" w:hAnsi="Arial" w:cs="Arial"/>
          <w:sz w:val="20"/>
          <w:szCs w:val="20"/>
          <w:lang w:val="fr-FR"/>
        </w:rPr>
        <w:t>.</w:t>
      </w:r>
    </w:p>
    <w:p w14:paraId="2C371C09" w14:textId="77777777" w:rsidR="00802BA9" w:rsidRPr="00514D53" w:rsidRDefault="00802BA9" w:rsidP="006121FB">
      <w:pPr>
        <w:numPr>
          <w:ilvl w:val="0"/>
          <w:numId w:val="53"/>
        </w:numPr>
        <w:spacing w:before="120" w:after="120" w:line="240" w:lineRule="auto"/>
        <w:contextualSpacing/>
        <w:rPr>
          <w:rFonts w:ascii="Arial" w:hAnsi="Arial" w:cs="Arial"/>
          <w:sz w:val="20"/>
          <w:szCs w:val="20"/>
          <w:lang w:val="fr-FR"/>
        </w:rPr>
      </w:pPr>
      <w:r w:rsidRPr="006121FB">
        <w:rPr>
          <w:rFonts w:ascii="Arial" w:hAnsi="Arial" w:cs="Arial"/>
          <w:sz w:val="20"/>
          <w:szCs w:val="20"/>
          <w:lang w:val="fr-FR"/>
        </w:rPr>
        <w:t xml:space="preserve">Identifier les indicateurs environnementaux, du changement climatique et du développement durable clés à suivre </w:t>
      </w:r>
      <w:r w:rsidR="003E13CD" w:rsidRPr="00D85946">
        <w:rPr>
          <w:rFonts w:ascii="Arial" w:hAnsi="Arial" w:cs="Arial"/>
          <w:sz w:val="20"/>
          <w:szCs w:val="20"/>
          <w:lang w:val="fr-FR"/>
        </w:rPr>
        <w:t>pour le</w:t>
      </w:r>
      <w:r w:rsidR="00034EB8">
        <w:rPr>
          <w:rFonts w:ascii="Arial" w:hAnsi="Arial" w:cs="Arial"/>
          <w:sz w:val="20"/>
          <w:szCs w:val="20"/>
          <w:lang w:val="fr-FR"/>
        </w:rPr>
        <w:t>s</w:t>
      </w:r>
      <w:r w:rsidR="003E13CD">
        <w:rPr>
          <w:rFonts w:ascii="Arial" w:hAnsi="Arial" w:cs="Arial"/>
          <w:sz w:val="20"/>
          <w:szCs w:val="20"/>
          <w:lang w:val="fr-FR"/>
        </w:rPr>
        <w:t xml:space="preserve"> </w:t>
      </w:r>
      <w:r w:rsidRPr="006121FB">
        <w:rPr>
          <w:rFonts w:ascii="Arial" w:hAnsi="Arial" w:cs="Arial"/>
          <w:sz w:val="20"/>
          <w:szCs w:val="20"/>
          <w:lang w:val="fr-FR"/>
        </w:rPr>
        <w:t>CREDD avec une véritable intégration transversale des ques</w:t>
      </w:r>
      <w:r w:rsidR="00C80A26" w:rsidRPr="006121FB">
        <w:rPr>
          <w:rFonts w:ascii="Arial" w:hAnsi="Arial" w:cs="Arial"/>
          <w:sz w:val="20"/>
          <w:szCs w:val="20"/>
          <w:lang w:val="fr-FR"/>
        </w:rPr>
        <w:t>tions environnementales</w:t>
      </w:r>
      <w:r w:rsidRPr="006121FB">
        <w:rPr>
          <w:rFonts w:ascii="Arial" w:hAnsi="Arial" w:cs="Arial"/>
          <w:sz w:val="20"/>
          <w:szCs w:val="20"/>
          <w:lang w:val="fr-FR"/>
        </w:rPr>
        <w:t>.</w:t>
      </w:r>
    </w:p>
    <w:p w14:paraId="593B584A" w14:textId="77777777" w:rsidR="00C80A26" w:rsidRPr="006121FB" w:rsidRDefault="00802BA9" w:rsidP="006121FB">
      <w:pPr>
        <w:spacing w:before="120" w:after="120" w:line="240" w:lineRule="auto"/>
        <w:rPr>
          <w:rFonts w:ascii="Arial" w:hAnsi="Arial" w:cs="Arial"/>
          <w:sz w:val="20"/>
          <w:szCs w:val="20"/>
          <w:lang w:val="fr-FR" w:eastAsia="zh-CN"/>
        </w:rPr>
      </w:pPr>
      <w:r w:rsidRPr="006121FB">
        <w:rPr>
          <w:rFonts w:ascii="Arial" w:hAnsi="Arial" w:cs="Arial"/>
          <w:sz w:val="20"/>
          <w:szCs w:val="20"/>
          <w:lang w:val="fr-FR"/>
        </w:rPr>
        <w:t xml:space="preserve">Les </w:t>
      </w:r>
      <w:r w:rsidRPr="006121FB">
        <w:rPr>
          <w:rFonts w:ascii="Arial" w:hAnsi="Arial" w:cs="Arial"/>
          <w:b/>
          <w:sz w:val="20"/>
          <w:szCs w:val="20"/>
          <w:lang w:val="fr-FR"/>
        </w:rPr>
        <w:t>r</w:t>
      </w:r>
      <w:r w:rsidRPr="006121FB">
        <w:rPr>
          <w:rFonts w:ascii="Arial" w:hAnsi="Arial" w:cs="Arial"/>
          <w:b/>
          <w:sz w:val="20"/>
          <w:szCs w:val="20"/>
          <w:lang w:val="fr-FR" w:eastAsia="zh-CN"/>
        </w:rPr>
        <w:t>ecommandations au niveau du suivi environnemental spécifique de la CE (post 11</w:t>
      </w:r>
      <w:r w:rsidRPr="006121FB">
        <w:rPr>
          <w:rFonts w:ascii="Arial" w:hAnsi="Arial" w:cs="Arial"/>
          <w:b/>
          <w:sz w:val="20"/>
          <w:szCs w:val="20"/>
          <w:vertAlign w:val="superscript"/>
          <w:lang w:val="fr-FR" w:eastAsia="zh-CN"/>
        </w:rPr>
        <w:t>ème</w:t>
      </w:r>
      <w:r w:rsidRPr="006121FB">
        <w:rPr>
          <w:rFonts w:ascii="Arial" w:hAnsi="Arial" w:cs="Arial"/>
          <w:b/>
          <w:sz w:val="20"/>
          <w:szCs w:val="20"/>
          <w:lang w:val="fr-FR" w:eastAsia="zh-CN"/>
        </w:rPr>
        <w:t xml:space="preserve"> FED)</w:t>
      </w:r>
      <w:r w:rsidRPr="006121FB">
        <w:rPr>
          <w:rFonts w:ascii="Arial" w:hAnsi="Arial" w:cs="Arial"/>
          <w:sz w:val="20"/>
          <w:szCs w:val="20"/>
          <w:lang w:val="fr-FR" w:eastAsia="zh-CN"/>
        </w:rPr>
        <w:t xml:space="preserve"> restent identiques à celles du 11</w:t>
      </w:r>
      <w:r w:rsidRPr="006121FB">
        <w:rPr>
          <w:rFonts w:ascii="Arial" w:hAnsi="Arial" w:cs="Arial"/>
          <w:sz w:val="20"/>
          <w:szCs w:val="20"/>
          <w:vertAlign w:val="superscript"/>
          <w:lang w:val="fr-FR" w:eastAsia="zh-CN"/>
        </w:rPr>
        <w:t>ème</w:t>
      </w:r>
      <w:r w:rsidRPr="006121FB">
        <w:rPr>
          <w:rFonts w:ascii="Arial" w:hAnsi="Arial" w:cs="Arial"/>
          <w:sz w:val="20"/>
          <w:szCs w:val="20"/>
          <w:lang w:val="fr-FR" w:eastAsia="zh-CN"/>
        </w:rPr>
        <w:t xml:space="preserve"> FED car les secteurs probables restent les mêmes. En plus, les recommandations du PEP précédent dans ce sens n’ont pas été prises en compte dans le matrix de suivi du PIN</w:t>
      </w:r>
      <w:r w:rsidR="00C80A26" w:rsidRPr="006121FB">
        <w:rPr>
          <w:rFonts w:ascii="Arial" w:hAnsi="Arial" w:cs="Arial"/>
          <w:sz w:val="20"/>
          <w:szCs w:val="20"/>
          <w:lang w:val="fr-FR" w:eastAsia="zh-CN"/>
        </w:rPr>
        <w:t>.</w:t>
      </w:r>
    </w:p>
    <w:p w14:paraId="54B6F29D" w14:textId="77777777" w:rsidR="00802BA9" w:rsidRPr="006121FB" w:rsidRDefault="00C80A26" w:rsidP="006121FB">
      <w:pPr>
        <w:pStyle w:val="Pardeliste"/>
        <w:numPr>
          <w:ilvl w:val="0"/>
          <w:numId w:val="66"/>
        </w:numPr>
        <w:spacing w:before="120" w:after="120" w:line="240" w:lineRule="auto"/>
        <w:rPr>
          <w:rFonts w:ascii="Arial" w:hAnsi="Arial" w:cs="Arial"/>
          <w:sz w:val="20"/>
          <w:szCs w:val="20"/>
          <w:u w:val="single"/>
          <w:lang w:val="fr-FR" w:eastAsia="zh-CN"/>
        </w:rPr>
      </w:pPr>
      <w:r w:rsidRPr="006121FB">
        <w:rPr>
          <w:rFonts w:ascii="Arial" w:eastAsia="Times New Roman" w:hAnsi="Arial" w:cs="Arial"/>
          <w:bCs/>
          <w:sz w:val="20"/>
          <w:szCs w:val="20"/>
          <w:lang w:val="fr-FR" w:eastAsia="it-IT"/>
        </w:rPr>
        <w:t xml:space="preserve">Suivre les indicateurs de l’impact environnemental (formulés lors des EES, liés aux allocations budgétaires, au </w:t>
      </w:r>
      <w:r w:rsidR="00507023" w:rsidRPr="006121FB">
        <w:rPr>
          <w:rFonts w:ascii="Arial" w:eastAsia="Times New Roman" w:hAnsi="Arial" w:cs="Arial"/>
          <w:bCs/>
          <w:sz w:val="20"/>
          <w:szCs w:val="20"/>
          <w:lang w:val="fr-FR" w:eastAsia="it-IT"/>
        </w:rPr>
        <w:t>« </w:t>
      </w:r>
      <w:r w:rsidRPr="006121FB">
        <w:rPr>
          <w:rFonts w:ascii="Arial" w:eastAsia="Times New Roman" w:hAnsi="Arial" w:cs="Arial"/>
          <w:bCs/>
          <w:sz w:val="20"/>
          <w:szCs w:val="20"/>
          <w:lang w:val="fr-FR" w:eastAsia="it-IT"/>
        </w:rPr>
        <w:t>verdissement</w:t>
      </w:r>
      <w:r w:rsidR="00507023" w:rsidRPr="006121FB">
        <w:rPr>
          <w:rFonts w:ascii="Arial" w:eastAsia="Times New Roman" w:hAnsi="Arial" w:cs="Arial"/>
          <w:bCs/>
          <w:sz w:val="20"/>
          <w:szCs w:val="20"/>
          <w:lang w:val="fr-FR" w:eastAsia="it-IT"/>
        </w:rPr>
        <w:t> »</w:t>
      </w:r>
      <w:r w:rsidRPr="006121FB">
        <w:rPr>
          <w:rFonts w:ascii="Arial" w:eastAsia="Times New Roman" w:hAnsi="Arial" w:cs="Arial"/>
          <w:bCs/>
          <w:sz w:val="20"/>
          <w:szCs w:val="20"/>
          <w:lang w:val="fr-FR" w:eastAsia="it-IT"/>
        </w:rPr>
        <w:t xml:space="preserve"> du CREDD, et à l’écoconception) dans la grille d’évaluation du Programme Indicatif National (PIN) et des projets y afférents (*).</w:t>
      </w:r>
      <w:r w:rsidR="00802BA9" w:rsidRPr="006121FB">
        <w:rPr>
          <w:rFonts w:ascii="Arial" w:hAnsi="Arial" w:cs="Arial"/>
          <w:sz w:val="20"/>
          <w:szCs w:val="20"/>
          <w:u w:val="single"/>
          <w:lang w:val="fr-FR" w:eastAsia="zh-CN"/>
        </w:rPr>
        <w:t xml:space="preserve"> </w:t>
      </w:r>
    </w:p>
    <w:p w14:paraId="098641D0" w14:textId="77777777" w:rsidR="00C80A26" w:rsidRDefault="00C80A26" w:rsidP="00500D2D">
      <w:pPr>
        <w:pStyle w:val="Titre1"/>
        <w:sectPr w:rsidR="00C80A26" w:rsidSect="00C80A26">
          <w:footerReference w:type="default" r:id="rId14"/>
          <w:pgSz w:w="11906" w:h="16838"/>
          <w:pgMar w:top="720" w:right="720" w:bottom="720" w:left="720" w:header="709" w:footer="709" w:gutter="0"/>
          <w:cols w:space="708"/>
          <w:docGrid w:linePitch="360"/>
        </w:sectPr>
      </w:pPr>
    </w:p>
    <w:p w14:paraId="7E9774B1" w14:textId="77777777" w:rsidR="00802BA9" w:rsidRPr="00971C89" w:rsidRDefault="00802BA9" w:rsidP="00500D2D">
      <w:pPr>
        <w:pStyle w:val="Titre1"/>
      </w:pPr>
      <w:bookmarkStart w:id="12" w:name="_Toc20505615"/>
      <w:r>
        <w:lastRenderedPageBreak/>
        <w:t>2</w:t>
      </w:r>
      <w:r w:rsidRPr="00971C89">
        <w:t>. Etat de l’environnement</w:t>
      </w:r>
      <w:bookmarkEnd w:id="12"/>
    </w:p>
    <w:p w14:paraId="1364A9FB" w14:textId="77777777" w:rsidR="00802BA9" w:rsidRPr="00F15A62" w:rsidRDefault="00802BA9" w:rsidP="00802BA9">
      <w:pPr>
        <w:pStyle w:val="Pardeliste"/>
        <w:spacing w:after="0" w:line="240" w:lineRule="auto"/>
        <w:ind w:left="360"/>
        <w:rPr>
          <w:rFonts w:eastAsia="Calibri" w:cs="Arial"/>
          <w:lang w:val="fr-FR" w:eastAsia="fr-FR"/>
        </w:rPr>
      </w:pPr>
    </w:p>
    <w:p w14:paraId="17D9C971" w14:textId="77777777" w:rsidR="00802BA9" w:rsidRPr="00913A0C" w:rsidRDefault="00802BA9" w:rsidP="00802BA9">
      <w:pPr>
        <w:pStyle w:val="Titre2"/>
      </w:pPr>
      <w:bookmarkStart w:id="13" w:name="_Toc20505616"/>
      <w:r>
        <w:t>2</w:t>
      </w:r>
      <w:r w:rsidRPr="00913A0C">
        <w:t>.1. etat et tendances des principales ressources environnementales</w:t>
      </w:r>
      <w:bookmarkEnd w:id="13"/>
    </w:p>
    <w:p w14:paraId="1911C3ED" w14:textId="77777777" w:rsidR="00802BA9" w:rsidRPr="00DA2666" w:rsidRDefault="00802BA9" w:rsidP="00525222">
      <w:pPr>
        <w:pStyle w:val="Titre3"/>
      </w:pPr>
      <w:bookmarkStart w:id="14" w:name="_Toc20505617"/>
      <w:r w:rsidRPr="00DA2666">
        <w:t>2.1.1 Environnement physique</w:t>
      </w:r>
      <w:bookmarkEnd w:id="14"/>
    </w:p>
    <w:p w14:paraId="599626B3" w14:textId="77777777" w:rsidR="00802BA9" w:rsidRPr="00DA2666" w:rsidRDefault="00802BA9" w:rsidP="00802BA9">
      <w:pPr>
        <w:pStyle w:val="Pardeliste"/>
        <w:spacing w:after="0" w:line="240" w:lineRule="auto"/>
        <w:ind w:left="2160"/>
        <w:rPr>
          <w:rFonts w:eastAsia="Calibri" w:cs="Arial"/>
          <w:lang w:val="fr-FR" w:eastAsia="fr-FR"/>
        </w:rPr>
      </w:pPr>
    </w:p>
    <w:p w14:paraId="7057856E" w14:textId="77777777" w:rsidR="00802BA9" w:rsidRPr="00913A0C" w:rsidRDefault="00802BA9" w:rsidP="00802BA9">
      <w:pPr>
        <w:pStyle w:val="Titre4"/>
      </w:pPr>
      <w:r w:rsidRPr="00DA2666">
        <w:t>2.1.1.1 La qualité de l'air</w:t>
      </w:r>
    </w:p>
    <w:p w14:paraId="68A6B615" w14:textId="77777777" w:rsidR="00802BA9" w:rsidRPr="00514D53" w:rsidRDefault="00802BA9" w:rsidP="00514D53">
      <w:pPr>
        <w:spacing w:before="120" w:after="120" w:line="240" w:lineRule="auto"/>
        <w:rPr>
          <w:rFonts w:ascii="Arial" w:eastAsia="Calibri" w:hAnsi="Arial" w:cs="Arial"/>
          <w:sz w:val="20"/>
          <w:szCs w:val="20"/>
          <w:lang w:val="fr-FR"/>
        </w:rPr>
      </w:pPr>
      <w:r w:rsidRPr="00514D53">
        <w:rPr>
          <w:rFonts w:ascii="Arial" w:eastAsia="Calibri" w:hAnsi="Arial" w:cs="Arial"/>
          <w:sz w:val="20"/>
          <w:szCs w:val="20"/>
          <w:lang w:val="fr-FR"/>
        </w:rPr>
        <w:t xml:space="preserve">Au Mali, la </w:t>
      </w:r>
      <w:r w:rsidRPr="00514D53">
        <w:rPr>
          <w:rFonts w:ascii="Arial" w:eastAsia="Calibri" w:hAnsi="Arial" w:cs="Arial"/>
          <w:b/>
          <w:sz w:val="20"/>
          <w:szCs w:val="20"/>
          <w:lang w:val="fr-FR"/>
        </w:rPr>
        <w:t>qualité de l’air</w:t>
      </w:r>
      <w:r w:rsidRPr="00514D53">
        <w:rPr>
          <w:rFonts w:ascii="Arial" w:eastAsia="Calibri" w:hAnsi="Arial" w:cs="Arial"/>
          <w:sz w:val="20"/>
          <w:szCs w:val="20"/>
          <w:lang w:val="fr-FR"/>
        </w:rPr>
        <w:t xml:space="preserve"> est affectée à la fois par les températures élevées de saison sèche qui favorisent la pollution photochimique et par les poussières sahariennes contenues dans le vent sec venant du Nord-est (appelé </w:t>
      </w:r>
      <w:r w:rsidRPr="00514D53">
        <w:rPr>
          <w:rFonts w:ascii="Arial" w:eastAsia="Calibri" w:hAnsi="Arial" w:cs="Arial"/>
          <w:i/>
          <w:sz w:val="20"/>
          <w:szCs w:val="20"/>
          <w:lang w:val="fr-FR"/>
        </w:rPr>
        <w:t>harmattan</w:t>
      </w:r>
      <w:r w:rsidRPr="00514D53">
        <w:rPr>
          <w:rFonts w:ascii="Arial" w:eastAsia="Calibri" w:hAnsi="Arial" w:cs="Arial"/>
          <w:sz w:val="20"/>
          <w:szCs w:val="20"/>
          <w:lang w:val="fr-FR"/>
        </w:rPr>
        <w:t>) dont la fréquence et l’intensité varient. Par ailleurs, la qualité de l’air est détériorée par les feux (de brousse ou de biomasse, domestique par l’utilisation de bois-énergie, incinération non maîtrisée des déchets agricoles et domestiques) qui émettent des polluants atmosphériques. Enfin, l’émission de biogaz (40 à 60 % de CH4, 35 à 40 % de CO2 et de l’H2S) provenant des dépôts de déchets dégrade la qualité de l’air.</w:t>
      </w:r>
    </w:p>
    <w:p w14:paraId="5EA43DD6" w14:textId="77777777" w:rsidR="00802BA9" w:rsidRPr="00514D53" w:rsidRDefault="00802BA9" w:rsidP="00514D53">
      <w:pPr>
        <w:autoSpaceDE w:val="0"/>
        <w:autoSpaceDN w:val="0"/>
        <w:adjustRightInd w:val="0"/>
        <w:spacing w:before="120" w:after="120" w:line="240" w:lineRule="auto"/>
        <w:rPr>
          <w:rFonts w:ascii="Arial" w:hAnsi="Arial" w:cs="Arial"/>
          <w:sz w:val="20"/>
          <w:szCs w:val="20"/>
          <w:lang w:val="fr-FR"/>
        </w:rPr>
      </w:pPr>
      <w:r w:rsidRPr="00514D53">
        <w:rPr>
          <w:rFonts w:ascii="Arial" w:hAnsi="Arial" w:cs="Arial"/>
          <w:sz w:val="20"/>
          <w:szCs w:val="20"/>
          <w:lang w:val="fr-FR"/>
        </w:rPr>
        <w:t xml:space="preserve">A </w:t>
      </w:r>
      <w:r w:rsidRPr="00514D53">
        <w:rPr>
          <w:rFonts w:ascii="Arial" w:hAnsi="Arial" w:cs="Arial"/>
          <w:b/>
          <w:sz w:val="20"/>
          <w:szCs w:val="20"/>
          <w:lang w:val="fr-FR"/>
        </w:rPr>
        <w:t>Bamako</w:t>
      </w:r>
      <w:r w:rsidRPr="00514D53">
        <w:rPr>
          <w:rFonts w:ascii="Arial" w:hAnsi="Arial" w:cs="Arial"/>
          <w:sz w:val="20"/>
          <w:szCs w:val="20"/>
          <w:lang w:val="fr-FR"/>
        </w:rPr>
        <w:t>, la pollution gazeuse et particulaire résulte principalement de la circulation automobile (vétusté des transports publics et des véhicules</w:t>
      </w:r>
      <w:r w:rsidRPr="00514D53">
        <w:rPr>
          <w:rStyle w:val="Appelnotedebasdep"/>
          <w:rFonts w:ascii="Arial" w:hAnsi="Arial" w:cs="Arial"/>
          <w:sz w:val="20"/>
          <w:szCs w:val="20"/>
          <w:lang w:val="fr-FR"/>
        </w:rPr>
        <w:footnoteReference w:id="1"/>
      </w:r>
      <w:r w:rsidRPr="00514D53">
        <w:rPr>
          <w:rFonts w:ascii="Arial" w:hAnsi="Arial" w:cs="Arial"/>
          <w:sz w:val="20"/>
          <w:szCs w:val="20"/>
          <w:lang w:val="fr-FR"/>
        </w:rPr>
        <w:t xml:space="preserve">, accroissement du parc automobile </w:t>
      </w:r>
      <w:r w:rsidR="001254ED">
        <w:rPr>
          <w:rFonts w:ascii="Arial" w:hAnsi="Arial" w:cs="Arial"/>
          <w:sz w:val="20"/>
          <w:szCs w:val="20"/>
          <w:lang w:val="fr-FR"/>
        </w:rPr>
        <w:t xml:space="preserve">et du trafic </w:t>
      </w:r>
      <w:r w:rsidRPr="00514D53">
        <w:rPr>
          <w:rFonts w:ascii="Arial" w:hAnsi="Arial" w:cs="Arial"/>
          <w:sz w:val="20"/>
          <w:szCs w:val="20"/>
          <w:lang w:val="fr-FR"/>
        </w:rPr>
        <w:t>(§ 2.2.8) s’appuyant souvent sur des véhicules de seconde main, recrudescence du parc des deux-roues utilisant souvent du fioul frelaté), des feux domestiques</w:t>
      </w:r>
      <w:r w:rsidRPr="00514D53">
        <w:rPr>
          <w:rStyle w:val="Appelnotedebasdep"/>
          <w:rFonts w:ascii="Arial" w:hAnsi="Arial" w:cs="Arial"/>
          <w:sz w:val="20"/>
          <w:szCs w:val="20"/>
          <w:lang w:val="fr-FR"/>
        </w:rPr>
        <w:footnoteReference w:id="2"/>
      </w:r>
      <w:r w:rsidRPr="00514D53">
        <w:rPr>
          <w:rFonts w:ascii="Arial" w:hAnsi="Arial" w:cs="Arial"/>
          <w:sz w:val="20"/>
          <w:szCs w:val="20"/>
          <w:lang w:val="fr-FR"/>
        </w:rPr>
        <w:t xml:space="preserve"> et, pour une moindre contribution, des émissions industrielles. En outre, les transports publics et l’aménagement urbain restent insuffisants conduisant à d’importants ralentissements </w:t>
      </w:r>
      <w:r w:rsidR="001254ED">
        <w:rPr>
          <w:rFonts w:ascii="Arial" w:hAnsi="Arial" w:cs="Arial"/>
          <w:sz w:val="20"/>
          <w:szCs w:val="20"/>
          <w:lang w:val="fr-FR"/>
        </w:rPr>
        <w:t xml:space="preserve">(embouteillages) </w:t>
      </w:r>
      <w:r w:rsidRPr="00514D53">
        <w:rPr>
          <w:rFonts w:ascii="Arial" w:hAnsi="Arial" w:cs="Arial"/>
          <w:sz w:val="20"/>
          <w:szCs w:val="20"/>
          <w:lang w:val="fr-FR"/>
        </w:rPr>
        <w:t xml:space="preserve">et congestions de la circulation qui aggravent le problème (§ 2.2.8). Selon l’étude BURGEAP (2010), les principales émissions liées au trafic sont les oxydes d’azote (Nox), les Composés Organiques Volatils (COV) et les poussières PM10. </w:t>
      </w:r>
    </w:p>
    <w:p w14:paraId="5DE51E65" w14:textId="77777777" w:rsidR="00802BA9" w:rsidRPr="00514D53" w:rsidRDefault="00802BA9" w:rsidP="00514D53">
      <w:pPr>
        <w:autoSpaceDE w:val="0"/>
        <w:autoSpaceDN w:val="0"/>
        <w:adjustRightInd w:val="0"/>
        <w:spacing w:before="120" w:after="120" w:line="240" w:lineRule="auto"/>
        <w:rPr>
          <w:rFonts w:ascii="Arial" w:hAnsi="Arial" w:cs="Arial"/>
          <w:sz w:val="20"/>
          <w:szCs w:val="20"/>
          <w:lang w:val="fr-FR"/>
        </w:rPr>
      </w:pPr>
      <w:r w:rsidRPr="00514D53">
        <w:rPr>
          <w:rFonts w:ascii="Arial" w:hAnsi="Arial" w:cs="Arial"/>
          <w:sz w:val="20"/>
          <w:szCs w:val="20"/>
          <w:lang w:val="fr-FR"/>
        </w:rPr>
        <w:t>A l’instar de Dakar (seule ville d’Afrique de l’Ouest disposant d’un observatoire de la qualité de l’air</w:t>
      </w:r>
      <w:r w:rsidRPr="00514D53">
        <w:rPr>
          <w:rStyle w:val="Appelnotedebasdep"/>
          <w:rFonts w:ascii="Arial" w:hAnsi="Arial" w:cs="Arial"/>
          <w:sz w:val="20"/>
          <w:szCs w:val="20"/>
          <w:lang w:val="fr-FR"/>
        </w:rPr>
        <w:footnoteReference w:id="3"/>
      </w:r>
      <w:r w:rsidRPr="00514D53">
        <w:rPr>
          <w:rFonts w:ascii="Arial" w:hAnsi="Arial" w:cs="Arial"/>
          <w:sz w:val="20"/>
          <w:szCs w:val="20"/>
          <w:lang w:val="fr-FR"/>
        </w:rPr>
        <w:t>), il existe une saisonnalité de la pollution atmosphérique de Bamako avec une qualité de l’air très mauvaise pendant la saison sèche et meilleur</w:t>
      </w:r>
      <w:r w:rsidR="00C9742D">
        <w:rPr>
          <w:rFonts w:ascii="Arial" w:hAnsi="Arial" w:cs="Arial"/>
          <w:sz w:val="20"/>
          <w:szCs w:val="20"/>
          <w:lang w:val="fr-FR"/>
        </w:rPr>
        <w:t>e</w:t>
      </w:r>
      <w:r w:rsidRPr="00514D53">
        <w:rPr>
          <w:rFonts w:ascii="Arial" w:hAnsi="Arial" w:cs="Arial"/>
          <w:sz w:val="20"/>
          <w:szCs w:val="20"/>
          <w:lang w:val="fr-FR"/>
        </w:rPr>
        <w:t xml:space="preserve"> durant la saison des pluies (concentration de PM10 plus faible) ; les pluies contribuant au lessivage des particules dans l’atmosphère et empêchant leur remobilisation par les activités humaines à partir de la surface du sol.</w:t>
      </w:r>
      <w:r w:rsidRPr="00514D53">
        <w:rPr>
          <w:rFonts w:ascii="Arial" w:hAnsi="Arial" w:cs="Arial"/>
          <w:sz w:val="20"/>
          <w:szCs w:val="20"/>
        </w:rPr>
        <w:t xml:space="preserve"> De même, il existe des pics de pollution, où la qualité de l’air est fortement dégradée et devient nocive, liés à l’accumulation de polluants provenant des gaz d’échappement des véhicules, et dans une moindre mesure, de l’énergie domestique et de l’activité industrielle. BURGEAP </w:t>
      </w:r>
      <w:r w:rsidR="00C9742D" w:rsidRPr="00C9742D">
        <w:rPr>
          <w:rFonts w:ascii="Arial" w:hAnsi="Arial" w:cs="Arial"/>
          <w:sz w:val="20"/>
          <w:szCs w:val="20"/>
        </w:rPr>
        <w:t xml:space="preserve">durant la saison sèche de 2010 </w:t>
      </w:r>
      <w:r w:rsidRPr="00514D53">
        <w:rPr>
          <w:rFonts w:ascii="Arial" w:hAnsi="Arial" w:cs="Arial"/>
          <w:sz w:val="20"/>
          <w:szCs w:val="20"/>
        </w:rPr>
        <w:t xml:space="preserve">a mis en évidence une </w:t>
      </w:r>
      <w:r w:rsidRPr="00FB4389">
        <w:rPr>
          <w:rFonts w:ascii="Arial" w:hAnsi="Arial" w:cs="Arial"/>
          <w:sz w:val="20"/>
          <w:szCs w:val="20"/>
        </w:rPr>
        <w:t xml:space="preserve">augmentation </w:t>
      </w:r>
      <w:r w:rsidR="00F423CD" w:rsidRPr="00FB4389">
        <w:rPr>
          <w:rFonts w:ascii="Arial" w:hAnsi="Arial" w:cs="Arial"/>
          <w:sz w:val="20"/>
          <w:szCs w:val="20"/>
        </w:rPr>
        <w:t xml:space="preserve">des particules PM10 </w:t>
      </w:r>
      <w:r w:rsidRPr="00514D53">
        <w:rPr>
          <w:rFonts w:ascii="Arial" w:hAnsi="Arial" w:cs="Arial"/>
          <w:sz w:val="20"/>
          <w:szCs w:val="20"/>
        </w:rPr>
        <w:t>vers 18h00 atteignant un palier moyen de 600 µg/m3 avec des pics à 996 µg/m3 (§ 7.4.13 : mesures du 30/12/2009 et du 6/01/2010. De même, cette étude a mis en avant des concentrations en composés organiques volatils (COV) préoccupantes, notamment, pour le benzène avec une valeur moyenne de 16 µg/m3.</w:t>
      </w:r>
      <w:r w:rsidR="00C9742D">
        <w:rPr>
          <w:rFonts w:ascii="Arial" w:hAnsi="Arial" w:cs="Arial"/>
          <w:sz w:val="20"/>
          <w:szCs w:val="20"/>
        </w:rPr>
        <w:t xml:space="preserve"> </w:t>
      </w:r>
      <w:r w:rsidR="00C9742D" w:rsidRPr="00C9742D">
        <w:rPr>
          <w:rFonts w:ascii="Arial" w:hAnsi="Arial" w:cs="Arial"/>
          <w:sz w:val="20"/>
          <w:szCs w:val="20"/>
        </w:rPr>
        <w:t>Toujours, en saison sèche,</w:t>
      </w:r>
      <w:r w:rsidR="00C9742D">
        <w:rPr>
          <w:rFonts w:ascii="Arial" w:hAnsi="Arial" w:cs="Arial"/>
          <w:sz w:val="20"/>
          <w:szCs w:val="20"/>
        </w:rPr>
        <w:t xml:space="preserve"> l</w:t>
      </w:r>
      <w:r w:rsidRPr="00514D53">
        <w:rPr>
          <w:rFonts w:ascii="Arial" w:hAnsi="Arial" w:cs="Arial"/>
          <w:sz w:val="20"/>
          <w:szCs w:val="20"/>
          <w:lang w:val="fr-FR"/>
        </w:rPr>
        <w:t xml:space="preserve">ors d’une campagne de mesures entre le 20/01 et le 02/02/2009 effectuée par DOUMBIA (2012), il a été mis en évidence que les particules d’origine anthropiques représentaient entre 67 et 81% des aérosols urbains, le carbone suie ou </w:t>
      </w:r>
      <w:r w:rsidR="00507023" w:rsidRPr="00514D53">
        <w:rPr>
          <w:rFonts w:ascii="Arial" w:hAnsi="Arial" w:cs="Arial"/>
          <w:i/>
          <w:sz w:val="20"/>
          <w:szCs w:val="20"/>
          <w:lang w:val="fr-FR"/>
        </w:rPr>
        <w:t>Bl</w:t>
      </w:r>
      <w:r w:rsidRPr="00514D53">
        <w:rPr>
          <w:rFonts w:ascii="Arial" w:hAnsi="Arial" w:cs="Arial"/>
          <w:i/>
          <w:sz w:val="20"/>
          <w:szCs w:val="20"/>
          <w:lang w:val="fr-FR"/>
        </w:rPr>
        <w:t xml:space="preserve">ack </w:t>
      </w:r>
      <w:r w:rsidR="00507023" w:rsidRPr="00514D53">
        <w:rPr>
          <w:rFonts w:ascii="Arial" w:hAnsi="Arial" w:cs="Arial"/>
          <w:i/>
          <w:sz w:val="20"/>
          <w:szCs w:val="20"/>
          <w:lang w:val="fr-FR"/>
        </w:rPr>
        <w:t>C</w:t>
      </w:r>
      <w:r w:rsidRPr="00514D53">
        <w:rPr>
          <w:rFonts w:ascii="Arial" w:hAnsi="Arial" w:cs="Arial"/>
          <w:i/>
          <w:sz w:val="20"/>
          <w:szCs w:val="20"/>
          <w:lang w:val="fr-FR"/>
        </w:rPr>
        <w:t>arbon</w:t>
      </w:r>
      <w:r w:rsidRPr="00514D53">
        <w:rPr>
          <w:rFonts w:ascii="Arial" w:hAnsi="Arial" w:cs="Arial"/>
          <w:sz w:val="20"/>
          <w:szCs w:val="20"/>
          <w:lang w:val="fr-FR"/>
        </w:rPr>
        <w:t xml:space="preserve"> (BC) constituant l’un des principaux composants avec des niveaux de concentration moyenne journalière de 277 µg/m³ pour les PM2.5 et de 504 µg/m³ pour les PM10, ce qui est largement supérieur aux normes recommandées par l’OMS</w:t>
      </w:r>
      <w:r w:rsidRPr="00514D53">
        <w:rPr>
          <w:rStyle w:val="Appelnotedebasdep"/>
          <w:rFonts w:ascii="Arial" w:hAnsi="Arial" w:cs="Arial"/>
          <w:sz w:val="20"/>
          <w:szCs w:val="20"/>
          <w:lang w:val="fr-FR"/>
        </w:rPr>
        <w:footnoteReference w:id="4"/>
      </w:r>
      <w:r w:rsidRPr="00514D53">
        <w:rPr>
          <w:rFonts w:ascii="Arial" w:hAnsi="Arial" w:cs="Arial"/>
          <w:sz w:val="20"/>
          <w:szCs w:val="20"/>
          <w:lang w:val="fr-FR"/>
        </w:rPr>
        <w:t xml:space="preserve">. </w:t>
      </w:r>
      <w:r w:rsidR="00C9742D" w:rsidRPr="00C9742D">
        <w:rPr>
          <w:rFonts w:ascii="Arial" w:hAnsi="Arial" w:cs="Arial"/>
          <w:sz w:val="20"/>
          <w:szCs w:val="20"/>
          <w:lang w:val="fr-FR"/>
        </w:rPr>
        <w:t>En saison des pluies, les prélèvements réalisés par BURGEAP en juillet 2019 indiquent des concentrations pour les PM10 de 147 µg/m³ et pour le benzène de 10,5 µg/m³. Ainsi, il apparait des teneurs très supérieures aux normes recommandées par l’OMS sur l’ensemble de l’année. Les concentrations moyennes journalières de PM10 sont 3 à 10 fois supérieures à la norme OMS moyenne annuelle de 50 µg/m³. Les concentrations de PM2.5 en saison sèche sont 10 fois supérieures à la norme OMS et celles pour le benzène sont 10 (saison des pluies) à 16 fois supérieures (saison sèche) à la norme OMS.</w:t>
      </w:r>
    </w:p>
    <w:p w14:paraId="39CBF8DC" w14:textId="77777777" w:rsidR="00802BA9" w:rsidRPr="00514D53" w:rsidRDefault="00802BA9" w:rsidP="00514D53">
      <w:pPr>
        <w:autoSpaceDE w:val="0"/>
        <w:autoSpaceDN w:val="0"/>
        <w:adjustRightInd w:val="0"/>
        <w:spacing w:before="120" w:after="120" w:line="240" w:lineRule="auto"/>
        <w:rPr>
          <w:rFonts w:ascii="Arial" w:hAnsi="Arial" w:cs="Arial"/>
          <w:sz w:val="20"/>
          <w:szCs w:val="20"/>
          <w:lang w:val="fr-FR"/>
        </w:rPr>
      </w:pPr>
      <w:r w:rsidRPr="00514D53">
        <w:rPr>
          <w:rFonts w:ascii="Arial" w:hAnsi="Arial" w:cs="Arial"/>
          <w:sz w:val="20"/>
          <w:szCs w:val="20"/>
          <w:lang w:val="fr-FR"/>
        </w:rPr>
        <w:t xml:space="preserve">Face à l’augmentation de l’utilisation du bois énergie (§ 2.2.4, augmentation de 2,4 %/an), à l’augmentation du parc automobile (§ 2.2.8), il est certain que ces concentrations aient augmentées.  En outre, l’utilisation d’une énergie domestique essentiellement constituée de bois de feu et de charbon de bois dégrade la </w:t>
      </w:r>
      <w:r w:rsidRPr="00514D53">
        <w:rPr>
          <w:rFonts w:ascii="Arial" w:hAnsi="Arial" w:cs="Arial"/>
          <w:b/>
          <w:sz w:val="20"/>
          <w:szCs w:val="20"/>
          <w:lang w:val="fr-FR"/>
        </w:rPr>
        <w:t xml:space="preserve">qualité de </w:t>
      </w:r>
      <w:r w:rsidRPr="00514D53">
        <w:rPr>
          <w:rFonts w:ascii="Arial" w:hAnsi="Arial" w:cs="Arial"/>
          <w:b/>
          <w:sz w:val="20"/>
          <w:szCs w:val="20"/>
          <w:lang w:val="fr-FR"/>
        </w:rPr>
        <w:lastRenderedPageBreak/>
        <w:t xml:space="preserve">l’air intérieur </w:t>
      </w:r>
      <w:r w:rsidRPr="00514D53">
        <w:rPr>
          <w:rFonts w:ascii="Arial" w:hAnsi="Arial" w:cs="Arial"/>
          <w:sz w:val="20"/>
          <w:szCs w:val="20"/>
          <w:lang w:val="fr-FR"/>
        </w:rPr>
        <w:t>en augmentant les teneurs de PM10, CO2 et de furanes. La pollution atmosphérique gazeuse et particulaire, notamment dans les grandes villes du Mali à un impact important sur la santé (§ 2.3.3).</w:t>
      </w:r>
    </w:p>
    <w:p w14:paraId="6116E68A" w14:textId="77777777" w:rsidR="00802BA9" w:rsidRPr="00514D53" w:rsidRDefault="00802BA9" w:rsidP="00514D53">
      <w:pPr>
        <w:autoSpaceDE w:val="0"/>
        <w:autoSpaceDN w:val="0"/>
        <w:adjustRightInd w:val="0"/>
        <w:spacing w:before="120" w:after="120" w:line="240" w:lineRule="auto"/>
        <w:rPr>
          <w:rFonts w:ascii="Arial" w:hAnsi="Arial" w:cs="Arial"/>
          <w:b/>
          <w:color w:val="0070C0"/>
          <w:sz w:val="20"/>
          <w:szCs w:val="20"/>
          <w:lang w:val="fr-FR"/>
        </w:rPr>
      </w:pPr>
    </w:p>
    <w:p w14:paraId="46971513" w14:textId="77777777" w:rsidR="00802BA9" w:rsidRPr="00514D53" w:rsidRDefault="00802BA9" w:rsidP="00514D53">
      <w:pPr>
        <w:pStyle w:val="Titre4"/>
        <w:spacing w:before="120" w:after="120"/>
        <w:rPr>
          <w:rFonts w:ascii="Arial" w:hAnsi="Arial"/>
          <w:sz w:val="20"/>
          <w:szCs w:val="20"/>
        </w:rPr>
      </w:pPr>
      <w:r w:rsidRPr="00514D53">
        <w:rPr>
          <w:rFonts w:ascii="Arial" w:hAnsi="Arial"/>
          <w:sz w:val="20"/>
          <w:szCs w:val="20"/>
        </w:rPr>
        <w:t>2.1.1.2 Le climat, sa variabilité et l’évolution climatique</w:t>
      </w:r>
    </w:p>
    <w:p w14:paraId="2D1044AF" w14:textId="77777777" w:rsidR="00802BA9" w:rsidRPr="00514D53" w:rsidRDefault="00802BA9" w:rsidP="00514D53">
      <w:pPr>
        <w:autoSpaceDE w:val="0"/>
        <w:autoSpaceDN w:val="0"/>
        <w:adjustRightInd w:val="0"/>
        <w:spacing w:before="120" w:after="120" w:line="240" w:lineRule="auto"/>
        <w:rPr>
          <w:rFonts w:ascii="Arial" w:hAnsi="Arial" w:cs="Arial"/>
          <w:sz w:val="20"/>
          <w:szCs w:val="20"/>
          <w:lang w:val="fr-FR"/>
        </w:rPr>
      </w:pPr>
      <w:r w:rsidRPr="00514D53">
        <w:rPr>
          <w:rFonts w:ascii="Arial" w:hAnsi="Arial" w:cs="Arial"/>
          <w:sz w:val="20"/>
          <w:szCs w:val="20"/>
          <w:lang w:val="fr-FR"/>
        </w:rPr>
        <w:t xml:space="preserve">Quatre </w:t>
      </w:r>
      <w:r w:rsidRPr="00514D53">
        <w:rPr>
          <w:rFonts w:ascii="Arial" w:hAnsi="Arial" w:cs="Arial"/>
          <w:b/>
          <w:sz w:val="20"/>
          <w:szCs w:val="20"/>
          <w:lang w:val="fr-FR"/>
        </w:rPr>
        <w:t>zones climatiques</w:t>
      </w:r>
      <w:r w:rsidRPr="00514D53">
        <w:rPr>
          <w:rFonts w:ascii="Arial" w:hAnsi="Arial" w:cs="Arial"/>
          <w:sz w:val="20"/>
          <w:szCs w:val="20"/>
          <w:lang w:val="fr-FR"/>
        </w:rPr>
        <w:t xml:space="preserve"> marquent le Mali selon un gradient Nord-Sud (DNM, 2007 ; MEA/SG, 2011) avec :</w:t>
      </w:r>
    </w:p>
    <w:p w14:paraId="6427ABB0" w14:textId="77777777" w:rsidR="00802BA9" w:rsidRPr="00514D53" w:rsidRDefault="00802BA9" w:rsidP="00514D53">
      <w:pPr>
        <w:pStyle w:val="Pardeliste"/>
        <w:numPr>
          <w:ilvl w:val="0"/>
          <w:numId w:val="34"/>
        </w:numPr>
        <w:autoSpaceDE w:val="0"/>
        <w:autoSpaceDN w:val="0"/>
        <w:adjustRightInd w:val="0"/>
        <w:spacing w:before="120" w:after="120" w:line="240" w:lineRule="auto"/>
        <w:rPr>
          <w:rFonts w:ascii="Arial" w:hAnsi="Arial" w:cs="Arial"/>
          <w:sz w:val="20"/>
          <w:szCs w:val="20"/>
          <w:lang w:val="fr-FR"/>
        </w:rPr>
      </w:pPr>
      <w:r w:rsidRPr="00514D53">
        <w:rPr>
          <w:rFonts w:ascii="Arial" w:hAnsi="Arial" w:cs="Arial"/>
          <w:sz w:val="20"/>
          <w:szCs w:val="20"/>
          <w:lang w:val="fr-FR"/>
        </w:rPr>
        <w:t>le climat saharien au Nord sur 51 % du territoire malien (Adrar-Timétrine, Azaouak, Tilemsi, Aklé-Azaouad) avec une pluviométrie annuelle de moins de 200 mm et de grands écarts de températures entre le jour et la nuit ;</w:t>
      </w:r>
    </w:p>
    <w:p w14:paraId="60F26F07" w14:textId="77777777" w:rsidR="00802BA9" w:rsidRPr="00514D53" w:rsidRDefault="00802BA9" w:rsidP="00514D53">
      <w:pPr>
        <w:pStyle w:val="Pardeliste"/>
        <w:numPr>
          <w:ilvl w:val="0"/>
          <w:numId w:val="34"/>
        </w:numPr>
        <w:autoSpaceDE w:val="0"/>
        <w:autoSpaceDN w:val="0"/>
        <w:adjustRightInd w:val="0"/>
        <w:spacing w:before="120" w:after="120" w:line="240" w:lineRule="auto"/>
        <w:rPr>
          <w:rFonts w:ascii="Arial" w:hAnsi="Arial" w:cs="Arial"/>
          <w:sz w:val="20"/>
          <w:szCs w:val="20"/>
          <w:lang w:val="fr-FR"/>
        </w:rPr>
      </w:pPr>
      <w:r w:rsidRPr="00514D53">
        <w:rPr>
          <w:rFonts w:ascii="Arial" w:hAnsi="Arial" w:cs="Arial"/>
          <w:sz w:val="20"/>
          <w:szCs w:val="20"/>
          <w:lang w:val="fr-FR"/>
        </w:rPr>
        <w:t>le climat sahélien au centre présent sur 26 % du pays avec une pluviométrie annuelle comprise entre 200 et 600 mm et une saison sèche d’une durée de 9 à 11 mois ;</w:t>
      </w:r>
    </w:p>
    <w:p w14:paraId="4F9A558E" w14:textId="77777777" w:rsidR="00802BA9" w:rsidRPr="00514D53" w:rsidRDefault="00802BA9" w:rsidP="00514D53">
      <w:pPr>
        <w:pStyle w:val="Pardeliste"/>
        <w:numPr>
          <w:ilvl w:val="0"/>
          <w:numId w:val="34"/>
        </w:numPr>
        <w:autoSpaceDE w:val="0"/>
        <w:autoSpaceDN w:val="0"/>
        <w:adjustRightInd w:val="0"/>
        <w:spacing w:before="120" w:after="120" w:line="240" w:lineRule="auto"/>
        <w:rPr>
          <w:rFonts w:ascii="Arial" w:hAnsi="Arial" w:cs="Arial"/>
          <w:sz w:val="20"/>
          <w:szCs w:val="20"/>
          <w:lang w:val="fr-FR"/>
        </w:rPr>
      </w:pPr>
      <w:r w:rsidRPr="00514D53">
        <w:rPr>
          <w:rFonts w:ascii="Arial" w:hAnsi="Arial" w:cs="Arial"/>
          <w:sz w:val="20"/>
          <w:szCs w:val="20"/>
          <w:lang w:val="fr-FR"/>
        </w:rPr>
        <w:t>le climat soudanien sur 17 % du territoire avec une pluviométrie annuelle comprise entre 600 et 1.000 mm ;</w:t>
      </w:r>
    </w:p>
    <w:p w14:paraId="6ED105A5" w14:textId="77777777" w:rsidR="00802BA9" w:rsidRPr="00514D53" w:rsidRDefault="00802BA9" w:rsidP="00514D53">
      <w:pPr>
        <w:pStyle w:val="Pardeliste"/>
        <w:numPr>
          <w:ilvl w:val="0"/>
          <w:numId w:val="34"/>
        </w:numPr>
        <w:autoSpaceDE w:val="0"/>
        <w:autoSpaceDN w:val="0"/>
        <w:adjustRightInd w:val="0"/>
        <w:spacing w:before="120" w:after="120" w:line="240" w:lineRule="auto"/>
        <w:rPr>
          <w:rFonts w:ascii="Arial" w:hAnsi="Arial" w:cs="Arial"/>
          <w:sz w:val="20"/>
          <w:szCs w:val="20"/>
          <w:lang w:val="fr-FR"/>
        </w:rPr>
      </w:pPr>
      <w:r w:rsidRPr="00514D53">
        <w:rPr>
          <w:rFonts w:ascii="Arial" w:hAnsi="Arial" w:cs="Arial"/>
          <w:sz w:val="20"/>
          <w:szCs w:val="20"/>
          <w:lang w:val="fr-FR"/>
        </w:rPr>
        <w:t>le climat soudano-guinéen au Sud couvrant 6 %  du pays (plateaux Mandingue et de Koutiala, Guidimaka, Falémé) avec une pluviométrie supérieure à 1.000 mm et une saison sèche de 6 à 9 mois.</w:t>
      </w:r>
    </w:p>
    <w:p w14:paraId="63D27BB5" w14:textId="77777777" w:rsidR="00802BA9" w:rsidRPr="00514D53" w:rsidRDefault="00802BA9" w:rsidP="00514D53">
      <w:pPr>
        <w:autoSpaceDE w:val="0"/>
        <w:autoSpaceDN w:val="0"/>
        <w:adjustRightInd w:val="0"/>
        <w:spacing w:before="120" w:after="120" w:line="240" w:lineRule="auto"/>
        <w:ind w:left="360"/>
        <w:rPr>
          <w:rFonts w:ascii="Arial" w:hAnsi="Arial" w:cs="Arial"/>
          <w:sz w:val="20"/>
          <w:szCs w:val="20"/>
          <w:lang w:val="fr-FR"/>
        </w:rPr>
      </w:pPr>
    </w:p>
    <w:p w14:paraId="1CE0B6D5" w14:textId="77777777" w:rsidR="00802BA9" w:rsidRPr="00514D53" w:rsidRDefault="00802BA9" w:rsidP="00514D53">
      <w:pPr>
        <w:autoSpaceDE w:val="0"/>
        <w:autoSpaceDN w:val="0"/>
        <w:adjustRightInd w:val="0"/>
        <w:spacing w:before="120" w:after="120" w:line="240" w:lineRule="auto"/>
        <w:rPr>
          <w:rFonts w:ascii="Arial" w:hAnsi="Arial" w:cs="Arial"/>
          <w:sz w:val="20"/>
          <w:szCs w:val="20"/>
          <w:lang w:val="fr-FR"/>
        </w:rPr>
      </w:pPr>
      <w:r w:rsidRPr="00514D53">
        <w:rPr>
          <w:rFonts w:ascii="Arial" w:hAnsi="Arial" w:cs="Arial"/>
          <w:sz w:val="20"/>
          <w:szCs w:val="20"/>
          <w:lang w:val="fr-FR"/>
        </w:rPr>
        <w:t xml:space="preserve">Ces zones climatiques sont marquées par de grandes </w:t>
      </w:r>
      <w:r w:rsidRPr="00514D53">
        <w:rPr>
          <w:rFonts w:ascii="Arial" w:hAnsi="Arial" w:cs="Arial"/>
          <w:b/>
          <w:sz w:val="20"/>
          <w:szCs w:val="20"/>
          <w:lang w:val="fr-FR"/>
        </w:rPr>
        <w:t>variabilités interannuelles et spatio-temporelles des précipitations</w:t>
      </w:r>
      <w:r w:rsidRPr="00514D53">
        <w:rPr>
          <w:rFonts w:ascii="Arial" w:hAnsi="Arial" w:cs="Arial"/>
          <w:sz w:val="20"/>
          <w:szCs w:val="20"/>
          <w:lang w:val="fr-FR"/>
        </w:rPr>
        <w:t>. De plus, ces climats sont caractérisés par des températures élevées (maximales de 34 à 37°C et minimales de 21 à 23°C), une évapotranspiration potentielle annuelle comprise entre 1500 et 2000 mm, une humidité relative comprise entre 31 et 75 % pour l’humidité maximale et entre 11 et 38 % pour l’humidité minimale. L’ensoleillement mensuel moyen varie entre 285 et 322 heures (DNM, 2007</w:t>
      </w:r>
      <w:r w:rsidR="00FB4389">
        <w:rPr>
          <w:rFonts w:ascii="Arial" w:hAnsi="Arial" w:cs="Arial"/>
          <w:sz w:val="20"/>
          <w:szCs w:val="20"/>
          <w:lang w:val="fr-FR"/>
        </w:rPr>
        <w:t xml:space="preserve"> </w:t>
      </w:r>
      <w:r w:rsidR="006261BB" w:rsidRPr="00A1464F">
        <w:rPr>
          <w:rFonts w:ascii="Arial" w:hAnsi="Arial" w:cs="Arial"/>
          <w:sz w:val="20"/>
          <w:szCs w:val="20"/>
          <w:lang w:val="fr-FR"/>
        </w:rPr>
        <w:t>e</w:t>
      </w:r>
      <w:r w:rsidR="00FB4389" w:rsidRPr="00A1464F">
        <w:rPr>
          <w:rFonts w:ascii="Arial" w:hAnsi="Arial" w:cs="Arial"/>
          <w:sz w:val="20"/>
          <w:szCs w:val="20"/>
          <w:lang w:val="fr-FR"/>
        </w:rPr>
        <w:t>n : AEDD, 2015</w:t>
      </w:r>
      <w:r w:rsidRPr="00A1464F">
        <w:rPr>
          <w:rFonts w:ascii="Arial" w:hAnsi="Arial" w:cs="Arial"/>
          <w:sz w:val="20"/>
          <w:szCs w:val="20"/>
          <w:lang w:val="fr-FR"/>
        </w:rPr>
        <w:t>).</w:t>
      </w:r>
    </w:p>
    <w:p w14:paraId="73D2C851" w14:textId="77777777" w:rsidR="00802BA9" w:rsidRPr="008E7F14" w:rsidRDefault="00802BA9" w:rsidP="00514D53">
      <w:pPr>
        <w:autoSpaceDE w:val="0"/>
        <w:autoSpaceDN w:val="0"/>
        <w:adjustRightInd w:val="0"/>
        <w:spacing w:before="120" w:after="120" w:line="240" w:lineRule="auto"/>
        <w:rPr>
          <w:rFonts w:ascii="Arial" w:hAnsi="Arial" w:cs="Arial"/>
          <w:sz w:val="20"/>
          <w:szCs w:val="20"/>
          <w:lang w:val="fr-FR"/>
        </w:rPr>
      </w:pPr>
      <w:r w:rsidRPr="00514D53">
        <w:rPr>
          <w:rFonts w:ascii="Arial" w:hAnsi="Arial" w:cs="Arial"/>
          <w:b/>
          <w:sz w:val="20"/>
          <w:szCs w:val="20"/>
          <w:lang w:val="fr-FR"/>
        </w:rPr>
        <w:t>L’évolution climatique</w:t>
      </w:r>
      <w:r w:rsidRPr="00514D53">
        <w:rPr>
          <w:rFonts w:ascii="Arial" w:hAnsi="Arial" w:cs="Arial"/>
          <w:sz w:val="20"/>
          <w:szCs w:val="20"/>
          <w:lang w:val="fr-FR"/>
        </w:rPr>
        <w:t xml:space="preserve"> du pays, depuis les sécheresses des années 70-80, se traduit par un climat plus aride. Les différents modèles utilisés montrent une étroite corrélation entre changement climatique et augmentation de la température moyenne. Celle-ci augmentera de 2°C entre la période 1961-1990 (30,5°C) et 2050 (32,5°C), ce qui entrainera systématiquement une augmentation de l’évaporation et réduira la disponibilité en eau. Par ailleurs, il est clairement mis en évidence une plus forte prévalence des évènements climatiques extrêmes (sècheresses, inondations, vents forts, vents de sable, etc.). Entre 1980 et 2007, le pays a connu cinq épisodes majeurs de sécheresse et deux grandes inondations qui ont affecté près de 3 millions de personnes (MEA, 2011). Enfin, à </w:t>
      </w:r>
      <w:r w:rsidRPr="008E7F14">
        <w:rPr>
          <w:rFonts w:ascii="Arial" w:hAnsi="Arial" w:cs="Arial"/>
          <w:sz w:val="20"/>
          <w:szCs w:val="20"/>
          <w:lang w:val="fr-FR"/>
        </w:rPr>
        <w:t>l’horizon 2100, il y a</w:t>
      </w:r>
      <w:r w:rsidR="00396E51" w:rsidRPr="008E7F14">
        <w:rPr>
          <w:rFonts w:ascii="Arial" w:hAnsi="Arial" w:cs="Arial"/>
          <w:sz w:val="20"/>
          <w:szCs w:val="20"/>
          <w:lang w:val="fr-FR"/>
        </w:rPr>
        <w:t>,</w:t>
      </w:r>
      <w:r w:rsidRPr="008E7F14">
        <w:rPr>
          <w:rFonts w:ascii="Arial" w:hAnsi="Arial" w:cs="Arial"/>
          <w:sz w:val="20"/>
          <w:szCs w:val="20"/>
          <w:lang w:val="fr-FR"/>
        </w:rPr>
        <w:t xml:space="preserve"> </w:t>
      </w:r>
      <w:r w:rsidR="00BA3A59" w:rsidRPr="008E7F14">
        <w:rPr>
          <w:rFonts w:ascii="Arial" w:hAnsi="Arial" w:cs="Arial"/>
          <w:sz w:val="20"/>
          <w:szCs w:val="20"/>
          <w:lang w:val="fr-FR"/>
        </w:rPr>
        <w:t>selon les projections du GIEC</w:t>
      </w:r>
      <w:r w:rsidR="00396E51" w:rsidRPr="008E7F14">
        <w:rPr>
          <w:rFonts w:ascii="Arial" w:hAnsi="Arial" w:cs="Arial"/>
          <w:sz w:val="20"/>
          <w:szCs w:val="20"/>
          <w:lang w:val="fr-FR"/>
        </w:rPr>
        <w:t>,</w:t>
      </w:r>
      <w:r w:rsidR="00BA3A59" w:rsidRPr="008E7F14">
        <w:rPr>
          <w:rFonts w:ascii="Arial" w:hAnsi="Arial" w:cs="Arial"/>
          <w:sz w:val="20"/>
          <w:szCs w:val="20"/>
          <w:lang w:val="fr-FR"/>
        </w:rPr>
        <w:t xml:space="preserve"> </w:t>
      </w:r>
      <w:r w:rsidRPr="008E7F14">
        <w:rPr>
          <w:rFonts w:ascii="Arial" w:hAnsi="Arial" w:cs="Arial"/>
          <w:sz w:val="20"/>
          <w:szCs w:val="20"/>
          <w:lang w:val="fr-FR"/>
        </w:rPr>
        <w:t>une diminution globale des pluies de l’ordre de 20 % par rapport à la période 1961-1990, un déplacement des isohyètes de 200 km vers le Sud, une augmentation de la variabilité des pluies</w:t>
      </w:r>
      <w:r w:rsidR="00BA3A59" w:rsidRPr="008E7F14">
        <w:rPr>
          <w:rFonts w:ascii="Arial" w:hAnsi="Arial" w:cs="Arial"/>
          <w:sz w:val="20"/>
          <w:szCs w:val="20"/>
          <w:lang w:val="fr-FR"/>
        </w:rPr>
        <w:t>, une augmentation des évènements climatiques extrêmes</w:t>
      </w:r>
      <w:r w:rsidRPr="008E7F14">
        <w:rPr>
          <w:rFonts w:ascii="Arial" w:hAnsi="Arial" w:cs="Arial"/>
          <w:sz w:val="20"/>
          <w:szCs w:val="20"/>
          <w:lang w:val="fr-FR"/>
        </w:rPr>
        <w:t xml:space="preserve"> et une diminution de la pluviométrie selon un gradient Est-Ouest (MEA</w:t>
      </w:r>
      <w:r w:rsidR="00890B97" w:rsidRPr="008E7F14">
        <w:rPr>
          <w:rFonts w:ascii="Arial" w:hAnsi="Arial" w:cs="Arial"/>
          <w:sz w:val="20"/>
          <w:szCs w:val="20"/>
          <w:lang w:val="fr-FR"/>
        </w:rPr>
        <w:t>DD</w:t>
      </w:r>
      <w:r w:rsidRPr="008E7F14">
        <w:rPr>
          <w:rFonts w:ascii="Arial" w:hAnsi="Arial" w:cs="Arial"/>
          <w:sz w:val="20"/>
          <w:szCs w:val="20"/>
          <w:lang w:val="fr-FR"/>
        </w:rPr>
        <w:t>, 201</w:t>
      </w:r>
      <w:r w:rsidR="00890B97" w:rsidRPr="008E7F14">
        <w:rPr>
          <w:rFonts w:ascii="Arial" w:hAnsi="Arial" w:cs="Arial"/>
          <w:sz w:val="20"/>
          <w:szCs w:val="20"/>
          <w:lang w:val="fr-FR"/>
        </w:rPr>
        <w:t>7</w:t>
      </w:r>
      <w:r w:rsidRPr="008E7F14">
        <w:rPr>
          <w:rFonts w:ascii="Arial" w:hAnsi="Arial" w:cs="Arial"/>
          <w:sz w:val="20"/>
          <w:szCs w:val="20"/>
          <w:lang w:val="fr-FR"/>
        </w:rPr>
        <w:t xml:space="preserve">). </w:t>
      </w:r>
    </w:p>
    <w:p w14:paraId="785BBB71" w14:textId="77777777" w:rsidR="00BA3A59" w:rsidRPr="00514D53" w:rsidRDefault="00BA3A59" w:rsidP="00514D53">
      <w:pPr>
        <w:autoSpaceDE w:val="0"/>
        <w:autoSpaceDN w:val="0"/>
        <w:adjustRightInd w:val="0"/>
        <w:spacing w:before="120" w:after="120" w:line="240" w:lineRule="auto"/>
        <w:rPr>
          <w:rFonts w:ascii="Arial" w:hAnsi="Arial" w:cs="Arial"/>
          <w:sz w:val="20"/>
          <w:szCs w:val="20"/>
          <w:lang w:val="fr-FR"/>
        </w:rPr>
      </w:pPr>
    </w:p>
    <w:p w14:paraId="7232CD2B" w14:textId="77777777" w:rsidR="00802BA9" w:rsidRPr="00514D53" w:rsidRDefault="00802BA9" w:rsidP="00514D53">
      <w:pPr>
        <w:pStyle w:val="Titre4"/>
        <w:spacing w:before="120" w:after="120"/>
        <w:rPr>
          <w:rFonts w:ascii="Arial" w:hAnsi="Arial"/>
          <w:sz w:val="20"/>
          <w:szCs w:val="20"/>
        </w:rPr>
      </w:pPr>
      <w:r w:rsidRPr="00514D53">
        <w:rPr>
          <w:rFonts w:ascii="Arial" w:hAnsi="Arial"/>
          <w:sz w:val="20"/>
          <w:szCs w:val="20"/>
        </w:rPr>
        <w:t>2.1.1.3 Les sols et leur dégradation</w:t>
      </w:r>
    </w:p>
    <w:p w14:paraId="21F5D2D9" w14:textId="77777777" w:rsidR="00802BA9" w:rsidRPr="00514D53" w:rsidRDefault="00802BA9" w:rsidP="00514D53">
      <w:pPr>
        <w:spacing w:before="120" w:after="120" w:line="240" w:lineRule="auto"/>
        <w:rPr>
          <w:rFonts w:ascii="Arial" w:eastAsia="Calibri" w:hAnsi="Arial" w:cs="Arial"/>
          <w:sz w:val="20"/>
          <w:szCs w:val="20"/>
          <w:lang w:val="fr-FR" w:eastAsia="fr-FR"/>
        </w:rPr>
      </w:pPr>
      <w:r w:rsidRPr="00514D53">
        <w:rPr>
          <w:rFonts w:ascii="Arial" w:eastAsia="Calibri" w:hAnsi="Arial" w:cs="Arial"/>
          <w:sz w:val="20"/>
          <w:szCs w:val="20"/>
          <w:lang w:val="fr-FR" w:eastAsia="fr-FR"/>
        </w:rPr>
        <w:t>Les principaux types de sols rencontrés, qui comportent une douzaine de classes, peuvent être répartis en 5 grandes catégories (PNUE, 2009) :</w:t>
      </w:r>
    </w:p>
    <w:p w14:paraId="6EA69BC8" w14:textId="77777777" w:rsidR="00802BA9" w:rsidRPr="00514D53" w:rsidRDefault="00802BA9" w:rsidP="00514D53">
      <w:pPr>
        <w:pStyle w:val="Pardeliste"/>
        <w:numPr>
          <w:ilvl w:val="0"/>
          <w:numId w:val="35"/>
        </w:numPr>
        <w:spacing w:before="120" w:after="120" w:line="240" w:lineRule="auto"/>
        <w:rPr>
          <w:rFonts w:ascii="Arial" w:eastAsia="Calibri" w:hAnsi="Arial" w:cs="Arial"/>
          <w:sz w:val="20"/>
          <w:szCs w:val="20"/>
          <w:lang w:val="fr-FR" w:eastAsia="fr-FR"/>
        </w:rPr>
      </w:pPr>
      <w:r w:rsidRPr="00514D53">
        <w:rPr>
          <w:rFonts w:ascii="Arial" w:eastAsia="Calibri" w:hAnsi="Arial" w:cs="Arial"/>
          <w:sz w:val="20"/>
          <w:szCs w:val="20"/>
          <w:lang w:val="fr-FR" w:eastAsia="fr-FR"/>
        </w:rPr>
        <w:t>les sols faiblement ferralitiques couvrant près de 2 millions d’ha (1,6 % du territoire), localisés dans l’extrême Sud du pays dans les zones bioclimatiques soudaniennes sud et guinéennes nord. Ces sols ont une aptitude agricole moyenne à bonne et présentent peu de limitations agronomiques ;</w:t>
      </w:r>
    </w:p>
    <w:p w14:paraId="08B33667" w14:textId="77777777" w:rsidR="00802BA9" w:rsidRPr="00514D53" w:rsidRDefault="00802BA9" w:rsidP="00514D53">
      <w:pPr>
        <w:pStyle w:val="Pardeliste"/>
        <w:numPr>
          <w:ilvl w:val="0"/>
          <w:numId w:val="35"/>
        </w:numPr>
        <w:spacing w:before="120" w:after="120" w:line="240" w:lineRule="auto"/>
        <w:rPr>
          <w:rFonts w:ascii="Arial" w:eastAsia="Calibri" w:hAnsi="Arial" w:cs="Arial"/>
          <w:sz w:val="20"/>
          <w:szCs w:val="20"/>
          <w:lang w:val="fr-FR" w:eastAsia="fr-FR"/>
        </w:rPr>
      </w:pPr>
      <w:r w:rsidRPr="00514D53">
        <w:rPr>
          <w:rFonts w:ascii="Arial" w:eastAsia="Calibri" w:hAnsi="Arial" w:cs="Arial"/>
          <w:sz w:val="20"/>
          <w:szCs w:val="20"/>
          <w:lang w:val="fr-FR" w:eastAsia="fr-FR"/>
        </w:rPr>
        <w:t xml:space="preserve">les sols ferrugineux tropicaux, couvrant environ 17,3 millions d’ha (13,9 % du territoire), situés dans les plaines d’épandage et plaines alluviales des zones soudanienne Nord et sahélienne Sud. Leur fertilité naturelle est faible à moyenne et localement élevée en fonction de la roche mère. Ils sont sensibles à l’acidification et à l’érosion. </w:t>
      </w:r>
    </w:p>
    <w:p w14:paraId="5E3AD2E0" w14:textId="77777777" w:rsidR="00802BA9" w:rsidRPr="00514D53" w:rsidRDefault="00802BA9" w:rsidP="00514D53">
      <w:pPr>
        <w:pStyle w:val="Pardeliste"/>
        <w:numPr>
          <w:ilvl w:val="0"/>
          <w:numId w:val="35"/>
        </w:numPr>
        <w:spacing w:before="120" w:after="120" w:line="240" w:lineRule="auto"/>
        <w:rPr>
          <w:rFonts w:ascii="Arial" w:eastAsia="Calibri" w:hAnsi="Arial" w:cs="Arial"/>
          <w:sz w:val="20"/>
          <w:szCs w:val="20"/>
          <w:lang w:val="fr-FR" w:eastAsia="fr-FR"/>
        </w:rPr>
      </w:pPr>
      <w:r w:rsidRPr="00514D53">
        <w:rPr>
          <w:rFonts w:ascii="Arial" w:eastAsia="Calibri" w:hAnsi="Arial" w:cs="Arial"/>
          <w:sz w:val="20"/>
          <w:szCs w:val="20"/>
          <w:lang w:val="fr-FR" w:eastAsia="fr-FR"/>
        </w:rPr>
        <w:t>les sols subarides, qui se développent sur matériaux sableux, rencontrés dans la zone soudanienne Nord et sahélienne Sud sur environ 34 % du territoire ;</w:t>
      </w:r>
    </w:p>
    <w:p w14:paraId="11B8C3D4" w14:textId="77777777" w:rsidR="00802BA9" w:rsidRPr="00514D53" w:rsidRDefault="00802BA9" w:rsidP="00514D53">
      <w:pPr>
        <w:pStyle w:val="Pardeliste"/>
        <w:numPr>
          <w:ilvl w:val="0"/>
          <w:numId w:val="35"/>
        </w:numPr>
        <w:spacing w:before="120" w:after="120" w:line="240" w:lineRule="auto"/>
        <w:rPr>
          <w:rFonts w:ascii="Arial" w:eastAsia="Calibri" w:hAnsi="Arial" w:cs="Arial"/>
          <w:sz w:val="20"/>
          <w:szCs w:val="20"/>
          <w:lang w:val="fr-FR" w:eastAsia="fr-FR"/>
        </w:rPr>
      </w:pPr>
      <w:r w:rsidRPr="00514D53">
        <w:rPr>
          <w:rFonts w:ascii="Arial" w:eastAsia="Calibri" w:hAnsi="Arial" w:cs="Arial"/>
          <w:sz w:val="20"/>
          <w:szCs w:val="20"/>
          <w:lang w:val="fr-FR" w:eastAsia="fr-FR"/>
        </w:rPr>
        <w:t>les sols peu évolués de la zone sahélienne Nord et désertique, couvrant 35 % du territoire national. Ces sols sont dépourvus de matière organique et sont particulièrement sensibles à l’érosion hydrique et éolienne ;</w:t>
      </w:r>
    </w:p>
    <w:p w14:paraId="783D576E" w14:textId="77777777" w:rsidR="00802BA9" w:rsidRPr="00514D53" w:rsidRDefault="00802BA9" w:rsidP="00514D53">
      <w:pPr>
        <w:pStyle w:val="Pardeliste"/>
        <w:numPr>
          <w:ilvl w:val="0"/>
          <w:numId w:val="35"/>
        </w:numPr>
        <w:spacing w:before="120" w:after="120" w:line="240" w:lineRule="auto"/>
        <w:rPr>
          <w:rFonts w:ascii="Arial" w:eastAsia="Calibri" w:hAnsi="Arial" w:cs="Arial"/>
          <w:sz w:val="20"/>
          <w:szCs w:val="20"/>
          <w:lang w:val="fr-FR" w:eastAsia="fr-FR"/>
        </w:rPr>
      </w:pPr>
      <w:r w:rsidRPr="00514D53">
        <w:rPr>
          <w:rFonts w:ascii="Arial" w:eastAsia="Calibri" w:hAnsi="Arial" w:cs="Arial"/>
          <w:sz w:val="20"/>
          <w:szCs w:val="20"/>
          <w:lang w:val="fr-FR" w:eastAsia="fr-FR"/>
        </w:rPr>
        <w:t>les sols hydromorphes et les vertisols, couvrant 5 % du territoire, localisés dans les dépressions et cuvettes du delta (mort et central), de la Boucle du Niger, de la zone lacustre,... Ces sols, s’ils sont bien drainés, présentent une bonne aptitude agricole, mais sont carencés en</w:t>
      </w:r>
      <w:r w:rsidR="00514D53">
        <w:rPr>
          <w:rFonts w:ascii="Arial" w:eastAsia="Calibri" w:hAnsi="Arial" w:cs="Arial"/>
          <w:sz w:val="20"/>
          <w:szCs w:val="20"/>
          <w:lang w:val="fr-FR" w:eastAsia="fr-FR"/>
        </w:rPr>
        <w:t xml:space="preserve"> phosphore, potassium et soufre.</w:t>
      </w:r>
    </w:p>
    <w:p w14:paraId="645018BC" w14:textId="77777777" w:rsidR="00802BA9" w:rsidRPr="00514D53" w:rsidRDefault="00802BA9" w:rsidP="00514D53">
      <w:pPr>
        <w:spacing w:before="120" w:after="120" w:line="240" w:lineRule="auto"/>
        <w:rPr>
          <w:rFonts w:ascii="Arial" w:eastAsia="Calibri" w:hAnsi="Arial" w:cs="Arial"/>
          <w:sz w:val="20"/>
          <w:szCs w:val="20"/>
          <w:lang w:val="fr-FR" w:eastAsia="fr-FR"/>
        </w:rPr>
      </w:pPr>
      <w:r w:rsidRPr="00514D53">
        <w:rPr>
          <w:rFonts w:ascii="Arial" w:eastAsia="Calibri" w:hAnsi="Arial" w:cs="Arial"/>
          <w:sz w:val="20"/>
          <w:szCs w:val="20"/>
          <w:lang w:val="fr-FR" w:eastAsia="fr-FR"/>
        </w:rPr>
        <w:t xml:space="preserve">La dégradation des terres s’est accélérée avec les pressions humaine et animale depuis les 30 dernières années (épuisement de la fertilité des terres agricoles et dégradation des écosystèmes forestiers, réduction des parcours). Le phénomène se traduit par : (i) la salinisation des terres agricoles (20.000 ha selon </w:t>
      </w:r>
      <w:r w:rsidRPr="00514D53">
        <w:rPr>
          <w:rFonts w:ascii="Arial" w:eastAsia="Calibri" w:hAnsi="Arial" w:cs="Arial"/>
          <w:sz w:val="20"/>
          <w:szCs w:val="20"/>
          <w:lang w:val="fr-FR" w:eastAsia="fr-FR"/>
        </w:rPr>
        <w:lastRenderedPageBreak/>
        <w:t>TERRASTAT) et l’accroissement de l’alcalinité, notamment en zone rizicole, (ii) l’érosion hydro-éolienne accélérée des sols entrainant la perte de fertilité, l’encroûtement, la perte de la structure des sols et en conséquence, la diminution de la couverture végétale et la perte de biodiversité et (iii) la réduction de la profondeur de la terre végétale, entraînant une baisse de la capacité de rétention en l’eau et des nutriments (dans toutes les zones). En outre, cette dégradation des terres s’est accentuée avec le changement climatique.</w:t>
      </w:r>
      <w:r w:rsidRPr="00514D53">
        <w:rPr>
          <w:rFonts w:ascii="Arial" w:hAnsi="Arial" w:cs="Arial"/>
          <w:sz w:val="20"/>
          <w:szCs w:val="20"/>
        </w:rPr>
        <w:t xml:space="preserve"> Plus de 70% du potentiel d’érosion annuel est produit entre mi-avril et mi-juillet, par des évènements durant moins de 3 heures (Bergametti et al. 2017). </w:t>
      </w:r>
      <w:r w:rsidRPr="00514D53">
        <w:rPr>
          <w:rFonts w:ascii="Arial" w:eastAsia="Calibri" w:hAnsi="Arial" w:cs="Arial"/>
          <w:sz w:val="20"/>
          <w:szCs w:val="20"/>
          <w:lang w:val="fr-FR" w:eastAsia="fr-FR"/>
        </w:rPr>
        <w:t>La création des dunes, due à l’impact accru de l’érosion éolienne sur des sols dégradés et déstabilisés réduit la productivité agricole, forestière et pastorale. Les pertes annuelles en terres arables</w:t>
      </w:r>
      <w:r w:rsidR="00336AB6" w:rsidRPr="00514D53">
        <w:rPr>
          <w:rStyle w:val="Appelnotedebasdep"/>
          <w:rFonts w:ascii="Arial" w:eastAsia="Calibri" w:hAnsi="Arial" w:cs="Arial"/>
          <w:color w:val="7030A0"/>
          <w:sz w:val="20"/>
          <w:szCs w:val="20"/>
          <w:lang w:val="fr-FR" w:eastAsia="fr-FR"/>
        </w:rPr>
        <w:footnoteReference w:id="5"/>
      </w:r>
      <w:r w:rsidRPr="00514D53">
        <w:rPr>
          <w:rFonts w:ascii="Arial" w:eastAsia="Calibri" w:hAnsi="Arial" w:cs="Arial"/>
          <w:sz w:val="20"/>
          <w:szCs w:val="20"/>
          <w:lang w:val="fr-FR" w:eastAsia="fr-FR"/>
        </w:rPr>
        <w:t xml:space="preserve"> sur les 3 à 3,5 millions d'ha de terres cultivées annuellement sont en moyenne de 6,5 tonnes/ha et peuvent atteindre plus de 30 tonnes/ha dans certaines zones (CSI-GDT). L’IER (2016) indique que « </w:t>
      </w:r>
      <w:r w:rsidRPr="00514D53">
        <w:rPr>
          <w:rFonts w:ascii="Arial" w:eastAsia="Calibri" w:hAnsi="Arial" w:cs="Arial"/>
          <w:i/>
          <w:sz w:val="20"/>
          <w:szCs w:val="20"/>
          <w:lang w:val="fr-FR" w:eastAsia="fr-FR"/>
        </w:rPr>
        <w:t>dans le Bélédougou -région de Koulikoro- les valeurs moyennes des pertes en terre par unité de surface sont 5,6 t. ha-1 et 8,2 t. ha-1, respectivement entre 1986 et 2015 et 0,4 t. ha-1 avec l’application des pratiques de conservation des eaux et des sols</w:t>
      </w:r>
      <w:r w:rsidRPr="00514D53">
        <w:rPr>
          <w:rStyle w:val="Appelnotedebasdep"/>
          <w:rFonts w:ascii="Arial" w:eastAsia="Calibri" w:hAnsi="Arial" w:cs="Arial"/>
          <w:i/>
          <w:sz w:val="20"/>
          <w:szCs w:val="20"/>
          <w:lang w:val="fr-FR" w:eastAsia="fr-FR"/>
        </w:rPr>
        <w:footnoteReference w:id="6"/>
      </w:r>
      <w:r w:rsidRPr="00514D53">
        <w:rPr>
          <w:rFonts w:ascii="Arial" w:eastAsia="Calibri" w:hAnsi="Arial" w:cs="Arial"/>
          <w:sz w:val="20"/>
          <w:szCs w:val="20"/>
          <w:lang w:val="fr-FR" w:eastAsia="fr-FR"/>
        </w:rPr>
        <w:t xml:space="preserve"> ». Sur de nombreux sites, la capacité </w:t>
      </w:r>
      <w:r w:rsidRPr="008E7F14">
        <w:rPr>
          <w:rFonts w:ascii="Arial" w:eastAsia="Calibri" w:hAnsi="Arial" w:cs="Arial"/>
          <w:sz w:val="20"/>
          <w:szCs w:val="20"/>
          <w:lang w:val="fr-FR" w:eastAsia="fr-FR"/>
        </w:rPr>
        <w:t xml:space="preserve">de charge </w:t>
      </w:r>
      <w:r w:rsidR="00087628" w:rsidRPr="008E7F14">
        <w:rPr>
          <w:rFonts w:ascii="Arial" w:eastAsia="Calibri" w:hAnsi="Arial" w:cs="Arial"/>
          <w:sz w:val="20"/>
          <w:szCs w:val="20"/>
          <w:lang w:val="fr-FR" w:eastAsia="fr-FR"/>
        </w:rPr>
        <w:t>des pâturages</w:t>
      </w:r>
      <w:r w:rsidR="00087628" w:rsidRPr="008E7F14">
        <w:rPr>
          <w:rStyle w:val="Appelnotedebasdep"/>
          <w:rFonts w:ascii="Arial" w:eastAsia="Calibri" w:hAnsi="Arial" w:cs="Arial"/>
          <w:sz w:val="20"/>
          <w:szCs w:val="20"/>
          <w:lang w:val="fr-FR" w:eastAsia="fr-FR"/>
        </w:rPr>
        <w:footnoteReference w:id="7"/>
      </w:r>
      <w:r w:rsidR="00087628" w:rsidRPr="008E7F14">
        <w:rPr>
          <w:rFonts w:ascii="Arial" w:eastAsia="Calibri" w:hAnsi="Arial" w:cs="Arial"/>
          <w:sz w:val="20"/>
          <w:szCs w:val="20"/>
          <w:lang w:val="fr-FR" w:eastAsia="fr-FR"/>
        </w:rPr>
        <w:t xml:space="preserve"> </w:t>
      </w:r>
      <w:r w:rsidRPr="008E7F14">
        <w:rPr>
          <w:rFonts w:ascii="Arial" w:eastAsia="Calibri" w:hAnsi="Arial" w:cs="Arial"/>
          <w:sz w:val="20"/>
          <w:szCs w:val="20"/>
          <w:lang w:val="fr-FR" w:eastAsia="fr-FR"/>
        </w:rPr>
        <w:t>est dépassée et près de 26% des terres cultivées sont des terres marginales. Les pertes économiques</w:t>
      </w:r>
      <w:r w:rsidR="00087628" w:rsidRPr="008E7F14">
        <w:rPr>
          <w:rFonts w:ascii="Arial" w:eastAsia="Calibri" w:hAnsi="Arial" w:cs="Arial"/>
          <w:sz w:val="20"/>
          <w:szCs w:val="20"/>
          <w:lang w:val="fr-FR" w:eastAsia="fr-FR"/>
        </w:rPr>
        <w:t>, ou profits potentiels non réalisés,</w:t>
      </w:r>
      <w:r w:rsidRPr="008E7F14">
        <w:rPr>
          <w:rFonts w:ascii="Arial" w:eastAsia="Calibri" w:hAnsi="Arial" w:cs="Arial"/>
          <w:sz w:val="20"/>
          <w:szCs w:val="20"/>
          <w:lang w:val="fr-FR" w:eastAsia="fr-FR"/>
        </w:rPr>
        <w:t xml:space="preserve"> liées à cette dégradation sont estimées à 4.239 FCFA/ha/an pour les terres marginales cultivées et 90.000 FCFA/h</w:t>
      </w:r>
      <w:r w:rsidRPr="00514D53">
        <w:rPr>
          <w:rFonts w:ascii="Arial" w:eastAsia="Calibri" w:hAnsi="Arial" w:cs="Arial"/>
          <w:sz w:val="20"/>
          <w:szCs w:val="20"/>
          <w:lang w:val="fr-FR" w:eastAsia="fr-FR"/>
        </w:rPr>
        <w:t>a/an en zone soudanienne suite à la perte d’éléments fertilisants. Le coût total annuel est estimé à environ 12% du PIB (PNUD/MEA, 2009).</w:t>
      </w:r>
    </w:p>
    <w:p w14:paraId="6FD1D536" w14:textId="77777777" w:rsidR="00802BA9" w:rsidRPr="00514D53" w:rsidRDefault="00802BA9" w:rsidP="00514D53">
      <w:pPr>
        <w:spacing w:before="120" w:after="120" w:line="240" w:lineRule="auto"/>
        <w:rPr>
          <w:rFonts w:ascii="Arial" w:eastAsia="Calibri" w:hAnsi="Arial" w:cs="Arial"/>
          <w:sz w:val="20"/>
          <w:szCs w:val="20"/>
          <w:lang w:val="fr-FR" w:eastAsia="fr-FR"/>
        </w:rPr>
      </w:pPr>
    </w:p>
    <w:p w14:paraId="5FED6E8D" w14:textId="77777777" w:rsidR="00802BA9" w:rsidRPr="00514D53" w:rsidRDefault="00802BA9" w:rsidP="00514D53">
      <w:pPr>
        <w:pStyle w:val="Titre4"/>
        <w:spacing w:before="120" w:after="120"/>
        <w:rPr>
          <w:rFonts w:ascii="Arial" w:hAnsi="Arial"/>
          <w:sz w:val="20"/>
          <w:szCs w:val="20"/>
        </w:rPr>
      </w:pPr>
      <w:r w:rsidRPr="00514D53">
        <w:rPr>
          <w:rFonts w:ascii="Arial" w:hAnsi="Arial"/>
          <w:sz w:val="20"/>
          <w:szCs w:val="20"/>
        </w:rPr>
        <w:t>2.1.1.4 Les ressources géologiques et minières</w:t>
      </w:r>
    </w:p>
    <w:p w14:paraId="32B713D4" w14:textId="77777777" w:rsidR="00802BA9" w:rsidRPr="00514D53" w:rsidRDefault="00802BA9" w:rsidP="00514D53">
      <w:pPr>
        <w:spacing w:before="120" w:after="120" w:line="240" w:lineRule="auto"/>
        <w:rPr>
          <w:rFonts w:ascii="Arial" w:eastAsia="Calibri" w:hAnsi="Arial" w:cs="Arial"/>
          <w:sz w:val="20"/>
          <w:szCs w:val="20"/>
          <w:lang w:val="fr-FR" w:eastAsia="fr-FR"/>
        </w:rPr>
      </w:pPr>
      <w:r w:rsidRPr="00514D53">
        <w:rPr>
          <w:rFonts w:ascii="Arial" w:eastAsia="Calibri" w:hAnsi="Arial" w:cs="Arial"/>
          <w:sz w:val="20"/>
          <w:szCs w:val="20"/>
          <w:lang w:val="fr-FR" w:eastAsia="fr-FR"/>
        </w:rPr>
        <w:t xml:space="preserve">Le pays se caractérise par la prédominance de plateaux gréseux constitués du Plateau Mandingue et du Plateau de Koutiala dans la falaise de Bandiagara et qui se prolongent à l’Est par un chapelet de collines résiduelles dans la zone de Hombori. Au Nord du </w:t>
      </w:r>
      <w:r w:rsidRPr="008E7F14">
        <w:rPr>
          <w:rFonts w:ascii="Arial" w:eastAsia="Calibri" w:hAnsi="Arial" w:cs="Arial"/>
          <w:sz w:val="20"/>
          <w:szCs w:val="20"/>
          <w:lang w:val="fr-FR" w:eastAsia="fr-FR"/>
        </w:rPr>
        <w:t xml:space="preserve">Plateau Mandingue </w:t>
      </w:r>
      <w:r w:rsidR="00396E51" w:rsidRPr="008E7F14">
        <w:rPr>
          <w:rFonts w:ascii="Arial" w:eastAsia="Calibri" w:hAnsi="Arial" w:cs="Arial"/>
          <w:sz w:val="20"/>
          <w:szCs w:val="20"/>
          <w:lang w:val="fr-FR" w:eastAsia="fr-FR"/>
        </w:rPr>
        <w:t xml:space="preserve">jusqu’à la frontière mauritanienne </w:t>
      </w:r>
      <w:r w:rsidRPr="008E7F14">
        <w:rPr>
          <w:rFonts w:ascii="Arial" w:eastAsia="Calibri" w:hAnsi="Arial" w:cs="Arial"/>
          <w:sz w:val="20"/>
          <w:szCs w:val="20"/>
          <w:lang w:val="fr-FR" w:eastAsia="fr-FR"/>
        </w:rPr>
        <w:t xml:space="preserve">s’étend un ensemble de plaines partiellement ensablées </w:t>
      </w:r>
      <w:r w:rsidR="00396E51" w:rsidRPr="008E7F14">
        <w:rPr>
          <w:rFonts w:ascii="Arial" w:eastAsia="Calibri" w:hAnsi="Arial" w:cs="Arial"/>
          <w:sz w:val="20"/>
          <w:szCs w:val="20"/>
          <w:lang w:val="fr-FR" w:eastAsia="fr-FR"/>
        </w:rPr>
        <w:t xml:space="preserve">du Hodh </w:t>
      </w:r>
      <w:r w:rsidR="00EA364E" w:rsidRPr="008E7F14">
        <w:rPr>
          <w:rFonts w:ascii="Arial" w:eastAsia="Calibri" w:hAnsi="Arial" w:cs="Arial"/>
          <w:sz w:val="20"/>
          <w:szCs w:val="20"/>
          <w:lang w:val="fr-FR" w:eastAsia="fr-FR"/>
        </w:rPr>
        <w:t>(faisant part</w:t>
      </w:r>
      <w:r w:rsidR="00396E51" w:rsidRPr="008E7F14">
        <w:rPr>
          <w:rFonts w:ascii="Arial" w:eastAsia="Calibri" w:hAnsi="Arial" w:cs="Arial"/>
          <w:sz w:val="20"/>
          <w:szCs w:val="20"/>
          <w:lang w:val="fr-FR" w:eastAsia="fr-FR"/>
        </w:rPr>
        <w:t>ie</w:t>
      </w:r>
      <w:r w:rsidR="00EA364E" w:rsidRPr="008E7F14">
        <w:rPr>
          <w:rFonts w:ascii="Arial" w:eastAsia="Calibri" w:hAnsi="Arial" w:cs="Arial"/>
          <w:sz w:val="20"/>
          <w:szCs w:val="20"/>
          <w:lang w:val="fr-FR" w:eastAsia="fr-FR"/>
        </w:rPr>
        <w:t xml:space="preserve"> du bassin de Taoudenit)</w:t>
      </w:r>
      <w:r w:rsidRPr="008E7F14">
        <w:rPr>
          <w:rFonts w:ascii="Arial" w:eastAsia="Calibri" w:hAnsi="Arial" w:cs="Arial"/>
          <w:sz w:val="20"/>
          <w:szCs w:val="20"/>
          <w:lang w:val="fr-FR" w:eastAsia="fr-FR"/>
        </w:rPr>
        <w:t>. L</w:t>
      </w:r>
      <w:r w:rsidRPr="00514D53">
        <w:rPr>
          <w:rFonts w:ascii="Arial" w:eastAsia="Calibri" w:hAnsi="Arial" w:cs="Arial"/>
          <w:sz w:val="20"/>
          <w:szCs w:val="20"/>
          <w:lang w:val="fr-FR" w:eastAsia="fr-FR"/>
        </w:rPr>
        <w:t>e plateau basaltique du Kaarta domine les plaines et glacis d’érosion de la vallée du fleuve Sénégal. Le centre du pays, occupé par le Delta Intérieur du fleuve Niger est caractérisé par de vastes plaines alluviales. Dans la zone de Goundam, des dunes et des petites collines rocheuses limitent les plaines du delta où se sont formés des lacs. Un second ensemble de plaines s’étend entre la boucle du fleuve Niger et le plateau Dogon. A ce niveau se trouvent des dunes fixes et de petites collines émergeant des plaines caillouteuses ou ensablées. L’Adrar des Ifoghas au Nord-est du pays constitue une extension des massifs cristallins du Sahara central. A l’Ouest il est longé par la vallée fossile du Tilemsi. Au Sud-ouest du massif se trouvent les plateaux et plaines de Tamesna et la vallée de l’Azaouak.</w:t>
      </w:r>
    </w:p>
    <w:p w14:paraId="3480887A" w14:textId="77777777" w:rsidR="00802BA9" w:rsidRPr="00514D53" w:rsidRDefault="00802BA9" w:rsidP="00514D53">
      <w:pPr>
        <w:spacing w:before="120" w:after="120" w:line="240" w:lineRule="auto"/>
        <w:rPr>
          <w:rFonts w:ascii="Arial" w:eastAsia="Times New Roman" w:hAnsi="Arial" w:cs="Arial"/>
          <w:sz w:val="20"/>
          <w:szCs w:val="20"/>
          <w:lang w:val="fr-FR" w:eastAsia="fr-FR"/>
        </w:rPr>
      </w:pPr>
      <w:r w:rsidRPr="00514D53">
        <w:rPr>
          <w:rFonts w:ascii="Arial" w:eastAsia="Calibri" w:hAnsi="Arial" w:cs="Arial"/>
          <w:sz w:val="20"/>
          <w:szCs w:val="20"/>
          <w:lang w:val="fr-FR" w:eastAsia="fr-FR"/>
        </w:rPr>
        <w:t>Le sous-sol regorge d’importants gisements miniers avec l’or, le calcaire, le fer, la bauxite, les phosphates, l’uranium, le diamant, le manganèse, le cuivre – plomb – zinc (non exploité), et le gypse (non exploité depuis 1991), considérés parmi les plus importantes ressources</w:t>
      </w:r>
      <w:r w:rsidRPr="00514D53">
        <w:rPr>
          <w:rStyle w:val="Appelnotedebasdep"/>
          <w:rFonts w:ascii="Arial" w:eastAsia="Calibri" w:hAnsi="Arial" w:cs="Arial"/>
          <w:sz w:val="20"/>
          <w:szCs w:val="20"/>
          <w:lang w:val="fr-FR" w:eastAsia="fr-FR"/>
        </w:rPr>
        <w:footnoteReference w:id="8"/>
      </w:r>
      <w:r w:rsidRPr="00514D53">
        <w:rPr>
          <w:rFonts w:ascii="Arial" w:eastAsia="Calibri" w:hAnsi="Arial" w:cs="Arial"/>
          <w:sz w:val="20"/>
          <w:szCs w:val="20"/>
          <w:lang w:val="fr-FR" w:eastAsia="fr-FR"/>
        </w:rPr>
        <w:t>. En outre, les études ont démontré d’importantes réserves pétrolières, notamment, dans le nord du pays</w:t>
      </w:r>
      <w:r w:rsidRPr="00514D53">
        <w:rPr>
          <w:rStyle w:val="Appelnotedebasdep"/>
          <w:rFonts w:ascii="Arial" w:eastAsia="Calibri" w:hAnsi="Arial" w:cs="Arial"/>
          <w:sz w:val="20"/>
          <w:szCs w:val="20"/>
          <w:lang w:val="fr-FR" w:eastAsia="fr-FR"/>
        </w:rPr>
        <w:footnoteReference w:id="9"/>
      </w:r>
      <w:r w:rsidRPr="00514D53">
        <w:rPr>
          <w:rFonts w:ascii="Arial" w:eastAsia="Calibri" w:hAnsi="Arial" w:cs="Arial"/>
          <w:sz w:val="20"/>
          <w:szCs w:val="20"/>
          <w:lang w:val="fr-FR" w:eastAsia="fr-FR"/>
        </w:rPr>
        <w:t xml:space="preserve"> ainsi que des découvertes intéressantes sur le lithium (</w:t>
      </w:r>
      <w:hyperlink r:id="rId15" w:history="1">
        <w:r w:rsidRPr="00514D53">
          <w:rPr>
            <w:rStyle w:val="Lienhypertexte"/>
            <w:rFonts w:ascii="Arial" w:hAnsi="Arial" w:cs="Arial"/>
            <w:color w:val="auto"/>
            <w:sz w:val="20"/>
            <w:szCs w:val="20"/>
            <w:lang w:val="fr-FR"/>
          </w:rPr>
          <w:t>http://www.apimali.gov.ml/mines</w:t>
        </w:r>
      </w:hyperlink>
      <w:r w:rsidRPr="00514D53">
        <w:rPr>
          <w:rFonts w:ascii="Arial" w:eastAsia="Calibri" w:hAnsi="Arial" w:cs="Arial"/>
          <w:sz w:val="20"/>
          <w:szCs w:val="20"/>
          <w:lang w:val="fr-FR" w:eastAsia="fr-FR"/>
        </w:rPr>
        <w:t xml:space="preserve">) avec 4 millions de tonnes à Bougouni (PNUD, 2015). </w:t>
      </w:r>
      <w:r w:rsidRPr="00514D53">
        <w:rPr>
          <w:rFonts w:ascii="Arial" w:eastAsia="Times New Roman" w:hAnsi="Arial" w:cs="Arial"/>
          <w:sz w:val="20"/>
          <w:szCs w:val="20"/>
          <w:lang w:val="fr-FR" w:eastAsia="fr-FR"/>
        </w:rPr>
        <w:t>Les inventaires ont permis de distinguer 3 grandes régions minières avec la région Ouest (Kayes et Kéniéba), celle du Sud (Kangaba, Sikasso, Yanfolila et Bougouni) et la région Nord (Kidal).</w:t>
      </w:r>
    </w:p>
    <w:p w14:paraId="42008FB4" w14:textId="77777777" w:rsidR="00802BA9" w:rsidRPr="00514D53" w:rsidRDefault="00802BA9" w:rsidP="00514D53">
      <w:pPr>
        <w:spacing w:before="120" w:after="120" w:line="240" w:lineRule="auto"/>
        <w:rPr>
          <w:rFonts w:ascii="Arial" w:eastAsia="Calibri" w:hAnsi="Arial" w:cs="Arial"/>
          <w:color w:val="7030A0"/>
          <w:sz w:val="20"/>
          <w:szCs w:val="20"/>
          <w:lang w:val="fr-FR" w:eastAsia="fr-FR"/>
        </w:rPr>
      </w:pPr>
    </w:p>
    <w:p w14:paraId="2A95CEFF" w14:textId="77777777" w:rsidR="00802BA9" w:rsidRPr="00514D53" w:rsidRDefault="00802BA9" w:rsidP="00514D53">
      <w:pPr>
        <w:pStyle w:val="Titre4"/>
        <w:spacing w:before="120" w:after="120"/>
        <w:rPr>
          <w:rFonts w:ascii="Arial" w:hAnsi="Arial"/>
          <w:sz w:val="20"/>
          <w:szCs w:val="20"/>
        </w:rPr>
      </w:pPr>
      <w:r w:rsidRPr="00514D53">
        <w:rPr>
          <w:rFonts w:ascii="Arial" w:hAnsi="Arial"/>
          <w:sz w:val="20"/>
          <w:szCs w:val="20"/>
        </w:rPr>
        <w:lastRenderedPageBreak/>
        <w:t xml:space="preserve">2.1.1.5 Les ressources en eaux et leur qualité </w:t>
      </w:r>
    </w:p>
    <w:p w14:paraId="5032E7F9" w14:textId="77777777" w:rsidR="00802BA9" w:rsidRPr="00514D53" w:rsidRDefault="00802BA9" w:rsidP="00514D53">
      <w:pPr>
        <w:keepNext/>
        <w:keepLines/>
        <w:suppressLineNumbers/>
        <w:suppressAutoHyphens/>
        <w:spacing w:before="120" w:after="120" w:line="240" w:lineRule="auto"/>
        <w:rPr>
          <w:rFonts w:ascii="Arial" w:hAnsi="Arial" w:cs="Arial"/>
          <w:sz w:val="20"/>
          <w:szCs w:val="20"/>
          <w:lang w:val="fr-FR"/>
        </w:rPr>
      </w:pPr>
      <w:r w:rsidRPr="00514D53">
        <w:rPr>
          <w:rFonts w:ascii="Arial" w:hAnsi="Arial" w:cs="Arial"/>
          <w:sz w:val="20"/>
          <w:szCs w:val="20"/>
          <w:lang w:val="fr-FR"/>
        </w:rPr>
        <w:t xml:space="preserve">Les </w:t>
      </w:r>
      <w:r w:rsidRPr="00514D53">
        <w:rPr>
          <w:rFonts w:ascii="Arial" w:hAnsi="Arial" w:cs="Arial"/>
          <w:b/>
          <w:sz w:val="20"/>
          <w:szCs w:val="20"/>
          <w:lang w:val="fr-FR"/>
        </w:rPr>
        <w:t>ressources en eau de surface pérennes</w:t>
      </w:r>
      <w:r w:rsidRPr="00514D53">
        <w:rPr>
          <w:rFonts w:ascii="Arial" w:hAnsi="Arial" w:cs="Arial"/>
          <w:sz w:val="20"/>
          <w:szCs w:val="20"/>
          <w:lang w:val="fr-FR"/>
        </w:rPr>
        <w:t xml:space="preserve"> proviennent :</w:t>
      </w:r>
    </w:p>
    <w:p w14:paraId="4BFA2568" w14:textId="77777777" w:rsidR="00802BA9" w:rsidRPr="00514D53" w:rsidRDefault="00802BA9" w:rsidP="00514D53">
      <w:pPr>
        <w:keepNext/>
        <w:keepLines/>
        <w:numPr>
          <w:ilvl w:val="0"/>
          <w:numId w:val="36"/>
        </w:numPr>
        <w:suppressLineNumbers/>
        <w:suppressAutoHyphens/>
        <w:spacing w:before="120" w:after="120" w:line="240" w:lineRule="auto"/>
        <w:contextualSpacing/>
        <w:rPr>
          <w:rFonts w:ascii="Arial" w:hAnsi="Arial" w:cs="Arial"/>
          <w:sz w:val="20"/>
          <w:szCs w:val="20"/>
          <w:lang w:val="fr-FR"/>
        </w:rPr>
      </w:pPr>
      <w:r w:rsidRPr="00514D53">
        <w:rPr>
          <w:rFonts w:ascii="Arial" w:hAnsi="Arial" w:cs="Arial"/>
          <w:sz w:val="20"/>
          <w:szCs w:val="20"/>
          <w:lang w:val="fr-FR"/>
        </w:rPr>
        <w:t xml:space="preserve">du fleuve Niger et de ses affluents, les principaux étant le Bani (900 km de long) et le Sakarani (490 km de long) qui traversent le pays sur 1.700 km d’Est en Ouest. Son potentiel d’écoulement moyen annuel est évalué à 46 milliards de m³ au niveau de Koulikoro ; </w:t>
      </w:r>
    </w:p>
    <w:p w14:paraId="5679DA7A" w14:textId="77777777" w:rsidR="00802BA9" w:rsidRPr="00514D53" w:rsidRDefault="00802BA9" w:rsidP="00514D53">
      <w:pPr>
        <w:keepNext/>
        <w:keepLines/>
        <w:numPr>
          <w:ilvl w:val="0"/>
          <w:numId w:val="36"/>
        </w:numPr>
        <w:suppressLineNumbers/>
        <w:suppressAutoHyphens/>
        <w:spacing w:before="120" w:after="120" w:line="240" w:lineRule="auto"/>
        <w:contextualSpacing/>
        <w:rPr>
          <w:rFonts w:ascii="Arial" w:hAnsi="Arial" w:cs="Arial"/>
          <w:sz w:val="20"/>
          <w:szCs w:val="20"/>
          <w:lang w:val="fr-FR"/>
        </w:rPr>
      </w:pPr>
      <w:r w:rsidRPr="00514D53">
        <w:rPr>
          <w:rFonts w:ascii="Arial" w:hAnsi="Arial" w:cs="Arial"/>
          <w:sz w:val="20"/>
          <w:szCs w:val="20"/>
          <w:lang w:val="fr-FR"/>
        </w:rPr>
        <w:t xml:space="preserve">du fleuve Sénégal à l’Ouest qui s’entend sur 900 km et a un écoulement moyen annuel de 10,5 milliards de m³; </w:t>
      </w:r>
    </w:p>
    <w:p w14:paraId="1BBF500A" w14:textId="77777777" w:rsidR="00802BA9" w:rsidRPr="00514D53" w:rsidRDefault="00802BA9" w:rsidP="00514D53">
      <w:pPr>
        <w:numPr>
          <w:ilvl w:val="0"/>
          <w:numId w:val="36"/>
        </w:numPr>
        <w:spacing w:before="120" w:after="120" w:line="240" w:lineRule="auto"/>
        <w:rPr>
          <w:rFonts w:ascii="Arial" w:hAnsi="Arial" w:cs="Arial"/>
          <w:sz w:val="20"/>
          <w:szCs w:val="20"/>
          <w:lang w:val="fr-FR"/>
        </w:rPr>
      </w:pPr>
      <w:r w:rsidRPr="00514D53">
        <w:rPr>
          <w:rFonts w:ascii="Arial" w:hAnsi="Arial" w:cs="Arial"/>
          <w:sz w:val="20"/>
          <w:szCs w:val="20"/>
          <w:lang w:val="fr-FR"/>
        </w:rPr>
        <w:t xml:space="preserve">du Sourou (90 km de long) affluent de la Volta Noire au Sud-est d’un écoulement moyen de 25 m³/s (MMEE, 2006). </w:t>
      </w:r>
    </w:p>
    <w:p w14:paraId="156E61AF" w14:textId="77777777" w:rsidR="00802BA9" w:rsidRPr="00514D53" w:rsidRDefault="00802BA9" w:rsidP="00514D53">
      <w:pPr>
        <w:spacing w:before="120" w:after="120" w:line="240" w:lineRule="auto"/>
        <w:ind w:left="142"/>
        <w:jc w:val="left"/>
        <w:rPr>
          <w:rFonts w:ascii="Arial" w:hAnsi="Arial" w:cs="Arial"/>
          <w:sz w:val="20"/>
          <w:szCs w:val="20"/>
          <w:lang w:val="fr-FR"/>
        </w:rPr>
      </w:pPr>
    </w:p>
    <w:p w14:paraId="46A62614" w14:textId="77777777" w:rsidR="00802BA9" w:rsidRPr="00514D53" w:rsidRDefault="00802BA9" w:rsidP="00514D53">
      <w:pPr>
        <w:spacing w:before="120" w:after="120" w:line="240" w:lineRule="auto"/>
        <w:rPr>
          <w:rFonts w:ascii="Arial" w:hAnsi="Arial" w:cs="Arial"/>
          <w:sz w:val="20"/>
          <w:szCs w:val="20"/>
          <w:lang w:val="fr-FR"/>
        </w:rPr>
      </w:pPr>
      <w:r w:rsidRPr="00514D53">
        <w:rPr>
          <w:rFonts w:ascii="Arial" w:hAnsi="Arial" w:cs="Arial"/>
          <w:sz w:val="20"/>
          <w:szCs w:val="20"/>
          <w:lang w:val="fr-FR"/>
        </w:rPr>
        <w:t xml:space="preserve">A ceci s’ajoutent, sur l’ensemble du pays, les eaux de surfaces non pérennes constituées par des sites naturels ou aménagés qui recueillent et conservent les eaux de pluie selon des durées variables. La surface de ces eaux est estimée à environ 15 milliards de m³. </w:t>
      </w:r>
    </w:p>
    <w:p w14:paraId="6F0FAD3F" w14:textId="77777777" w:rsidR="00802BA9" w:rsidRPr="00514D53" w:rsidRDefault="00802BA9" w:rsidP="00514D53">
      <w:pPr>
        <w:spacing w:before="120" w:after="120" w:line="240" w:lineRule="auto"/>
        <w:rPr>
          <w:rFonts w:ascii="Arial" w:hAnsi="Arial" w:cs="Arial"/>
          <w:sz w:val="20"/>
          <w:szCs w:val="20"/>
          <w:lang w:val="fr-FR"/>
        </w:rPr>
      </w:pPr>
      <w:r w:rsidRPr="00514D53">
        <w:rPr>
          <w:rFonts w:ascii="Arial" w:hAnsi="Arial" w:cs="Arial"/>
          <w:sz w:val="20"/>
          <w:szCs w:val="20"/>
          <w:lang w:val="fr-FR"/>
        </w:rPr>
        <w:t>Le volume annuel des fleuves varie entre 30 milliards de m³ en année sèche (1984) à 110 milliards de m³ en année humide (1967), avec en moyenne 71,4 milliards de m</w:t>
      </w:r>
      <w:r w:rsidRPr="00514D53">
        <w:rPr>
          <w:rFonts w:ascii="Arial" w:hAnsi="Arial" w:cs="Arial"/>
          <w:sz w:val="20"/>
          <w:szCs w:val="20"/>
          <w:vertAlign w:val="superscript"/>
          <w:lang w:val="fr-FR"/>
        </w:rPr>
        <w:t>3</w:t>
      </w:r>
      <w:r w:rsidRPr="00514D53">
        <w:rPr>
          <w:rFonts w:ascii="Arial" w:eastAsiaTheme="minorHAnsi" w:hAnsi="Arial" w:cs="Arial"/>
          <w:sz w:val="20"/>
          <w:szCs w:val="20"/>
          <w:lang w:val="fr-FR"/>
        </w:rPr>
        <w:t xml:space="preserve"> par an de r</w:t>
      </w:r>
      <w:r w:rsidRPr="00514D53">
        <w:rPr>
          <w:rFonts w:ascii="Arial" w:hAnsi="Arial" w:cs="Arial"/>
          <w:sz w:val="20"/>
          <w:szCs w:val="20"/>
          <w:lang w:val="fr-FR"/>
        </w:rPr>
        <w:t>essources renouvelables utilisables. Néanmoins, uniquement pour le fleuve Niger entre 40 et 50 % du débit d’entrée sont perdus par évaporation ou par infiltration (MMEE, 2006). Les barrages hydroélectriques, les vastes systèmes d’irrigation</w:t>
      </w:r>
      <w:r w:rsidR="002827ED">
        <w:rPr>
          <w:rFonts w:ascii="Arial" w:hAnsi="Arial" w:cs="Arial"/>
          <w:sz w:val="20"/>
          <w:szCs w:val="20"/>
          <w:lang w:val="fr-FR"/>
        </w:rPr>
        <w:t xml:space="preserve"> </w:t>
      </w:r>
      <w:r w:rsidR="002827ED" w:rsidRPr="00A1464F">
        <w:rPr>
          <w:rFonts w:ascii="Arial" w:hAnsi="Arial" w:cs="Arial"/>
          <w:sz w:val="20"/>
          <w:szCs w:val="20"/>
          <w:lang w:val="fr-FR"/>
        </w:rPr>
        <w:t>(gaspillage d’eau liés aux canaux défectueux et aux mauvaises pratiques agricoles)</w:t>
      </w:r>
      <w:r w:rsidRPr="00514D53">
        <w:rPr>
          <w:rFonts w:ascii="Arial" w:hAnsi="Arial" w:cs="Arial"/>
          <w:sz w:val="20"/>
          <w:szCs w:val="20"/>
          <w:lang w:val="fr-FR"/>
        </w:rPr>
        <w:t xml:space="preserve"> et les changements climatiques affectent le débit d’eau. Le débit du Niger, artère de vie, est cyclique, mais avec une tendance générale de diminution de débit depuis plus de 70 années (Malet, 2008). </w:t>
      </w:r>
    </w:p>
    <w:p w14:paraId="47763DE0" w14:textId="77777777" w:rsidR="00802BA9" w:rsidRPr="00514D53" w:rsidRDefault="00802BA9" w:rsidP="00514D53">
      <w:pPr>
        <w:keepNext/>
        <w:keepLines/>
        <w:suppressLineNumbers/>
        <w:suppressAutoHyphens/>
        <w:spacing w:before="120" w:after="120" w:line="240" w:lineRule="auto"/>
        <w:rPr>
          <w:rFonts w:ascii="Arial" w:hAnsi="Arial" w:cs="Arial"/>
          <w:sz w:val="20"/>
          <w:szCs w:val="20"/>
          <w:lang w:val="fr-FR"/>
        </w:rPr>
      </w:pPr>
      <w:r w:rsidRPr="00514D53">
        <w:rPr>
          <w:rFonts w:ascii="Arial" w:hAnsi="Arial" w:cs="Arial"/>
          <w:sz w:val="20"/>
          <w:szCs w:val="20"/>
          <w:lang w:val="fr-FR"/>
        </w:rPr>
        <w:t xml:space="preserve">Les </w:t>
      </w:r>
      <w:r w:rsidRPr="00514D53">
        <w:rPr>
          <w:rFonts w:ascii="Arial" w:hAnsi="Arial" w:cs="Arial"/>
          <w:b/>
          <w:sz w:val="20"/>
          <w:szCs w:val="20"/>
          <w:lang w:val="fr-FR"/>
        </w:rPr>
        <w:t>ressources en eaux souterraines</w:t>
      </w:r>
      <w:r w:rsidRPr="00514D53">
        <w:rPr>
          <w:rFonts w:ascii="Arial" w:hAnsi="Arial" w:cs="Arial"/>
          <w:sz w:val="20"/>
          <w:szCs w:val="20"/>
          <w:lang w:val="fr-FR"/>
        </w:rPr>
        <w:t xml:space="preserve"> dépendent de 9 systèmes aquifères et peuvent se classer en trois catégories : les aquifères généralisés, superficiels et fissurés correspondant aux principaux étages stratigraphiques. Les ressources sont estimées à 2.700 milliards de m³ avec un taux de reconstitution estimé à 66 milliards de m³/an (MMEE, 2006).</w:t>
      </w:r>
    </w:p>
    <w:p w14:paraId="1E309B1C" w14:textId="77777777" w:rsidR="00802BA9" w:rsidRPr="00514D53" w:rsidRDefault="00802BA9" w:rsidP="00514D53">
      <w:pPr>
        <w:spacing w:before="120" w:after="120" w:line="240" w:lineRule="auto"/>
        <w:rPr>
          <w:rFonts w:ascii="Arial" w:hAnsi="Arial" w:cs="Arial"/>
          <w:bCs/>
          <w:sz w:val="20"/>
          <w:szCs w:val="20"/>
          <w:lang w:val="fr-FR"/>
        </w:rPr>
      </w:pPr>
      <w:r w:rsidRPr="00514D53">
        <w:rPr>
          <w:rFonts w:ascii="Arial" w:hAnsi="Arial" w:cs="Arial"/>
          <w:bCs/>
          <w:sz w:val="20"/>
          <w:szCs w:val="20"/>
          <w:lang w:val="fr-FR"/>
        </w:rPr>
        <w:t xml:space="preserve">Les </w:t>
      </w:r>
      <w:r w:rsidRPr="00514D53">
        <w:rPr>
          <w:rFonts w:ascii="Arial" w:hAnsi="Arial" w:cs="Arial"/>
          <w:b/>
          <w:bCs/>
          <w:sz w:val="20"/>
          <w:szCs w:val="20"/>
          <w:lang w:val="fr-FR"/>
        </w:rPr>
        <w:t>ressources en eau renouvelables</w:t>
      </w:r>
      <w:r w:rsidRPr="00514D53">
        <w:rPr>
          <w:rFonts w:ascii="Arial" w:hAnsi="Arial" w:cs="Arial"/>
          <w:bCs/>
          <w:sz w:val="20"/>
          <w:szCs w:val="20"/>
          <w:lang w:val="fr-FR"/>
        </w:rPr>
        <w:t xml:space="preserve"> sont abondantes, mais en régression passant de 9.065 m</w:t>
      </w:r>
      <w:r w:rsidRPr="00514D53">
        <w:rPr>
          <w:rFonts w:ascii="Arial" w:hAnsi="Arial" w:cs="Arial"/>
          <w:bCs/>
          <w:sz w:val="20"/>
          <w:szCs w:val="20"/>
          <w:vertAlign w:val="superscript"/>
          <w:lang w:val="fr-FR"/>
        </w:rPr>
        <w:t>3</w:t>
      </w:r>
      <w:r w:rsidRPr="00514D53">
        <w:rPr>
          <w:rFonts w:ascii="Arial" w:hAnsi="Arial" w:cs="Arial"/>
          <w:bCs/>
          <w:sz w:val="20"/>
          <w:szCs w:val="20"/>
          <w:lang w:val="fr-FR"/>
        </w:rPr>
        <w:t>/an/habitant en 2012 à 5.968 m</w:t>
      </w:r>
      <w:r w:rsidRPr="00514D53">
        <w:rPr>
          <w:rFonts w:ascii="Arial" w:hAnsi="Arial" w:cs="Arial"/>
          <w:bCs/>
          <w:sz w:val="20"/>
          <w:szCs w:val="20"/>
          <w:vertAlign w:val="superscript"/>
          <w:lang w:val="fr-FR"/>
        </w:rPr>
        <w:t>3</w:t>
      </w:r>
      <w:r w:rsidRPr="00514D53">
        <w:rPr>
          <w:rFonts w:ascii="Arial" w:hAnsi="Arial" w:cs="Arial"/>
          <w:bCs/>
          <w:sz w:val="20"/>
          <w:szCs w:val="20"/>
          <w:lang w:val="fr-FR"/>
        </w:rPr>
        <w:t>/an/habitant en 2016 (SISE, 2017). En plus,</w:t>
      </w:r>
      <w:r w:rsidRPr="00514D53">
        <w:rPr>
          <w:rFonts w:ascii="Arial" w:eastAsiaTheme="minorHAnsi" w:hAnsi="Arial" w:cs="Arial"/>
          <w:sz w:val="20"/>
          <w:szCs w:val="20"/>
          <w:lang w:val="fr-FR"/>
        </w:rPr>
        <w:t xml:space="preserve"> </w:t>
      </w:r>
      <w:r w:rsidRPr="00514D53">
        <w:rPr>
          <w:rFonts w:ascii="Arial" w:hAnsi="Arial" w:cs="Arial"/>
          <w:bCs/>
          <w:sz w:val="20"/>
          <w:szCs w:val="20"/>
          <w:lang w:val="fr-FR"/>
        </w:rPr>
        <w:t>ces ressources sont inégalement réparties, concentrées le long des fleuves Niger et Sénégal et au Sud du pays. Seulement 0,2 % des ressources sont exploitées et les populations de nombreuses zones défavorisées vivent une pénurie aiguë d’eau (Livre bleu, 2015).</w:t>
      </w:r>
    </w:p>
    <w:p w14:paraId="49BB47C1" w14:textId="77777777" w:rsidR="00802BA9" w:rsidRPr="00514D53" w:rsidRDefault="00802BA9" w:rsidP="00514D53">
      <w:pPr>
        <w:spacing w:before="120" w:after="120" w:line="240" w:lineRule="auto"/>
        <w:rPr>
          <w:rFonts w:ascii="Arial" w:eastAsia="Times New Roman" w:hAnsi="Arial" w:cs="Arial"/>
          <w:bCs/>
          <w:sz w:val="20"/>
          <w:szCs w:val="20"/>
          <w:lang w:val="fr-FR" w:eastAsia="fr-FR"/>
        </w:rPr>
      </w:pPr>
      <w:r w:rsidRPr="00514D53">
        <w:rPr>
          <w:rFonts w:ascii="Arial" w:eastAsia="Times New Roman" w:hAnsi="Arial" w:cs="Arial"/>
          <w:bCs/>
          <w:sz w:val="20"/>
          <w:szCs w:val="20"/>
          <w:lang w:val="fr-FR" w:eastAsia="fr-FR"/>
        </w:rPr>
        <w:t xml:space="preserve">A l’échelle nationale, la </w:t>
      </w:r>
      <w:r w:rsidRPr="00514D53">
        <w:rPr>
          <w:rFonts w:ascii="Arial" w:eastAsia="Times New Roman" w:hAnsi="Arial" w:cs="Arial"/>
          <w:b/>
          <w:bCs/>
          <w:sz w:val="20"/>
          <w:szCs w:val="20"/>
          <w:lang w:val="fr-FR" w:eastAsia="fr-FR"/>
        </w:rPr>
        <w:t>qualité des eaux souterraines</w:t>
      </w:r>
      <w:r w:rsidRPr="00514D53">
        <w:rPr>
          <w:rFonts w:ascii="Arial" w:eastAsia="Times New Roman" w:hAnsi="Arial" w:cs="Arial"/>
          <w:bCs/>
          <w:sz w:val="20"/>
          <w:szCs w:val="20"/>
          <w:lang w:val="fr-FR" w:eastAsia="fr-FR"/>
        </w:rPr>
        <w:t xml:space="preserve"> exploitées par des points d’eau modernes est bonne ou acceptable à l’exception de quelques endroits au Nord en raison de leur salinité. Néanmoins, plusieurs cas de contamination des nappes phréatiques peu profondes par des nitrates sont signalisés autour des grandes villes, notamment à Bamako, par l’infiltration des eaux usées des latrines et dans les zones d’agriculture intensive</w:t>
      </w:r>
      <w:r w:rsidR="002827ED">
        <w:rPr>
          <w:rFonts w:ascii="Arial" w:eastAsia="Times New Roman" w:hAnsi="Arial" w:cs="Arial"/>
          <w:bCs/>
          <w:sz w:val="20"/>
          <w:szCs w:val="20"/>
          <w:lang w:val="fr-FR" w:eastAsia="fr-FR"/>
        </w:rPr>
        <w:t xml:space="preserve">, </w:t>
      </w:r>
      <w:r w:rsidR="002827ED" w:rsidRPr="00A1464F">
        <w:rPr>
          <w:rFonts w:ascii="Arial" w:eastAsia="Times New Roman" w:hAnsi="Arial" w:cs="Arial"/>
          <w:bCs/>
          <w:sz w:val="20"/>
          <w:szCs w:val="20"/>
          <w:lang w:val="fr-FR" w:eastAsia="fr-FR"/>
        </w:rPr>
        <w:t>telles celles de l’Office du Niger</w:t>
      </w:r>
      <w:r w:rsidRPr="00514D53">
        <w:rPr>
          <w:rFonts w:ascii="Arial" w:eastAsia="Times New Roman" w:hAnsi="Arial" w:cs="Arial"/>
          <w:bCs/>
          <w:sz w:val="20"/>
          <w:szCs w:val="20"/>
          <w:lang w:val="fr-FR" w:eastAsia="fr-FR"/>
        </w:rPr>
        <w:t>. Les 160 points d’observation des nappes indiquent une tendance à la baisse du niveau des nappes avec un pic de remontrée très court (DNH, 2018), mais il n’existe pas un suivi régulier de la tendance de la pollution en dehors du suivi des points d’eau modernes. En 2016, 5%</w:t>
      </w:r>
      <w:r w:rsidRPr="00514D53">
        <w:rPr>
          <w:rFonts w:ascii="Arial" w:eastAsiaTheme="minorHAnsi" w:hAnsi="Arial" w:cs="Arial"/>
          <w:sz w:val="20"/>
          <w:szCs w:val="20"/>
          <w:lang w:val="fr-FR"/>
        </w:rPr>
        <w:t xml:space="preserve"> </w:t>
      </w:r>
      <w:r w:rsidRPr="00514D53">
        <w:rPr>
          <w:rFonts w:ascii="Arial" w:eastAsia="Times New Roman" w:hAnsi="Arial" w:cs="Arial"/>
          <w:bCs/>
          <w:sz w:val="20"/>
          <w:szCs w:val="20"/>
          <w:lang w:val="fr-FR" w:eastAsia="fr-FR"/>
        </w:rPr>
        <w:t>des points d’eau modernes ne répondent plus aux normes de potabilité et sont considérés comme pollués avec des teneurs en nitrates de plus de 100 mg/litre, la présence d’Escherichia coli, de streptocoques, coliformes fécaux, etc. (SISE, 2017).</w:t>
      </w:r>
    </w:p>
    <w:p w14:paraId="30BC9500" w14:textId="77777777" w:rsidR="00802BA9" w:rsidRPr="00514D53" w:rsidRDefault="00802BA9" w:rsidP="00514D53">
      <w:pPr>
        <w:spacing w:before="120" w:after="120" w:line="240" w:lineRule="auto"/>
        <w:rPr>
          <w:rFonts w:ascii="Arial" w:eastAsiaTheme="minorHAnsi" w:hAnsi="Arial" w:cs="Arial"/>
          <w:sz w:val="20"/>
          <w:szCs w:val="20"/>
          <w:lang w:val="fr-FR"/>
        </w:rPr>
      </w:pPr>
      <w:r w:rsidRPr="00514D53">
        <w:rPr>
          <w:rFonts w:ascii="Arial" w:hAnsi="Arial" w:cs="Arial"/>
          <w:sz w:val="20"/>
          <w:szCs w:val="20"/>
          <w:lang w:val="fr-FR"/>
        </w:rPr>
        <w:t xml:space="preserve">La </w:t>
      </w:r>
      <w:r w:rsidRPr="00514D53">
        <w:rPr>
          <w:rFonts w:ascii="Arial" w:hAnsi="Arial" w:cs="Arial"/>
          <w:b/>
          <w:sz w:val="20"/>
          <w:szCs w:val="20"/>
          <w:lang w:val="fr-FR"/>
        </w:rPr>
        <w:t xml:space="preserve">qualité des eaux de surface </w:t>
      </w:r>
      <w:r w:rsidRPr="00514D53">
        <w:rPr>
          <w:rFonts w:ascii="Arial" w:hAnsi="Arial" w:cs="Arial"/>
          <w:sz w:val="20"/>
          <w:szCs w:val="20"/>
          <w:lang w:val="fr-FR"/>
        </w:rPr>
        <w:t>se dégrade de plus en plus. Les causes sont d’origine climatique et anthropique : sécheresses récurrentes, ensablement et sédimentation des cours d’eau et des retenus artificielles, gestion inappropriée et différents types de pollution.</w:t>
      </w:r>
      <w:r w:rsidRPr="00514D53">
        <w:rPr>
          <w:rFonts w:ascii="Arial" w:eastAsiaTheme="minorHAnsi" w:hAnsi="Arial" w:cs="Arial"/>
          <w:sz w:val="20"/>
          <w:szCs w:val="20"/>
          <w:lang w:val="fr-FR"/>
        </w:rPr>
        <w:t xml:space="preserve"> Les barrages, en réduisant la vitesse d’écoulement de l’eau, favorisent la sédimentation au fond des lacs. Le dragage pour l’exploitation du sable entraine un abaissement du lit du fleuve Niger et favorise l’érosion des berges (IRD, 2011).  Le dragage semi-industriel (drague à godets) des orpailleurs, phénomène en pleine augmentation, déstabilise les berges et les lits des cours d’eaux et des plans d’eaux. Il provoque la perturbation de l’hydraulicité, le comblement des lits, la destruction des berges et l’accélération de la sédimentation par les quantités importantes de graviers déplacées (en moyenne 75 tonnes de matériel en une seule tournée circulaire de 20 minutes, MEADD/SG, 2017). L’état actuel du fleuve Niger est inquiétant et un obstacle pour sa valorisation économique. Raison pour laquelle, le Gouvernement a initié avec la BM le « Projet de Réhabilitation Économique et Environnementale du Fleuve Niger » (PREEFN), essentiellement consacré à la réhabilitation des berges et du lit du fleuve et des infrastructures portuaires. Les études préliminaires sont terminées et le lancement de ce projet de 13,9 millions US$ sur le terrain est en vue.</w:t>
      </w:r>
    </w:p>
    <w:p w14:paraId="4DACEB54" w14:textId="77777777" w:rsidR="00802BA9" w:rsidRPr="00514D53" w:rsidRDefault="00802BA9" w:rsidP="00514D53">
      <w:pPr>
        <w:spacing w:before="120" w:after="120" w:line="240" w:lineRule="auto"/>
        <w:rPr>
          <w:rFonts w:ascii="Arial" w:hAnsi="Arial" w:cs="Arial"/>
          <w:sz w:val="20"/>
          <w:szCs w:val="20"/>
          <w:lang w:val="fr-FR"/>
        </w:rPr>
      </w:pPr>
      <w:r w:rsidRPr="00514D53">
        <w:rPr>
          <w:rFonts w:ascii="Arial" w:eastAsiaTheme="minorHAnsi" w:hAnsi="Arial" w:cs="Arial"/>
          <w:sz w:val="20"/>
          <w:szCs w:val="20"/>
          <w:lang w:val="fr-FR"/>
        </w:rPr>
        <w:t xml:space="preserve">La </w:t>
      </w:r>
      <w:r w:rsidRPr="00514D53">
        <w:rPr>
          <w:rFonts w:ascii="Arial" w:eastAsiaTheme="minorHAnsi" w:hAnsi="Arial" w:cs="Arial"/>
          <w:b/>
          <w:sz w:val="20"/>
          <w:szCs w:val="20"/>
          <w:lang w:val="fr-FR"/>
        </w:rPr>
        <w:t>pollution des eaux de surface</w:t>
      </w:r>
      <w:r w:rsidRPr="00514D53">
        <w:rPr>
          <w:rFonts w:ascii="Arial" w:eastAsiaTheme="minorHAnsi" w:hAnsi="Arial" w:cs="Arial"/>
          <w:sz w:val="20"/>
          <w:szCs w:val="20"/>
          <w:lang w:val="fr-FR"/>
        </w:rPr>
        <w:t xml:space="preserve"> augmente avec la croissance des activités humaines. L</w:t>
      </w:r>
      <w:r w:rsidRPr="00514D53">
        <w:rPr>
          <w:rFonts w:ascii="Arial" w:hAnsi="Arial" w:cs="Arial"/>
          <w:sz w:val="20"/>
          <w:szCs w:val="20"/>
          <w:lang w:val="fr-FR"/>
        </w:rPr>
        <w:t xml:space="preserve">e fleuve Niger reçoit par jour à lui seul à Bamako de manière incontrôlée plus de 2.200 m³ d'eaux usées industrielles des usines (tannerie, textile, savonnerie, huilerie, industries chimiques et abattoirs), 16.000 m³ d'eaux usées des </w:t>
      </w:r>
      <w:r w:rsidRPr="00514D53">
        <w:rPr>
          <w:rFonts w:ascii="Arial" w:hAnsi="Arial" w:cs="Arial"/>
          <w:sz w:val="20"/>
          <w:szCs w:val="20"/>
          <w:lang w:val="fr-FR"/>
        </w:rPr>
        <w:lastRenderedPageBreak/>
        <w:t xml:space="preserve">teintureries contenant des colorants, des polluants chimiques, des métaux lourds (arsenic, cadmium, chrome, cuivre, mercure, nickel, plomb), et plus de 32.000 </w:t>
      </w:r>
      <w:r w:rsidR="00105F75" w:rsidRPr="00514D53">
        <w:rPr>
          <w:rFonts w:ascii="Arial" w:hAnsi="Arial" w:cs="Arial"/>
          <w:sz w:val="20"/>
          <w:szCs w:val="20"/>
          <w:lang w:val="fr-FR"/>
        </w:rPr>
        <w:t>m³ d'eaux usées domestiques (AEDD</w:t>
      </w:r>
      <w:r w:rsidRPr="00514D53">
        <w:rPr>
          <w:rFonts w:ascii="Arial" w:hAnsi="Arial" w:cs="Arial"/>
          <w:sz w:val="20"/>
          <w:szCs w:val="20"/>
          <w:lang w:val="fr-FR"/>
        </w:rPr>
        <w:t>, 2018). Ils s’ajoutent les matières solides en suspension et les déchets solides introduits dans l’eau. En 2016, 2.678,4 m</w:t>
      </w:r>
      <w:r w:rsidRPr="00514D53">
        <w:rPr>
          <w:rFonts w:ascii="Arial" w:hAnsi="Arial" w:cs="Arial"/>
          <w:sz w:val="20"/>
          <w:szCs w:val="20"/>
          <w:vertAlign w:val="superscript"/>
          <w:lang w:val="fr-FR"/>
        </w:rPr>
        <w:t>3</w:t>
      </w:r>
      <w:r w:rsidRPr="00514D53">
        <w:rPr>
          <w:rFonts w:ascii="Arial" w:hAnsi="Arial" w:cs="Arial"/>
          <w:sz w:val="20"/>
          <w:szCs w:val="20"/>
          <w:lang w:val="fr-FR"/>
        </w:rPr>
        <w:t xml:space="preserve"> de déchets solides ont été enlevés du Niger à Bamako (CPS, 2017). Ces polluants chimiques et microbiologiques contribuent pour une grande part à la dégradation des ressources en eau et des écosystèmes terrestres et aquatiques. Ils favorisent l’eutrophisation avec l’apport de nutriments, qui se traduit par la réduction de l’oxygène dissous dans l’eau. La prolifération des plantes aquatiques </w:t>
      </w:r>
      <w:r w:rsidR="0060791B" w:rsidRPr="00514D53">
        <w:rPr>
          <w:rFonts w:ascii="Arial" w:hAnsi="Arial" w:cs="Arial"/>
          <w:sz w:val="20"/>
          <w:szCs w:val="20"/>
          <w:lang w:val="fr-FR"/>
        </w:rPr>
        <w:t>telle la jacinthe</w:t>
      </w:r>
      <w:r w:rsidRPr="00514D53">
        <w:rPr>
          <w:rFonts w:ascii="Arial" w:hAnsi="Arial" w:cs="Arial"/>
          <w:sz w:val="20"/>
          <w:szCs w:val="20"/>
          <w:lang w:val="fr-FR"/>
        </w:rPr>
        <w:t xml:space="preserve"> d’eau (</w:t>
      </w:r>
      <w:r w:rsidRPr="00514D53">
        <w:rPr>
          <w:rFonts w:ascii="Arial" w:hAnsi="Arial" w:cs="Arial"/>
          <w:i/>
          <w:sz w:val="20"/>
          <w:szCs w:val="20"/>
          <w:lang w:val="fr-FR"/>
        </w:rPr>
        <w:t>Eichornia crassipes</w:t>
      </w:r>
      <w:r w:rsidRPr="00514D53">
        <w:rPr>
          <w:rFonts w:ascii="Arial" w:hAnsi="Arial" w:cs="Arial"/>
          <w:sz w:val="20"/>
          <w:szCs w:val="20"/>
          <w:lang w:val="fr-FR"/>
        </w:rPr>
        <w:t>), la laitue d’eau (</w:t>
      </w:r>
      <w:r w:rsidRPr="00514D53">
        <w:rPr>
          <w:rFonts w:ascii="Arial" w:hAnsi="Arial" w:cs="Arial"/>
          <w:i/>
          <w:sz w:val="20"/>
          <w:szCs w:val="20"/>
          <w:lang w:val="fr-FR"/>
        </w:rPr>
        <w:t>Salvinia molesta</w:t>
      </w:r>
      <w:r w:rsidRPr="00514D53">
        <w:rPr>
          <w:rFonts w:ascii="Arial" w:hAnsi="Arial" w:cs="Arial"/>
          <w:sz w:val="20"/>
          <w:szCs w:val="20"/>
          <w:lang w:val="fr-FR"/>
        </w:rPr>
        <w:t>), les roseaux (</w:t>
      </w:r>
      <w:r w:rsidRPr="00514D53">
        <w:rPr>
          <w:rFonts w:ascii="Arial" w:hAnsi="Arial" w:cs="Arial"/>
          <w:i/>
          <w:sz w:val="20"/>
          <w:szCs w:val="20"/>
          <w:lang w:val="fr-FR"/>
        </w:rPr>
        <w:t>Typha australis</w:t>
      </w:r>
      <w:r w:rsidRPr="00514D53">
        <w:rPr>
          <w:rFonts w:ascii="Arial" w:hAnsi="Arial" w:cs="Arial"/>
          <w:sz w:val="20"/>
          <w:szCs w:val="20"/>
          <w:lang w:val="fr-FR"/>
        </w:rPr>
        <w:t>) est bien visible et perturbe l’équilibre écologique, limite certaines activités économiques et crée les conditions favorables au développement de larves de parasites vecteurs de maladies (paludisme, onchocercose, etc.). La pollution provenant des mines d’or surtout artisanales avec les rejets d’effluents contenant du cyanure et du mercure devient de plus en plus préoccupante pour la santé humaine. Malgré les pollutions croissantes, les dernières analyses de la pollution des fleuves Niger et Sénégal (DNH, 2017) indiquent en général une capacité d’auto - épuration encore suffisante des grands fleuves. Toutefois, des poches de pollution élevées en corrélation avec les activités et les rejets humains so</w:t>
      </w:r>
      <w:r w:rsidRPr="001445C5">
        <w:rPr>
          <w:rFonts w:ascii="Arial" w:hAnsi="Arial" w:cs="Arial"/>
          <w:sz w:val="20"/>
          <w:szCs w:val="20"/>
          <w:lang w:val="fr-FR"/>
        </w:rPr>
        <w:t>nt clairement visibles surtout en milieu urbain. Les sites des rejets à Bamako sont pollués</w:t>
      </w:r>
      <w:r w:rsidRPr="001445C5">
        <w:rPr>
          <w:rFonts w:ascii="Arial" w:eastAsiaTheme="minorHAnsi" w:hAnsi="Arial" w:cs="Arial"/>
          <w:sz w:val="20"/>
          <w:szCs w:val="20"/>
          <w:lang w:val="fr-FR"/>
        </w:rPr>
        <w:t xml:space="preserve"> par les huiles et graisses,</w:t>
      </w:r>
      <w:r w:rsidRPr="001445C5">
        <w:rPr>
          <w:rFonts w:ascii="Arial" w:hAnsi="Arial" w:cs="Arial"/>
          <w:sz w:val="20"/>
          <w:szCs w:val="20"/>
          <w:lang w:val="fr-FR"/>
        </w:rPr>
        <w:t xml:space="preserve"> le</w:t>
      </w:r>
      <w:r w:rsidR="007521BC" w:rsidRPr="001445C5">
        <w:rPr>
          <w:rFonts w:ascii="Arial" w:hAnsi="Arial" w:cs="Arial"/>
          <w:sz w:val="20"/>
          <w:szCs w:val="20"/>
          <w:lang w:val="fr-FR"/>
        </w:rPr>
        <w:t>s</w:t>
      </w:r>
      <w:r w:rsidRPr="001445C5">
        <w:rPr>
          <w:rFonts w:ascii="Arial" w:hAnsi="Arial" w:cs="Arial"/>
          <w:sz w:val="20"/>
          <w:szCs w:val="20"/>
          <w:lang w:val="fr-FR"/>
        </w:rPr>
        <w:t xml:space="preserve"> </w:t>
      </w:r>
      <w:r w:rsidR="007521BC" w:rsidRPr="001445C5">
        <w:rPr>
          <w:rFonts w:ascii="Arial" w:hAnsi="Arial" w:cs="Arial"/>
          <w:sz w:val="20"/>
          <w:szCs w:val="20"/>
          <w:lang w:val="fr-FR"/>
        </w:rPr>
        <w:t>matières en suspension (</w:t>
      </w:r>
      <w:r w:rsidRPr="001445C5">
        <w:rPr>
          <w:rFonts w:ascii="Arial" w:hAnsi="Arial" w:cs="Arial"/>
          <w:sz w:val="20"/>
          <w:szCs w:val="20"/>
          <w:lang w:val="fr-FR"/>
        </w:rPr>
        <w:t>MES</w:t>
      </w:r>
      <w:r w:rsidR="007521BC" w:rsidRPr="001445C5">
        <w:rPr>
          <w:rFonts w:ascii="Arial" w:hAnsi="Arial" w:cs="Arial"/>
          <w:sz w:val="20"/>
          <w:szCs w:val="20"/>
          <w:lang w:val="fr-FR"/>
        </w:rPr>
        <w:t>)</w:t>
      </w:r>
      <w:r w:rsidRPr="001445C5">
        <w:rPr>
          <w:rFonts w:ascii="Arial" w:hAnsi="Arial" w:cs="Arial"/>
          <w:sz w:val="20"/>
          <w:szCs w:val="20"/>
          <w:lang w:val="fr-FR"/>
        </w:rPr>
        <w:t xml:space="preserve">, </w:t>
      </w:r>
      <w:r w:rsidR="00CA5A80" w:rsidRPr="001445C5">
        <w:rPr>
          <w:rFonts w:ascii="Arial" w:hAnsi="Arial" w:cs="Arial"/>
          <w:sz w:val="20"/>
          <w:szCs w:val="20"/>
          <w:lang w:val="fr-FR"/>
        </w:rPr>
        <w:t>la</w:t>
      </w:r>
      <w:r w:rsidR="007521BC" w:rsidRPr="001445C5">
        <w:rPr>
          <w:rFonts w:ascii="Arial" w:hAnsi="Arial" w:cs="Arial"/>
          <w:sz w:val="20"/>
          <w:szCs w:val="20"/>
          <w:lang w:val="fr-FR"/>
        </w:rPr>
        <w:t xml:space="preserve"> Demande Biochimique en Oxygène pendant 5 jours </w:t>
      </w:r>
      <w:r w:rsidR="00246D24" w:rsidRPr="001445C5">
        <w:rPr>
          <w:rFonts w:ascii="Arial" w:hAnsi="Arial" w:cs="Arial"/>
          <w:sz w:val="20"/>
          <w:szCs w:val="20"/>
          <w:lang w:val="fr-FR"/>
        </w:rPr>
        <w:t>(</w:t>
      </w:r>
      <w:r w:rsidR="007521BC" w:rsidRPr="001445C5">
        <w:rPr>
          <w:rFonts w:ascii="Arial" w:hAnsi="Arial" w:cs="Arial"/>
          <w:sz w:val="20"/>
          <w:szCs w:val="20"/>
          <w:lang w:val="fr-FR"/>
        </w:rPr>
        <w:t>DBO5</w:t>
      </w:r>
      <w:r w:rsidR="00246D24" w:rsidRPr="001445C5">
        <w:rPr>
          <w:rFonts w:ascii="Arial" w:hAnsi="Arial" w:cs="Arial"/>
          <w:sz w:val="20"/>
          <w:szCs w:val="20"/>
          <w:lang w:val="fr-FR"/>
        </w:rPr>
        <w:t>)</w:t>
      </w:r>
      <w:r w:rsidRPr="001445C5">
        <w:rPr>
          <w:rFonts w:ascii="Arial" w:hAnsi="Arial" w:cs="Arial"/>
          <w:sz w:val="20"/>
          <w:szCs w:val="20"/>
          <w:lang w:val="fr-FR"/>
        </w:rPr>
        <w:t>. Notamment au niveau des abattoirs et teintureries les valeurs des paramètres de base et spécifiques (DBO5, DCO</w:t>
      </w:r>
      <w:r w:rsidRPr="00514D53">
        <w:rPr>
          <w:rFonts w:ascii="Arial" w:hAnsi="Arial" w:cs="Arial"/>
          <w:sz w:val="20"/>
          <w:szCs w:val="20"/>
          <w:lang w:val="fr-FR"/>
        </w:rPr>
        <w:t xml:space="preserve"> et MES) sont les plus mauvaises. La surveillance des rejets des installations industrielles n’est pas régulière. Or celles-ci sont peu ou pas équipées pour le traitement des effluents.</w:t>
      </w:r>
    </w:p>
    <w:p w14:paraId="7DCCD68B" w14:textId="77777777" w:rsidR="00802BA9" w:rsidRDefault="00802BA9" w:rsidP="00514D53">
      <w:pPr>
        <w:spacing w:before="120" w:after="120" w:line="240" w:lineRule="auto"/>
        <w:rPr>
          <w:rFonts w:ascii="Arial" w:hAnsi="Arial" w:cs="Arial"/>
          <w:color w:val="000000" w:themeColor="text1"/>
          <w:sz w:val="20"/>
          <w:szCs w:val="20"/>
          <w:lang w:val="fr-FR"/>
        </w:rPr>
      </w:pPr>
      <w:r w:rsidRPr="00514D53">
        <w:rPr>
          <w:rFonts w:ascii="Arial" w:hAnsi="Arial" w:cs="Arial"/>
          <w:color w:val="000000" w:themeColor="text1"/>
          <w:sz w:val="20"/>
          <w:szCs w:val="20"/>
          <w:lang w:val="fr-FR"/>
        </w:rPr>
        <w:t>Le cyanure et le mercure se trouvent dans les régions d’orpaillage au Sud du pays. Même si les quantités ne sont pas encore au-dessus des normes (&lt; 1mg/l), la concentration dépend fortement des débits et il n’y a pas de phénomène d’auto - épuration pour les métaux lourds, le cyanure et le mercure. Des cas mortels d’intoxication de la faune sauvage et du bétail par le cyanure et/ou le mercure ont déjà été observés ces dernières années dans plusieurs régions minières où les eaux de surface ne profitent pas de la dilution par des débits importants, mais il n’existe pas une documentation systématique.</w:t>
      </w:r>
    </w:p>
    <w:p w14:paraId="364F9B51" w14:textId="77777777" w:rsidR="00514D53" w:rsidRPr="00514D53" w:rsidRDefault="00514D53" w:rsidP="00514D53">
      <w:pPr>
        <w:spacing w:before="120" w:after="120" w:line="240" w:lineRule="auto"/>
        <w:rPr>
          <w:rFonts w:ascii="Arial" w:hAnsi="Arial" w:cs="Arial"/>
          <w:color w:val="000000" w:themeColor="text1"/>
          <w:sz w:val="20"/>
          <w:szCs w:val="20"/>
          <w:lang w:val="fr-FR"/>
        </w:rPr>
      </w:pPr>
    </w:p>
    <w:p w14:paraId="27063FFA" w14:textId="77777777" w:rsidR="00802BA9" w:rsidRPr="00514D53" w:rsidRDefault="00802BA9" w:rsidP="00525222">
      <w:pPr>
        <w:pStyle w:val="Titre3"/>
      </w:pPr>
      <w:bookmarkStart w:id="15" w:name="_Toc20505618"/>
      <w:r w:rsidRPr="00514D53">
        <w:t>2.1.2 L’environnement biologique</w:t>
      </w:r>
      <w:bookmarkEnd w:id="15"/>
    </w:p>
    <w:p w14:paraId="35D13396" w14:textId="77777777" w:rsidR="00802BA9" w:rsidRPr="00514D53" w:rsidRDefault="00802BA9" w:rsidP="00802BA9">
      <w:pPr>
        <w:spacing w:after="0" w:line="240" w:lineRule="auto"/>
        <w:rPr>
          <w:rFonts w:ascii="Arial" w:eastAsia="Calibri" w:hAnsi="Arial" w:cs="Arial"/>
          <w:lang w:val="fr-FR" w:eastAsia="fr-FR"/>
        </w:rPr>
      </w:pPr>
    </w:p>
    <w:p w14:paraId="35B4CC32" w14:textId="77777777" w:rsidR="00802BA9" w:rsidRPr="00514D53" w:rsidRDefault="00802BA9" w:rsidP="00514D53">
      <w:pPr>
        <w:pStyle w:val="Titre4"/>
        <w:spacing w:before="120" w:after="120"/>
        <w:rPr>
          <w:rFonts w:ascii="Arial" w:hAnsi="Arial"/>
          <w:sz w:val="20"/>
          <w:szCs w:val="20"/>
        </w:rPr>
      </w:pPr>
      <w:r w:rsidRPr="00514D53">
        <w:rPr>
          <w:rFonts w:ascii="Arial" w:hAnsi="Arial"/>
          <w:sz w:val="20"/>
          <w:szCs w:val="20"/>
        </w:rPr>
        <w:t xml:space="preserve">2.1.2.1 La biodiversité au niveau végétal et animal (incluant les stocks) </w:t>
      </w:r>
    </w:p>
    <w:p w14:paraId="740A77AC" w14:textId="77777777" w:rsidR="00802BA9" w:rsidRPr="00514D53" w:rsidRDefault="00802BA9" w:rsidP="00514D53">
      <w:pPr>
        <w:spacing w:before="120" w:after="120" w:line="240" w:lineRule="auto"/>
        <w:rPr>
          <w:rFonts w:ascii="Arial" w:eastAsia="Calibri" w:hAnsi="Arial" w:cs="Arial"/>
          <w:sz w:val="20"/>
          <w:szCs w:val="20"/>
          <w:lang w:val="fr-FR" w:eastAsia="fr-FR"/>
        </w:rPr>
      </w:pPr>
      <w:r w:rsidRPr="00514D53">
        <w:rPr>
          <w:rFonts w:ascii="Arial" w:eastAsia="Calibri" w:hAnsi="Arial" w:cs="Arial"/>
          <w:sz w:val="20"/>
          <w:szCs w:val="20"/>
          <w:lang w:val="fr-FR" w:eastAsia="fr-FR"/>
        </w:rPr>
        <w:t xml:space="preserve">La </w:t>
      </w:r>
      <w:r w:rsidRPr="00514D53">
        <w:rPr>
          <w:rFonts w:ascii="Arial" w:eastAsia="Calibri" w:hAnsi="Arial" w:cs="Arial"/>
          <w:b/>
          <w:sz w:val="20"/>
          <w:szCs w:val="20"/>
          <w:lang w:val="fr-FR" w:eastAsia="fr-FR"/>
        </w:rPr>
        <w:t>faune</w:t>
      </w:r>
      <w:r w:rsidRPr="00514D53">
        <w:rPr>
          <w:rFonts w:ascii="Arial" w:eastAsia="Calibri" w:hAnsi="Arial" w:cs="Arial"/>
          <w:sz w:val="20"/>
          <w:szCs w:val="20"/>
          <w:lang w:val="fr-FR" w:eastAsia="fr-FR"/>
        </w:rPr>
        <w:t xml:space="preserve"> du Mali se caractérise par la faible diversité des espèces et le nombre réduit des effectifs. Elle comprend 136 espèces de mammifères, avec des populations pour certaines en régression, et d’autres menacées de disparition. Au moins 647 espèces d’oiseaux sont répertoriées, dont 15 sont considérées comme rares. Certaines d’entre elles présentent des intérêts particuliers à cause de leur valeur protéinique, scientifique, esthétique ou touristique. Le delta intérieur du Niger constitue une zone humide très particulière d'importance internationale (site RAMSAR depuis 1987, étendu à tous le Delta en 2004). Il abrite à lui seul près de 350 espèces d’oiseaux, dont 108 sont migratrices.</w:t>
      </w:r>
      <w:r w:rsidRPr="00514D53">
        <w:rPr>
          <w:rFonts w:ascii="Arial" w:eastAsia="Times New Roman" w:hAnsi="Arial" w:cs="Arial"/>
          <w:sz w:val="20"/>
          <w:szCs w:val="20"/>
          <w:lang w:val="fr-FR"/>
        </w:rPr>
        <w:t xml:space="preserve"> </w:t>
      </w:r>
      <w:r w:rsidRPr="00514D53">
        <w:rPr>
          <w:rFonts w:ascii="Arial" w:eastAsia="Calibri" w:hAnsi="Arial" w:cs="Arial"/>
          <w:sz w:val="20"/>
          <w:szCs w:val="20"/>
          <w:lang w:val="fr-FR" w:eastAsia="fr-FR"/>
        </w:rPr>
        <w:t>Malgré l’absence de données récentes, une totalité de 160 espèces de poissons, dont 24 sont endémiques, se trouvent dans les cours d’eau du pays. 30 amphibiens et 106 reptiles sont inventoriés.</w:t>
      </w:r>
    </w:p>
    <w:p w14:paraId="509DF5B3" w14:textId="77777777" w:rsidR="00802BA9" w:rsidRPr="00514D53" w:rsidRDefault="00802BA9" w:rsidP="00514D53">
      <w:pPr>
        <w:spacing w:before="120" w:after="120" w:line="240" w:lineRule="auto"/>
        <w:rPr>
          <w:rFonts w:ascii="Arial" w:eastAsia="Calibri" w:hAnsi="Arial" w:cs="Arial"/>
          <w:sz w:val="20"/>
          <w:szCs w:val="20"/>
          <w:lang w:val="fr-FR" w:eastAsia="fr-FR"/>
        </w:rPr>
      </w:pPr>
      <w:r w:rsidRPr="00514D53">
        <w:rPr>
          <w:rFonts w:ascii="Arial" w:eastAsia="Calibri" w:hAnsi="Arial" w:cs="Arial"/>
          <w:sz w:val="20"/>
          <w:szCs w:val="20"/>
          <w:lang w:val="fr-FR" w:eastAsia="fr-FR"/>
        </w:rPr>
        <w:t xml:space="preserve"> La </w:t>
      </w:r>
      <w:r w:rsidRPr="00514D53">
        <w:rPr>
          <w:rFonts w:ascii="Arial" w:eastAsia="Calibri" w:hAnsi="Arial" w:cs="Arial"/>
          <w:b/>
          <w:sz w:val="20"/>
          <w:szCs w:val="20"/>
          <w:lang w:val="fr-FR" w:eastAsia="fr-FR"/>
        </w:rPr>
        <w:t>flore</w:t>
      </w:r>
      <w:r w:rsidRPr="00514D53">
        <w:rPr>
          <w:rFonts w:ascii="Arial" w:eastAsia="Calibri" w:hAnsi="Arial" w:cs="Arial"/>
          <w:sz w:val="20"/>
          <w:szCs w:val="20"/>
          <w:lang w:val="fr-FR" w:eastAsia="fr-FR"/>
        </w:rPr>
        <w:t xml:space="preserve"> compte 1.739 espèces spontanées réparties entre 687 genres provenant de 155 familles. Huit espèces sont endémiques au Mali (Boudet et Lebrun, 1986). Ce sont </w:t>
      </w:r>
      <w:r w:rsidRPr="00514D53">
        <w:rPr>
          <w:rFonts w:ascii="Arial" w:eastAsia="Calibri" w:hAnsi="Arial" w:cs="Arial"/>
          <w:i/>
          <w:sz w:val="20"/>
          <w:szCs w:val="20"/>
          <w:lang w:val="fr-FR" w:eastAsia="fr-FR"/>
        </w:rPr>
        <w:t>Maerua de waillyi, Elatine fauquei, Pteleopsis habeensis, Hibiscus pseudohirtus, Acridocarpus monodii, Gilletiodendron glandulosum, Brachystelma medusanthemum, Pandanus raynali</w:t>
      </w:r>
      <w:r w:rsidRPr="00514D53">
        <w:rPr>
          <w:rFonts w:ascii="Arial" w:eastAsia="Calibri" w:hAnsi="Arial" w:cs="Arial"/>
          <w:sz w:val="20"/>
          <w:szCs w:val="20"/>
          <w:lang w:val="fr-FR" w:eastAsia="fr-FR"/>
        </w:rPr>
        <w:t>i.</w:t>
      </w:r>
      <w:r w:rsidRPr="00514D53">
        <w:rPr>
          <w:rFonts w:ascii="Arial" w:hAnsi="Arial" w:cs="Arial"/>
          <w:sz w:val="20"/>
          <w:szCs w:val="20"/>
          <w:lang w:val="fr-FR"/>
        </w:rPr>
        <w:t xml:space="preserve"> </w:t>
      </w:r>
      <w:r w:rsidRPr="00514D53">
        <w:rPr>
          <w:rFonts w:ascii="Arial" w:eastAsia="Calibri" w:hAnsi="Arial" w:cs="Arial"/>
          <w:sz w:val="20"/>
          <w:szCs w:val="20"/>
          <w:lang w:val="fr-FR" w:eastAsia="fr-FR"/>
        </w:rPr>
        <w:t>Les trois familles non ligneuses les plus importantes numériquement sont les Poaceae, les Fabaceae et les Cyperaceae.</w:t>
      </w:r>
    </w:p>
    <w:p w14:paraId="56E7A360" w14:textId="77777777" w:rsidR="00802BA9" w:rsidRPr="00514D53" w:rsidRDefault="00802BA9" w:rsidP="00514D53">
      <w:pPr>
        <w:spacing w:before="120" w:after="120" w:line="240" w:lineRule="auto"/>
        <w:rPr>
          <w:rFonts w:ascii="Arial" w:eastAsia="Calibri" w:hAnsi="Arial" w:cs="Arial"/>
          <w:color w:val="000000" w:themeColor="text1"/>
          <w:sz w:val="20"/>
          <w:szCs w:val="20"/>
          <w:lang w:val="fr-FR" w:eastAsia="fr-FR"/>
        </w:rPr>
      </w:pPr>
      <w:r w:rsidRPr="00514D53">
        <w:rPr>
          <w:rFonts w:ascii="Arial" w:eastAsia="Calibri" w:hAnsi="Arial" w:cs="Arial"/>
          <w:color w:val="000000" w:themeColor="text1"/>
          <w:sz w:val="20"/>
          <w:szCs w:val="20"/>
          <w:lang w:val="fr-FR" w:eastAsia="fr-FR"/>
        </w:rPr>
        <w:t xml:space="preserve">L’état des </w:t>
      </w:r>
      <w:r w:rsidRPr="00514D53">
        <w:rPr>
          <w:rFonts w:ascii="Arial" w:eastAsia="Calibri" w:hAnsi="Arial" w:cs="Arial"/>
          <w:b/>
          <w:color w:val="000000" w:themeColor="text1"/>
          <w:sz w:val="20"/>
          <w:szCs w:val="20"/>
          <w:lang w:val="fr-FR" w:eastAsia="fr-FR"/>
        </w:rPr>
        <w:t xml:space="preserve">ressources forestières </w:t>
      </w:r>
      <w:r w:rsidRPr="00514D53">
        <w:rPr>
          <w:rFonts w:ascii="Arial" w:eastAsia="Calibri" w:hAnsi="Arial" w:cs="Arial"/>
          <w:color w:val="000000" w:themeColor="text1"/>
          <w:sz w:val="20"/>
          <w:szCs w:val="20"/>
          <w:lang w:val="fr-FR" w:eastAsia="fr-FR"/>
        </w:rPr>
        <w:t>est alarmant</w:t>
      </w:r>
      <w:r w:rsidR="008862DD">
        <w:rPr>
          <w:rFonts w:ascii="Arial" w:eastAsia="Calibri" w:hAnsi="Arial" w:cs="Arial"/>
          <w:color w:val="000000" w:themeColor="text1"/>
          <w:sz w:val="20"/>
          <w:szCs w:val="20"/>
          <w:lang w:val="fr-FR" w:eastAsia="fr-FR"/>
        </w:rPr>
        <w:t xml:space="preserve">. </w:t>
      </w:r>
      <w:r w:rsidR="008862DD" w:rsidRPr="00603729">
        <w:rPr>
          <w:rFonts w:ascii="Arial" w:eastAsia="Calibri" w:hAnsi="Arial" w:cs="Arial"/>
          <w:color w:val="000000" w:themeColor="text1"/>
          <w:sz w:val="20"/>
          <w:szCs w:val="20"/>
          <w:lang w:val="fr-FR" w:eastAsia="fr-FR"/>
        </w:rPr>
        <w:t>Notamment les besoins en bois – énergie des centres urbaines dépassent largement les capacités de régénération naturelle (§ 2.2.4)</w:t>
      </w:r>
      <w:r w:rsidRPr="00767C25">
        <w:rPr>
          <w:rFonts w:ascii="Arial" w:eastAsia="Calibri" w:hAnsi="Arial" w:cs="Arial"/>
          <w:color w:val="000000" w:themeColor="text1"/>
          <w:sz w:val="20"/>
          <w:szCs w:val="20"/>
          <w:lang w:val="fr-FR" w:eastAsia="fr-FR"/>
        </w:rPr>
        <w:t>.</w:t>
      </w:r>
      <w:r w:rsidRPr="00514D53">
        <w:rPr>
          <w:rFonts w:ascii="Arial" w:eastAsia="Calibri" w:hAnsi="Arial" w:cs="Arial"/>
          <w:color w:val="000000" w:themeColor="text1"/>
          <w:sz w:val="20"/>
          <w:szCs w:val="20"/>
          <w:lang w:val="fr-FR" w:eastAsia="fr-FR"/>
        </w:rPr>
        <w:t xml:space="preserve"> Les inventaires forestiers récents (2006 et 2014) montrent un degré de dégradation beaucoup plus élevé qu’estimé auparavant. Uniquement 17% du </w:t>
      </w:r>
      <w:r w:rsidRPr="001445C5">
        <w:rPr>
          <w:rFonts w:ascii="Arial" w:eastAsia="Calibri" w:hAnsi="Arial" w:cs="Arial"/>
          <w:color w:val="000000" w:themeColor="text1"/>
          <w:sz w:val="20"/>
          <w:szCs w:val="20"/>
          <w:lang w:val="fr-FR" w:eastAsia="fr-FR"/>
        </w:rPr>
        <w:t xml:space="preserve">territoire national ont une réelle capacité de production forestière. La surface forestière au Mali aujourd’hui </w:t>
      </w:r>
      <w:r w:rsidR="008A7B23" w:rsidRPr="001445C5">
        <w:rPr>
          <w:rFonts w:ascii="Arial" w:eastAsia="Calibri" w:hAnsi="Arial" w:cs="Arial"/>
          <w:color w:val="000000" w:themeColor="text1"/>
          <w:sz w:val="20"/>
          <w:szCs w:val="20"/>
          <w:lang w:val="fr-FR" w:eastAsia="fr-FR"/>
        </w:rPr>
        <w:t>est estimée à 4.7</w:t>
      </w:r>
      <w:r w:rsidRPr="001445C5">
        <w:rPr>
          <w:rFonts w:ascii="Arial" w:eastAsia="Calibri" w:hAnsi="Arial" w:cs="Arial"/>
          <w:color w:val="000000" w:themeColor="text1"/>
          <w:sz w:val="20"/>
          <w:szCs w:val="20"/>
          <w:lang w:val="fr-FR" w:eastAsia="fr-FR"/>
        </w:rPr>
        <w:t>15</w:t>
      </w:r>
      <w:r w:rsidR="008A7B23" w:rsidRPr="001445C5">
        <w:rPr>
          <w:rFonts w:ascii="Arial" w:eastAsia="Calibri" w:hAnsi="Arial" w:cs="Arial"/>
          <w:color w:val="000000" w:themeColor="text1"/>
          <w:sz w:val="20"/>
          <w:szCs w:val="20"/>
          <w:lang w:val="fr-FR" w:eastAsia="fr-FR"/>
        </w:rPr>
        <w:t>.</w:t>
      </w:r>
      <w:r w:rsidRPr="001445C5">
        <w:rPr>
          <w:rFonts w:ascii="Arial" w:eastAsia="Calibri" w:hAnsi="Arial" w:cs="Arial"/>
          <w:color w:val="000000" w:themeColor="text1"/>
          <w:sz w:val="20"/>
          <w:szCs w:val="20"/>
          <w:lang w:val="fr-FR" w:eastAsia="fr-FR"/>
        </w:rPr>
        <w:t>0</w:t>
      </w:r>
      <w:r w:rsidR="008A7B23" w:rsidRPr="001445C5">
        <w:rPr>
          <w:rFonts w:ascii="Arial" w:eastAsia="Calibri" w:hAnsi="Arial" w:cs="Arial"/>
          <w:color w:val="000000" w:themeColor="text1"/>
          <w:sz w:val="20"/>
          <w:szCs w:val="20"/>
          <w:lang w:val="fr-FR" w:eastAsia="fr-FR"/>
        </w:rPr>
        <w:t>00 ha</w:t>
      </w:r>
      <w:r w:rsidRPr="001445C5">
        <w:rPr>
          <w:rFonts w:ascii="Arial" w:eastAsia="Calibri" w:hAnsi="Arial" w:cs="Arial"/>
          <w:color w:val="000000" w:themeColor="text1"/>
          <w:sz w:val="20"/>
          <w:szCs w:val="20"/>
          <w:lang w:val="fr-FR" w:eastAsia="fr-FR"/>
        </w:rPr>
        <w:t xml:space="preserve"> (2015), en baisse depuis </w:t>
      </w:r>
      <w:r w:rsidR="008A7B23" w:rsidRPr="001445C5">
        <w:rPr>
          <w:rFonts w:ascii="Arial" w:eastAsia="Calibri" w:hAnsi="Arial" w:cs="Arial"/>
          <w:color w:val="000000" w:themeColor="text1"/>
          <w:sz w:val="20"/>
          <w:szCs w:val="20"/>
          <w:lang w:val="fr-FR" w:eastAsia="fr-FR"/>
        </w:rPr>
        <w:t>2000 où elle était estimée à 5.9</w:t>
      </w:r>
      <w:r w:rsidRPr="001445C5">
        <w:rPr>
          <w:rFonts w:ascii="Arial" w:eastAsia="Calibri" w:hAnsi="Arial" w:cs="Arial"/>
          <w:color w:val="000000" w:themeColor="text1"/>
          <w:sz w:val="20"/>
          <w:szCs w:val="20"/>
          <w:lang w:val="fr-FR" w:eastAsia="fr-FR"/>
        </w:rPr>
        <w:t>00</w:t>
      </w:r>
      <w:r w:rsidR="008A7B23" w:rsidRPr="001445C5">
        <w:rPr>
          <w:rFonts w:ascii="Arial" w:eastAsia="Calibri" w:hAnsi="Arial" w:cs="Arial"/>
          <w:color w:val="000000" w:themeColor="text1"/>
          <w:sz w:val="20"/>
          <w:szCs w:val="20"/>
          <w:lang w:val="fr-FR" w:eastAsia="fr-FR"/>
        </w:rPr>
        <w:t>.</w:t>
      </w:r>
      <w:r w:rsidRPr="001445C5">
        <w:rPr>
          <w:rFonts w:ascii="Arial" w:eastAsia="Calibri" w:hAnsi="Arial" w:cs="Arial"/>
          <w:color w:val="000000" w:themeColor="text1"/>
          <w:sz w:val="20"/>
          <w:szCs w:val="20"/>
          <w:lang w:val="fr-FR" w:eastAsia="fr-FR"/>
        </w:rPr>
        <w:t>0</w:t>
      </w:r>
      <w:r w:rsidR="008A7B23" w:rsidRPr="001445C5">
        <w:rPr>
          <w:rFonts w:ascii="Arial" w:eastAsia="Calibri" w:hAnsi="Arial" w:cs="Arial"/>
          <w:color w:val="000000" w:themeColor="text1"/>
          <w:sz w:val="20"/>
          <w:szCs w:val="20"/>
          <w:lang w:val="fr-FR" w:eastAsia="fr-FR"/>
        </w:rPr>
        <w:t>00 ha</w:t>
      </w:r>
      <w:r w:rsidRPr="001445C5">
        <w:rPr>
          <w:rFonts w:ascii="Arial" w:eastAsia="Calibri" w:hAnsi="Arial" w:cs="Arial"/>
          <w:color w:val="000000" w:themeColor="text1"/>
          <w:sz w:val="20"/>
          <w:szCs w:val="20"/>
          <w:lang w:val="fr-FR" w:eastAsia="fr-FR"/>
        </w:rPr>
        <w:t xml:space="preserve"> (draft PNE, 2018). Les régions productives ont perdu en moyenne 23% (17 à 34%) des surfaces forestières semi-naturelles entre 1987 (PIRL, 1988) et 2014 (inventaire forestier 2014). Le volume total sur pied est estimé à 221.172.159 m</w:t>
      </w:r>
      <w:r w:rsidRPr="001445C5">
        <w:rPr>
          <w:rFonts w:ascii="Arial" w:eastAsia="Calibri" w:hAnsi="Arial" w:cs="Arial"/>
          <w:color w:val="000000" w:themeColor="text1"/>
          <w:sz w:val="20"/>
          <w:szCs w:val="20"/>
          <w:vertAlign w:val="superscript"/>
          <w:lang w:val="fr-FR" w:eastAsia="fr-FR"/>
        </w:rPr>
        <w:t>3</w:t>
      </w:r>
      <w:r w:rsidRPr="001445C5">
        <w:rPr>
          <w:rFonts w:ascii="Arial" w:eastAsia="Calibri" w:hAnsi="Arial" w:cs="Arial"/>
          <w:color w:val="000000" w:themeColor="text1"/>
          <w:sz w:val="20"/>
          <w:szCs w:val="20"/>
          <w:lang w:val="fr-FR" w:eastAsia="fr-FR"/>
        </w:rPr>
        <w:t xml:space="preserve"> sur une base de 54.435 km</w:t>
      </w:r>
      <w:r w:rsidRPr="001445C5">
        <w:rPr>
          <w:rFonts w:ascii="Arial" w:eastAsia="Calibri" w:hAnsi="Arial" w:cs="Arial"/>
          <w:color w:val="000000" w:themeColor="text1"/>
          <w:sz w:val="20"/>
          <w:szCs w:val="20"/>
          <w:vertAlign w:val="superscript"/>
          <w:lang w:val="fr-FR" w:eastAsia="fr-FR"/>
        </w:rPr>
        <w:t>2</w:t>
      </w:r>
      <w:r w:rsidRPr="001445C5">
        <w:rPr>
          <w:rFonts w:ascii="Arial" w:eastAsia="Calibri" w:hAnsi="Arial" w:cs="Arial"/>
          <w:color w:val="000000" w:themeColor="text1"/>
          <w:sz w:val="20"/>
          <w:szCs w:val="20"/>
          <w:lang w:val="fr-FR" w:eastAsia="fr-FR"/>
        </w:rPr>
        <w:t xml:space="preserve"> (DNEF, 2014). Le volume de bois mort existant dans les diverses formations est de 20.258.736 m</w:t>
      </w:r>
      <w:r w:rsidRPr="001445C5">
        <w:rPr>
          <w:rFonts w:ascii="Arial" w:eastAsia="Calibri" w:hAnsi="Arial" w:cs="Arial"/>
          <w:color w:val="000000" w:themeColor="text1"/>
          <w:sz w:val="20"/>
          <w:szCs w:val="20"/>
          <w:vertAlign w:val="superscript"/>
          <w:lang w:val="fr-FR" w:eastAsia="fr-FR"/>
        </w:rPr>
        <w:t>3</w:t>
      </w:r>
      <w:r w:rsidRPr="001445C5">
        <w:rPr>
          <w:rFonts w:ascii="Arial" w:eastAsia="Calibri" w:hAnsi="Arial" w:cs="Arial"/>
          <w:color w:val="000000" w:themeColor="text1"/>
          <w:sz w:val="20"/>
          <w:szCs w:val="20"/>
          <w:lang w:val="fr-FR" w:eastAsia="fr-FR"/>
        </w:rPr>
        <w:t>. La</w:t>
      </w:r>
      <w:r w:rsidRPr="00514D53">
        <w:rPr>
          <w:rFonts w:ascii="Arial" w:eastAsia="Calibri" w:hAnsi="Arial" w:cs="Arial"/>
          <w:color w:val="000000" w:themeColor="text1"/>
          <w:sz w:val="20"/>
          <w:szCs w:val="20"/>
          <w:lang w:val="fr-FR" w:eastAsia="fr-FR"/>
        </w:rPr>
        <w:t xml:space="preserve"> productivité moyenne </w:t>
      </w:r>
      <w:r w:rsidRPr="008E7F14">
        <w:rPr>
          <w:rFonts w:ascii="Arial" w:eastAsia="Calibri" w:hAnsi="Arial" w:cs="Arial"/>
          <w:sz w:val="20"/>
          <w:szCs w:val="20"/>
          <w:lang w:val="fr-FR" w:eastAsia="fr-FR"/>
        </w:rPr>
        <w:t>est de 0,86 m³</w:t>
      </w:r>
      <w:r w:rsidR="00120350" w:rsidRPr="008E7F14">
        <w:rPr>
          <w:rFonts w:ascii="Arial" w:eastAsia="Calibri" w:hAnsi="Arial" w:cs="Arial"/>
          <w:sz w:val="20"/>
          <w:szCs w:val="20"/>
          <w:lang w:val="fr-FR" w:eastAsia="fr-FR"/>
        </w:rPr>
        <w:t xml:space="preserve"> ou</w:t>
      </w:r>
      <w:r w:rsidR="00BA2536" w:rsidRPr="008E7F14">
        <w:rPr>
          <w:rFonts w:ascii="Arial" w:eastAsia="Calibri" w:hAnsi="Arial" w:cs="Arial"/>
          <w:sz w:val="20"/>
          <w:szCs w:val="20"/>
          <w:lang w:val="fr-FR" w:eastAsia="fr-FR"/>
        </w:rPr>
        <w:t xml:space="preserve"> 0,653 t</w:t>
      </w:r>
      <w:r w:rsidRPr="008E7F14">
        <w:rPr>
          <w:rFonts w:ascii="Arial" w:eastAsia="Calibri" w:hAnsi="Arial" w:cs="Arial"/>
          <w:sz w:val="20"/>
          <w:szCs w:val="20"/>
          <w:lang w:val="fr-FR" w:eastAsia="fr-FR"/>
        </w:rPr>
        <w:t>/ha/an</w:t>
      </w:r>
      <w:r w:rsidR="00BA2536" w:rsidRPr="008E7F14">
        <w:rPr>
          <w:rStyle w:val="Appelnotedebasdep"/>
          <w:rFonts w:ascii="Arial" w:eastAsia="Calibri" w:hAnsi="Arial" w:cs="Arial"/>
          <w:sz w:val="20"/>
          <w:szCs w:val="20"/>
          <w:lang w:val="fr-FR" w:eastAsia="fr-FR"/>
        </w:rPr>
        <w:footnoteReference w:id="10"/>
      </w:r>
      <w:r w:rsidRPr="008E7F14">
        <w:rPr>
          <w:rFonts w:ascii="Arial" w:eastAsia="Calibri" w:hAnsi="Arial" w:cs="Arial"/>
          <w:sz w:val="20"/>
          <w:szCs w:val="20"/>
          <w:lang w:val="fr-FR" w:eastAsia="fr-FR"/>
        </w:rPr>
        <w:t xml:space="preserve"> et elle varie de 1 à 1,5 m³</w:t>
      </w:r>
      <w:r w:rsidR="00120350" w:rsidRPr="008E7F14">
        <w:rPr>
          <w:rFonts w:ascii="Arial" w:eastAsia="Calibri" w:hAnsi="Arial" w:cs="Arial"/>
          <w:sz w:val="20"/>
          <w:szCs w:val="20"/>
          <w:lang w:val="fr-FR" w:eastAsia="fr-FR"/>
        </w:rPr>
        <w:t xml:space="preserve"> (1,138 </w:t>
      </w:r>
      <w:r w:rsidR="0060791B" w:rsidRPr="008E7F14">
        <w:rPr>
          <w:rFonts w:ascii="Arial" w:eastAsia="Calibri" w:hAnsi="Arial" w:cs="Arial"/>
          <w:sz w:val="20"/>
          <w:szCs w:val="20"/>
          <w:lang w:val="fr-FR" w:eastAsia="fr-FR"/>
        </w:rPr>
        <w:t>t/</w:t>
      </w:r>
      <w:r w:rsidRPr="008E7F14">
        <w:rPr>
          <w:rFonts w:ascii="Arial" w:eastAsia="Calibri" w:hAnsi="Arial" w:cs="Arial"/>
          <w:sz w:val="20"/>
          <w:szCs w:val="20"/>
          <w:lang w:val="fr-FR" w:eastAsia="fr-FR"/>
        </w:rPr>
        <w:t>ha/an en zone soudano-guinéenne à 0,3 et 0,05 m³</w:t>
      </w:r>
      <w:r w:rsidR="00120350" w:rsidRPr="008E7F14">
        <w:rPr>
          <w:rFonts w:ascii="Arial" w:eastAsia="Calibri" w:hAnsi="Arial" w:cs="Arial"/>
          <w:sz w:val="20"/>
          <w:szCs w:val="20"/>
          <w:lang w:val="fr-FR" w:eastAsia="fr-FR"/>
        </w:rPr>
        <w:t xml:space="preserve"> (0,228 et </w:t>
      </w:r>
      <w:r w:rsidR="00120350" w:rsidRPr="008E7F14">
        <w:rPr>
          <w:rFonts w:ascii="Arial" w:eastAsia="Calibri" w:hAnsi="Arial" w:cs="Arial"/>
          <w:sz w:val="20"/>
          <w:szCs w:val="20"/>
          <w:lang w:val="fr-FR" w:eastAsia="fr-FR"/>
        </w:rPr>
        <w:lastRenderedPageBreak/>
        <w:t xml:space="preserve">0,038 t) </w:t>
      </w:r>
      <w:r w:rsidRPr="008E7F14">
        <w:rPr>
          <w:rFonts w:ascii="Arial" w:eastAsia="Calibri" w:hAnsi="Arial" w:cs="Arial"/>
          <w:sz w:val="20"/>
          <w:szCs w:val="20"/>
          <w:lang w:val="fr-FR" w:eastAsia="fr-FR"/>
        </w:rPr>
        <w:t xml:space="preserve">/ha/an en zone sahélienne et en zone saharienne. Le potentiel de régénération annuelle est estimé à 7 millions de tonnes </w:t>
      </w:r>
      <w:r w:rsidR="00120350" w:rsidRPr="008E7F14">
        <w:rPr>
          <w:rFonts w:ascii="Arial" w:eastAsia="Calibri" w:hAnsi="Arial" w:cs="Arial"/>
          <w:sz w:val="20"/>
          <w:szCs w:val="20"/>
          <w:lang w:val="fr-FR" w:eastAsia="fr-FR"/>
        </w:rPr>
        <w:t>ou 9,223 millions de m</w:t>
      </w:r>
      <w:r w:rsidR="00120350" w:rsidRPr="008E7F14">
        <w:rPr>
          <w:rFonts w:ascii="Arial" w:eastAsia="Calibri" w:hAnsi="Arial" w:cs="Arial"/>
          <w:sz w:val="20"/>
          <w:szCs w:val="20"/>
          <w:vertAlign w:val="superscript"/>
          <w:lang w:val="fr-FR" w:eastAsia="fr-FR"/>
        </w:rPr>
        <w:t>3</w:t>
      </w:r>
      <w:r w:rsidR="00120350" w:rsidRPr="008E7F14">
        <w:rPr>
          <w:rFonts w:ascii="Arial" w:eastAsia="Calibri" w:hAnsi="Arial" w:cs="Arial"/>
          <w:sz w:val="20"/>
          <w:szCs w:val="20"/>
          <w:lang w:val="fr-FR" w:eastAsia="fr-FR"/>
        </w:rPr>
        <w:t xml:space="preserve"> </w:t>
      </w:r>
      <w:r w:rsidRPr="008E7F14">
        <w:rPr>
          <w:rFonts w:ascii="Arial" w:eastAsia="Calibri" w:hAnsi="Arial" w:cs="Arial"/>
          <w:sz w:val="20"/>
          <w:szCs w:val="20"/>
          <w:lang w:val="fr-FR" w:eastAsia="fr-FR"/>
        </w:rPr>
        <w:t>par an (</w:t>
      </w:r>
      <w:r w:rsidR="00BA2536" w:rsidRPr="008E7F14">
        <w:rPr>
          <w:rFonts w:ascii="Arial" w:eastAsia="Calibri" w:hAnsi="Arial" w:cs="Arial"/>
          <w:sz w:val="20"/>
          <w:szCs w:val="20"/>
          <w:lang w:val="fr-FR" w:eastAsia="fr-FR"/>
        </w:rPr>
        <w:t>PANA, 2007)</w:t>
      </w:r>
      <w:r w:rsidRPr="008E7F14">
        <w:rPr>
          <w:rFonts w:ascii="Arial" w:eastAsia="Calibri" w:hAnsi="Arial" w:cs="Arial"/>
          <w:sz w:val="20"/>
          <w:szCs w:val="20"/>
          <w:lang w:val="fr-FR" w:eastAsia="fr-FR"/>
        </w:rPr>
        <w:t xml:space="preserve">. Selon les estimations, les prélèvements annuels correspondent à un déboisement qui </w:t>
      </w:r>
      <w:r w:rsidRPr="00514D53">
        <w:rPr>
          <w:rFonts w:ascii="Arial" w:eastAsia="Calibri" w:hAnsi="Arial" w:cs="Arial"/>
          <w:color w:val="000000" w:themeColor="text1"/>
          <w:sz w:val="20"/>
          <w:szCs w:val="20"/>
          <w:lang w:val="fr-FR" w:eastAsia="fr-FR"/>
        </w:rPr>
        <w:t>dépasse 500.000 ha (DNEF, 2017). Les besoins d’énergie domestique couverts par la biomasse (bois) sont passés de 1.745 en 2007 à 4.228 Ktep en 2016 (DNE/ SIE- 2017). A cela s’ajoute des défrichements importants liés, entre autres, à des besoins de bois d’œuvre, l‘extension de l’agriculture</w:t>
      </w:r>
      <w:r w:rsidR="008862DD">
        <w:rPr>
          <w:rFonts w:ascii="Arial" w:eastAsia="Calibri" w:hAnsi="Arial" w:cs="Arial"/>
          <w:color w:val="000000" w:themeColor="text1"/>
          <w:sz w:val="20"/>
          <w:szCs w:val="20"/>
          <w:lang w:val="fr-FR" w:eastAsia="fr-FR"/>
        </w:rPr>
        <w:t xml:space="preserve"> </w:t>
      </w:r>
      <w:r w:rsidR="008862DD" w:rsidRPr="00603729">
        <w:rPr>
          <w:rFonts w:ascii="Arial" w:eastAsia="Calibri" w:hAnsi="Arial" w:cs="Arial"/>
          <w:color w:val="000000" w:themeColor="text1"/>
          <w:sz w:val="20"/>
          <w:szCs w:val="20"/>
          <w:lang w:val="fr-FR" w:eastAsia="fr-FR"/>
        </w:rPr>
        <w:t>(coton)</w:t>
      </w:r>
      <w:r w:rsidRPr="00514D53">
        <w:rPr>
          <w:rFonts w:ascii="Arial" w:eastAsia="Calibri" w:hAnsi="Arial" w:cs="Arial"/>
          <w:color w:val="000000" w:themeColor="text1"/>
          <w:sz w:val="20"/>
          <w:szCs w:val="20"/>
          <w:lang w:val="fr-FR" w:eastAsia="fr-FR"/>
        </w:rPr>
        <w:t>, la construction d’infrastructures, l’urbanisation et l’augmentation accrue de l’orpaillage. Les feux de brousse ont augmenté significativement de 4.464.628 ha (campagne 2015/16) à 5.355.820 ha (campagne 2016/17) (DNEF, 2018). Les pressions anthropiques sur les ressources forestières se sont accélérées suite à la migration interne de la population face à l’insécurité dans certaines zones, une croissance démographique toujours très élevée (3,6 % par an) et aux effets des changements climatiques affaiblissant la productivité de la ressource.</w:t>
      </w:r>
    </w:p>
    <w:p w14:paraId="0F73816E" w14:textId="77777777" w:rsidR="00C03C17" w:rsidRDefault="00802BA9" w:rsidP="00514D53">
      <w:pPr>
        <w:spacing w:before="120" w:after="120" w:line="240" w:lineRule="auto"/>
        <w:rPr>
          <w:rFonts w:ascii="Arial" w:eastAsia="Calibri" w:hAnsi="Arial" w:cs="Arial"/>
          <w:color w:val="000000" w:themeColor="text1"/>
          <w:sz w:val="20"/>
          <w:szCs w:val="20"/>
          <w:lang w:val="fr-FR" w:eastAsia="fr-FR"/>
        </w:rPr>
      </w:pPr>
      <w:r w:rsidRPr="00514D53">
        <w:rPr>
          <w:rFonts w:ascii="Arial" w:eastAsia="Calibri" w:hAnsi="Arial" w:cs="Arial"/>
          <w:color w:val="000000" w:themeColor="text1"/>
          <w:sz w:val="20"/>
          <w:szCs w:val="20"/>
          <w:lang w:val="fr-FR" w:eastAsia="fr-FR"/>
        </w:rPr>
        <w:t xml:space="preserve">Les </w:t>
      </w:r>
      <w:r w:rsidRPr="00514D53">
        <w:rPr>
          <w:rFonts w:ascii="Arial" w:eastAsia="Calibri" w:hAnsi="Arial" w:cs="Arial"/>
          <w:b/>
          <w:color w:val="000000" w:themeColor="text1"/>
          <w:sz w:val="20"/>
          <w:szCs w:val="20"/>
          <w:lang w:val="fr-FR" w:eastAsia="fr-FR"/>
        </w:rPr>
        <w:t>ressources pastorales</w:t>
      </w:r>
      <w:r w:rsidRPr="00514D53">
        <w:rPr>
          <w:rFonts w:ascii="Arial" w:eastAsia="Calibri" w:hAnsi="Arial" w:cs="Arial"/>
          <w:color w:val="000000" w:themeColor="text1"/>
          <w:sz w:val="20"/>
          <w:szCs w:val="20"/>
          <w:lang w:val="fr-FR" w:eastAsia="fr-FR"/>
        </w:rPr>
        <w:t>, constituées par les formations herbacées plus ou moins boisées, couvre une superficie totale estimée à 35 millions d’ha (Plan d’Action Viande Rouge, 1995). La répétition de mauvaises années pluviométriques, les pressions humaines et animales ont entraîné un éclaircissement du couvert végétal d’une part et la disparition d’espèces herbacées et ligneuses d’autre part. Dans le Nord et le centre du pays, il y a disparition de bonnes graminées fourragères (</w:t>
      </w:r>
      <w:r w:rsidRPr="00514D53">
        <w:rPr>
          <w:rFonts w:ascii="Arial" w:eastAsia="Calibri" w:hAnsi="Arial" w:cs="Arial"/>
          <w:i/>
          <w:color w:val="000000" w:themeColor="text1"/>
          <w:sz w:val="20"/>
          <w:szCs w:val="20"/>
          <w:lang w:val="fr-FR" w:eastAsia="fr-FR"/>
        </w:rPr>
        <w:t>Cenchrus biflorus, Schoenfeldia gracilis, Panicum laetum</w:t>
      </w:r>
      <w:r w:rsidRPr="00514D53">
        <w:rPr>
          <w:rFonts w:ascii="Arial" w:eastAsia="Calibri" w:hAnsi="Arial" w:cs="Arial"/>
          <w:color w:val="000000" w:themeColor="text1"/>
          <w:sz w:val="20"/>
          <w:szCs w:val="20"/>
          <w:lang w:val="fr-FR" w:eastAsia="fr-FR"/>
        </w:rPr>
        <w:t>) au profit d’espèces moins productives et plus adaptées aux conditions climatiques plus drastiques (</w:t>
      </w:r>
      <w:r w:rsidRPr="00514D53">
        <w:rPr>
          <w:rFonts w:ascii="Arial" w:eastAsia="Calibri" w:hAnsi="Arial" w:cs="Arial"/>
          <w:i/>
          <w:color w:val="000000" w:themeColor="text1"/>
          <w:sz w:val="20"/>
          <w:szCs w:val="20"/>
          <w:lang w:val="fr-FR" w:eastAsia="fr-FR"/>
        </w:rPr>
        <w:t>Aristida spp.).</w:t>
      </w:r>
      <w:r w:rsidRPr="00514D53">
        <w:rPr>
          <w:rFonts w:ascii="Arial" w:eastAsia="Calibri" w:hAnsi="Arial" w:cs="Arial"/>
          <w:color w:val="000000" w:themeColor="text1"/>
          <w:sz w:val="20"/>
          <w:szCs w:val="20"/>
          <w:lang w:val="fr-FR" w:eastAsia="fr-FR"/>
        </w:rPr>
        <w:t xml:space="preserve"> De même, pour les ligneux, il y a remplacement des </w:t>
      </w:r>
      <w:r w:rsidRPr="00514D53">
        <w:rPr>
          <w:rFonts w:ascii="Arial" w:eastAsia="Calibri" w:hAnsi="Arial" w:cs="Arial"/>
          <w:i/>
          <w:color w:val="000000" w:themeColor="text1"/>
          <w:sz w:val="20"/>
          <w:szCs w:val="20"/>
          <w:lang w:val="fr-FR" w:eastAsia="fr-FR"/>
        </w:rPr>
        <w:t xml:space="preserve">Acacias spp., Ziziphus spp. </w:t>
      </w:r>
      <w:r w:rsidRPr="00514D53">
        <w:rPr>
          <w:rFonts w:ascii="Arial" w:eastAsia="Calibri" w:hAnsi="Arial" w:cs="Arial"/>
          <w:color w:val="000000" w:themeColor="text1"/>
          <w:sz w:val="20"/>
          <w:szCs w:val="20"/>
          <w:lang w:val="fr-FR" w:eastAsia="fr-FR"/>
        </w:rPr>
        <w:t xml:space="preserve">par </w:t>
      </w:r>
      <w:r w:rsidRPr="00514D53">
        <w:rPr>
          <w:rFonts w:ascii="Arial" w:eastAsia="Calibri" w:hAnsi="Arial" w:cs="Arial"/>
          <w:i/>
          <w:color w:val="000000" w:themeColor="text1"/>
          <w:sz w:val="20"/>
          <w:szCs w:val="20"/>
          <w:lang w:val="fr-FR" w:eastAsia="fr-FR"/>
        </w:rPr>
        <w:t xml:space="preserve">Calotropis procera, Leptadenia pyrotechnica, </w:t>
      </w:r>
      <w:r w:rsidRPr="00514D53">
        <w:rPr>
          <w:rFonts w:ascii="Arial" w:eastAsia="Calibri" w:hAnsi="Arial" w:cs="Arial"/>
          <w:color w:val="000000" w:themeColor="text1"/>
          <w:sz w:val="20"/>
          <w:szCs w:val="20"/>
          <w:lang w:val="fr-FR" w:eastAsia="fr-FR"/>
        </w:rPr>
        <w:t>etc.</w:t>
      </w:r>
      <w:r w:rsidRPr="00514D53">
        <w:rPr>
          <w:rFonts w:ascii="Arial" w:eastAsia="Calibri" w:hAnsi="Arial" w:cs="Arial"/>
          <w:i/>
          <w:color w:val="000000" w:themeColor="text1"/>
          <w:sz w:val="20"/>
          <w:szCs w:val="20"/>
          <w:lang w:val="fr-FR" w:eastAsia="fr-FR"/>
        </w:rPr>
        <w:t xml:space="preserve"> </w:t>
      </w:r>
      <w:r w:rsidRPr="00514D53">
        <w:rPr>
          <w:rFonts w:ascii="Arial" w:eastAsia="Calibri" w:hAnsi="Arial" w:cs="Arial"/>
          <w:color w:val="000000" w:themeColor="text1"/>
          <w:sz w:val="20"/>
          <w:szCs w:val="20"/>
          <w:lang w:val="fr-FR" w:eastAsia="fr-FR"/>
        </w:rPr>
        <w:t xml:space="preserve">L’Ouest du pays voit la disparition des graminées telles </w:t>
      </w:r>
      <w:r w:rsidRPr="00514D53">
        <w:rPr>
          <w:rFonts w:ascii="Arial" w:eastAsia="Calibri" w:hAnsi="Arial" w:cs="Arial"/>
          <w:i/>
          <w:color w:val="000000" w:themeColor="text1"/>
          <w:sz w:val="20"/>
          <w:szCs w:val="20"/>
          <w:lang w:val="fr-FR" w:eastAsia="fr-FR"/>
        </w:rPr>
        <w:t xml:space="preserve">Andropogon gayanus, </w:t>
      </w:r>
      <w:r w:rsidRPr="00514D53">
        <w:rPr>
          <w:rFonts w:ascii="Arial" w:eastAsia="Calibri" w:hAnsi="Arial" w:cs="Arial"/>
          <w:color w:val="000000" w:themeColor="text1"/>
          <w:sz w:val="20"/>
          <w:szCs w:val="20"/>
          <w:lang w:val="fr-FR" w:eastAsia="fr-FR"/>
        </w:rPr>
        <w:t xml:space="preserve">(vivace), </w:t>
      </w:r>
      <w:r w:rsidRPr="00514D53">
        <w:rPr>
          <w:rFonts w:ascii="Arial" w:eastAsia="Calibri" w:hAnsi="Arial" w:cs="Arial"/>
          <w:i/>
          <w:color w:val="000000" w:themeColor="text1"/>
          <w:sz w:val="20"/>
          <w:szCs w:val="20"/>
          <w:lang w:val="fr-FR" w:eastAsia="fr-FR"/>
        </w:rPr>
        <w:t>Pennisetum pedicellatum</w:t>
      </w:r>
      <w:r w:rsidRPr="00514D53">
        <w:rPr>
          <w:rStyle w:val="Appelnotedebasdep"/>
          <w:rFonts w:ascii="Arial" w:eastAsia="Calibri" w:hAnsi="Arial" w:cs="Arial"/>
          <w:i/>
          <w:color w:val="000000" w:themeColor="text1"/>
          <w:sz w:val="20"/>
          <w:szCs w:val="20"/>
          <w:lang w:val="fr-FR" w:eastAsia="fr-FR"/>
        </w:rPr>
        <w:footnoteReference w:id="11"/>
      </w:r>
      <w:r w:rsidRPr="00514D53">
        <w:rPr>
          <w:rFonts w:ascii="Arial" w:eastAsia="Calibri" w:hAnsi="Arial" w:cs="Arial"/>
          <w:i/>
          <w:color w:val="000000" w:themeColor="text1"/>
          <w:sz w:val="20"/>
          <w:szCs w:val="20"/>
          <w:lang w:val="fr-FR" w:eastAsia="fr-FR"/>
        </w:rPr>
        <w:t xml:space="preserve"> </w:t>
      </w:r>
      <w:r w:rsidRPr="00514D53">
        <w:rPr>
          <w:rFonts w:ascii="Arial" w:eastAsia="Calibri" w:hAnsi="Arial" w:cs="Arial"/>
          <w:color w:val="000000" w:themeColor="text1"/>
          <w:sz w:val="20"/>
          <w:szCs w:val="20"/>
          <w:lang w:val="fr-FR" w:eastAsia="fr-FR"/>
        </w:rPr>
        <w:t>(annuelle) et des arbres et arbustes tels (</w:t>
      </w:r>
      <w:r w:rsidRPr="00514D53">
        <w:rPr>
          <w:rFonts w:ascii="Arial" w:eastAsia="Calibri" w:hAnsi="Arial" w:cs="Arial"/>
          <w:i/>
          <w:color w:val="000000" w:themeColor="text1"/>
          <w:sz w:val="20"/>
          <w:szCs w:val="20"/>
          <w:lang w:val="fr-FR" w:eastAsia="fr-FR"/>
        </w:rPr>
        <w:t>Combretum glutinosum, Grewia spp. Pterocarpus lucens ou Ven</w:t>
      </w:r>
      <w:r w:rsidRPr="00514D53">
        <w:rPr>
          <w:rFonts w:ascii="Arial" w:eastAsia="Calibri" w:hAnsi="Arial" w:cs="Arial"/>
          <w:color w:val="000000" w:themeColor="text1"/>
          <w:sz w:val="20"/>
          <w:szCs w:val="20"/>
          <w:lang w:val="fr-FR" w:eastAsia="fr-FR"/>
        </w:rPr>
        <w:t>).  La baisse de la diversité du cortège floristique entraine une diminution de la valeur pastorale des parcours d’une part et une baisse de la production herbacée d’autre part. La productivité des pâturages varie de moins de 0,6 tonne de matière sèche (MS) à l’hectare (ha) à plus de de 4 t MS/ha au Sud peut atteindre 8 à 15 t MS/ha dans le Delta du Niger grâce à la présence du bourgou (</w:t>
      </w:r>
      <w:r w:rsidRPr="00514D53">
        <w:rPr>
          <w:rFonts w:ascii="Arial" w:eastAsia="Calibri" w:hAnsi="Arial" w:cs="Arial"/>
          <w:i/>
          <w:color w:val="000000" w:themeColor="text1"/>
          <w:sz w:val="20"/>
          <w:szCs w:val="20"/>
          <w:lang w:val="fr-FR" w:eastAsia="fr-FR"/>
        </w:rPr>
        <w:t>Echinocloa stagnina)</w:t>
      </w:r>
      <w:r w:rsidRPr="00514D53">
        <w:rPr>
          <w:rFonts w:ascii="Arial" w:eastAsia="Calibri" w:hAnsi="Arial" w:cs="Arial"/>
          <w:color w:val="000000" w:themeColor="text1"/>
          <w:sz w:val="20"/>
          <w:szCs w:val="20"/>
          <w:lang w:val="fr-FR" w:eastAsia="fr-FR"/>
        </w:rPr>
        <w:t>. En année pluviométrique moyenne, les ressources fourragères atteignent 77 millions de tonnes de MS pour des besoins estimés à environ 20 millions de tonnes de MS. Ainsi, en année pluviométrique normale, sous réserve que les transhumances ne connaissent pas d’entraves (ce qui n’est plus le cas depuis la crise de 2012), il y a peu de problème d’alimentation pour le bétail. Toutefois, avec l’accroissement des sécheresses, le maillage des points d’abreuvement nécessite d’être grandement amélioré (§ 2.2.1)</w:t>
      </w:r>
      <w:r w:rsidR="00C03C17">
        <w:rPr>
          <w:rFonts w:ascii="Arial" w:eastAsia="Calibri" w:hAnsi="Arial" w:cs="Arial"/>
          <w:color w:val="000000" w:themeColor="text1"/>
          <w:sz w:val="20"/>
          <w:szCs w:val="20"/>
          <w:lang w:val="fr-FR" w:eastAsia="fr-FR"/>
        </w:rPr>
        <w:t xml:space="preserve">, </w:t>
      </w:r>
      <w:r w:rsidRPr="00514D53">
        <w:rPr>
          <w:rFonts w:ascii="Arial" w:eastAsia="Calibri" w:hAnsi="Arial" w:cs="Arial"/>
          <w:color w:val="000000" w:themeColor="text1"/>
          <w:sz w:val="20"/>
          <w:szCs w:val="20"/>
          <w:lang w:val="fr-FR" w:eastAsia="fr-FR"/>
        </w:rPr>
        <w:t xml:space="preserve">les feux de brousse mieux contrôlés (5,35 millions d’ha en 2017 -§ 2.1.2) </w:t>
      </w:r>
      <w:r w:rsidR="00C03C17" w:rsidRPr="00603729">
        <w:rPr>
          <w:rFonts w:ascii="Arial" w:eastAsia="Calibri" w:hAnsi="Arial" w:cs="Arial"/>
          <w:color w:val="000000" w:themeColor="text1"/>
          <w:sz w:val="20"/>
          <w:szCs w:val="20"/>
          <w:lang w:val="fr-FR" w:eastAsia="fr-FR"/>
        </w:rPr>
        <w:t>et une évaluation temporo-spatiale des capacités de charge effectuée</w:t>
      </w:r>
      <w:r w:rsidR="00C03C17">
        <w:rPr>
          <w:rFonts w:ascii="Arial" w:eastAsia="Calibri" w:hAnsi="Arial" w:cs="Arial"/>
          <w:color w:val="000000" w:themeColor="text1"/>
          <w:sz w:val="20"/>
          <w:szCs w:val="20"/>
          <w:lang w:val="fr-FR" w:eastAsia="fr-FR"/>
        </w:rPr>
        <w:t xml:space="preserve"> afin </w:t>
      </w:r>
      <w:r w:rsidRPr="00514D53">
        <w:rPr>
          <w:rFonts w:ascii="Arial" w:eastAsia="Calibri" w:hAnsi="Arial" w:cs="Arial"/>
          <w:color w:val="000000" w:themeColor="text1"/>
          <w:sz w:val="20"/>
          <w:szCs w:val="20"/>
          <w:lang w:val="fr-FR" w:eastAsia="fr-FR"/>
        </w:rPr>
        <w:t xml:space="preserve">de gérer au mieux les ressources pastorales en vue d’une optimisation des performances zootechniques. </w:t>
      </w:r>
    </w:p>
    <w:p w14:paraId="5D390D7C" w14:textId="77777777" w:rsidR="00802BA9" w:rsidRPr="00514D53" w:rsidRDefault="00802BA9" w:rsidP="00514D53">
      <w:pPr>
        <w:spacing w:before="120" w:after="120" w:line="240" w:lineRule="auto"/>
        <w:rPr>
          <w:rFonts w:ascii="Arial" w:eastAsia="Calibri" w:hAnsi="Arial" w:cs="Arial"/>
          <w:color w:val="000000" w:themeColor="text1"/>
          <w:sz w:val="20"/>
          <w:szCs w:val="20"/>
          <w:lang w:val="fr-FR" w:eastAsia="fr-FR"/>
        </w:rPr>
      </w:pPr>
      <w:r w:rsidRPr="00514D53">
        <w:rPr>
          <w:rFonts w:ascii="Arial" w:eastAsia="Calibri" w:hAnsi="Arial" w:cs="Arial"/>
          <w:color w:val="000000" w:themeColor="text1"/>
          <w:sz w:val="20"/>
          <w:szCs w:val="20"/>
          <w:lang w:val="fr-FR" w:eastAsia="fr-FR"/>
        </w:rPr>
        <w:t xml:space="preserve">Le </w:t>
      </w:r>
      <w:r w:rsidRPr="00514D53">
        <w:rPr>
          <w:rFonts w:ascii="Arial" w:eastAsia="Calibri" w:hAnsi="Arial" w:cs="Arial"/>
          <w:b/>
          <w:color w:val="000000" w:themeColor="text1"/>
          <w:sz w:val="20"/>
          <w:szCs w:val="20"/>
          <w:lang w:val="fr-FR" w:eastAsia="fr-FR"/>
        </w:rPr>
        <w:t>potentiel halieuti</w:t>
      </w:r>
      <w:r w:rsidRPr="001445C5">
        <w:rPr>
          <w:rFonts w:ascii="Arial" w:eastAsia="Calibri" w:hAnsi="Arial" w:cs="Arial"/>
          <w:b/>
          <w:color w:val="000000" w:themeColor="text1"/>
          <w:sz w:val="20"/>
          <w:szCs w:val="20"/>
          <w:lang w:val="fr-FR" w:eastAsia="fr-FR"/>
        </w:rPr>
        <w:t xml:space="preserve">que </w:t>
      </w:r>
      <w:r w:rsidRPr="001445C5">
        <w:rPr>
          <w:rFonts w:ascii="Arial" w:eastAsia="Calibri" w:hAnsi="Arial" w:cs="Arial"/>
          <w:color w:val="000000" w:themeColor="text1"/>
          <w:sz w:val="20"/>
          <w:szCs w:val="20"/>
          <w:lang w:val="fr-FR" w:eastAsia="fr-FR"/>
        </w:rPr>
        <w:t>dépend de trois grandes sources d’eau, à savoir le Delta Intérieur du Niger (DIN) dont les surfaces inondées varient entre 2</w:t>
      </w:r>
      <w:r w:rsidR="00BB536B" w:rsidRPr="001445C5">
        <w:rPr>
          <w:rFonts w:ascii="Arial" w:eastAsia="Calibri" w:hAnsi="Arial" w:cs="Arial"/>
          <w:color w:val="000000" w:themeColor="text1"/>
          <w:sz w:val="20"/>
          <w:szCs w:val="20"/>
          <w:lang w:val="fr-FR" w:eastAsia="fr-FR"/>
        </w:rPr>
        <w:t>.00</w:t>
      </w:r>
      <w:r w:rsidRPr="001445C5">
        <w:rPr>
          <w:rFonts w:ascii="Arial" w:eastAsia="Calibri" w:hAnsi="Arial" w:cs="Arial"/>
          <w:color w:val="000000" w:themeColor="text1"/>
          <w:sz w:val="20"/>
          <w:szCs w:val="20"/>
          <w:lang w:val="fr-FR" w:eastAsia="fr-FR"/>
        </w:rPr>
        <w:t>0.000 et 3</w:t>
      </w:r>
      <w:r w:rsidR="00BB536B" w:rsidRPr="001445C5">
        <w:rPr>
          <w:rFonts w:ascii="Arial" w:eastAsia="Calibri" w:hAnsi="Arial" w:cs="Arial"/>
          <w:color w:val="000000" w:themeColor="text1"/>
          <w:sz w:val="20"/>
          <w:szCs w:val="20"/>
          <w:lang w:val="fr-FR" w:eastAsia="fr-FR"/>
        </w:rPr>
        <w:t>.00</w:t>
      </w:r>
      <w:r w:rsidRPr="001445C5">
        <w:rPr>
          <w:rFonts w:ascii="Arial" w:eastAsia="Calibri" w:hAnsi="Arial" w:cs="Arial"/>
          <w:color w:val="000000" w:themeColor="text1"/>
          <w:sz w:val="20"/>
          <w:szCs w:val="20"/>
          <w:lang w:val="fr-FR" w:eastAsia="fr-FR"/>
        </w:rPr>
        <w:t xml:space="preserve">0.000 </w:t>
      </w:r>
      <w:r w:rsidR="00BB536B" w:rsidRPr="001445C5">
        <w:rPr>
          <w:rFonts w:ascii="Arial" w:eastAsia="Calibri" w:hAnsi="Arial" w:cs="Arial"/>
          <w:color w:val="000000" w:themeColor="text1"/>
          <w:sz w:val="20"/>
          <w:szCs w:val="20"/>
          <w:lang w:val="fr-FR" w:eastAsia="fr-FR"/>
        </w:rPr>
        <w:t>ha</w:t>
      </w:r>
      <w:r w:rsidRPr="001445C5">
        <w:rPr>
          <w:rFonts w:ascii="Arial" w:eastAsia="Calibri" w:hAnsi="Arial" w:cs="Arial"/>
          <w:color w:val="000000" w:themeColor="text1"/>
          <w:sz w:val="20"/>
          <w:szCs w:val="20"/>
          <w:lang w:val="fr-FR" w:eastAsia="fr-FR"/>
        </w:rPr>
        <w:t xml:space="preserve"> selon la crue, la retenue de Sélingué sur le fleuve Niger d’une superficie de 40</w:t>
      </w:r>
      <w:r w:rsidR="00BB536B" w:rsidRPr="001445C5">
        <w:rPr>
          <w:rFonts w:ascii="Arial" w:eastAsia="Calibri" w:hAnsi="Arial" w:cs="Arial"/>
          <w:color w:val="000000" w:themeColor="text1"/>
          <w:sz w:val="20"/>
          <w:szCs w:val="20"/>
          <w:lang w:val="fr-FR" w:eastAsia="fr-FR"/>
        </w:rPr>
        <w:t>.</w:t>
      </w:r>
      <w:r w:rsidRPr="001445C5">
        <w:rPr>
          <w:rFonts w:ascii="Arial" w:eastAsia="Calibri" w:hAnsi="Arial" w:cs="Arial"/>
          <w:color w:val="000000" w:themeColor="text1"/>
          <w:sz w:val="20"/>
          <w:szCs w:val="20"/>
          <w:lang w:val="fr-FR" w:eastAsia="fr-FR"/>
        </w:rPr>
        <w:t>9</w:t>
      </w:r>
      <w:r w:rsidR="00BB536B" w:rsidRPr="001445C5">
        <w:rPr>
          <w:rFonts w:ascii="Arial" w:eastAsia="Calibri" w:hAnsi="Arial" w:cs="Arial"/>
          <w:color w:val="000000" w:themeColor="text1"/>
          <w:sz w:val="20"/>
          <w:szCs w:val="20"/>
          <w:lang w:val="fr-FR" w:eastAsia="fr-FR"/>
        </w:rPr>
        <w:t>00</w:t>
      </w:r>
      <w:r w:rsidRPr="001445C5">
        <w:rPr>
          <w:rFonts w:ascii="Arial" w:eastAsia="Calibri" w:hAnsi="Arial" w:cs="Arial"/>
          <w:color w:val="000000" w:themeColor="text1"/>
          <w:sz w:val="20"/>
          <w:szCs w:val="20"/>
          <w:lang w:val="fr-FR" w:eastAsia="fr-FR"/>
        </w:rPr>
        <w:t xml:space="preserve"> </w:t>
      </w:r>
      <w:r w:rsidR="00BB536B" w:rsidRPr="001445C5">
        <w:rPr>
          <w:rFonts w:ascii="Arial" w:eastAsia="Calibri" w:hAnsi="Arial" w:cs="Arial"/>
          <w:color w:val="000000" w:themeColor="text1"/>
          <w:sz w:val="20"/>
          <w:szCs w:val="20"/>
          <w:lang w:val="fr-FR" w:eastAsia="fr-FR"/>
        </w:rPr>
        <w:t>ha</w:t>
      </w:r>
      <w:r w:rsidRPr="001445C5">
        <w:rPr>
          <w:rFonts w:ascii="Arial" w:eastAsia="Calibri" w:hAnsi="Arial" w:cs="Arial"/>
          <w:color w:val="000000" w:themeColor="text1"/>
          <w:sz w:val="20"/>
          <w:szCs w:val="20"/>
          <w:lang w:val="fr-FR" w:eastAsia="fr-FR"/>
        </w:rPr>
        <w:t xml:space="preserve"> et celle de Manantali sur le Bafing branche mère du fleuve Sénégal couvrant 12.000 ha.  La production oscille entre 50.000 à</w:t>
      </w:r>
      <w:r w:rsidRPr="00514D53">
        <w:rPr>
          <w:rFonts w:ascii="Arial" w:eastAsia="Calibri" w:hAnsi="Arial" w:cs="Arial"/>
          <w:color w:val="000000" w:themeColor="text1"/>
          <w:sz w:val="20"/>
          <w:szCs w:val="20"/>
          <w:lang w:val="fr-FR" w:eastAsia="fr-FR"/>
        </w:rPr>
        <w:t xml:space="preserve"> 110.000 t/an et se concentre dans le DIN avec près de 80% du total (DNP, 2012). Selon les recherches de l’IRD, le potentiel du Delta est étroitement corrélé aux variables i) débit moyen de juillet à septembre de l’année en cours et ii) débit moyen entre juillet et décembre de l’année précédente</w:t>
      </w:r>
      <w:r w:rsidRPr="00514D53">
        <w:rPr>
          <w:rStyle w:val="Appelnotedebasdep"/>
          <w:rFonts w:ascii="Arial" w:eastAsia="Calibri" w:hAnsi="Arial" w:cs="Arial"/>
          <w:color w:val="000000" w:themeColor="text1"/>
          <w:sz w:val="20"/>
          <w:szCs w:val="20"/>
          <w:lang w:val="fr-FR" w:eastAsia="fr-FR"/>
        </w:rPr>
        <w:footnoteReference w:id="12"/>
      </w:r>
      <w:r w:rsidRPr="00514D53">
        <w:rPr>
          <w:rFonts w:ascii="Arial" w:eastAsia="Calibri" w:hAnsi="Arial" w:cs="Arial"/>
          <w:color w:val="000000" w:themeColor="text1"/>
          <w:sz w:val="20"/>
          <w:szCs w:val="20"/>
          <w:lang w:val="fr-FR" w:eastAsia="fr-FR"/>
        </w:rPr>
        <w:t>. L’utilisation de ce modèle à 2 variables permet de gérer efficacement cet hydro système deltaïque. Au potentiel du delta, s’ajoutent celui de Sélingué de 4.000 t/an (rendement estimé de 98 kg/ha/an) et celui de Manantali de 3.000 t/an (65 kg/ha/an). A ceci, il convient d’ajouter la production aquacole de près de 4.000 t/an en 2017 (§ 3.2.4). Actuellement, le pays ne dispose d’aucunes données sur les potentiels de certaines zones de pêcheries secondaires tels le lac Magui, le lac Wénia, et toutes les rivières et mares réparties sur l’ensemble du territoire. Actuellement, ce potentiel est modérément exploité pour les retenues de Manantali et de Sélingué. A l’inverse, pour le DIN, il a été observé une disparition d’espèces de poissons dans le DIN. Selon l’UICN (2014), sur 130 espèces inventoriées, 15 ont disparu des captures des pêcheurs et 10 sont devenues rares. Depuis quelques années le potentiel halieutique des fleuves subit l’impact du dragage ; dragage perturbant les poissons (apparition de poissons morts à la surface de l’eau) et les zones de frayères (§ 2.2.5)</w:t>
      </w:r>
    </w:p>
    <w:p w14:paraId="70C7348C" w14:textId="77777777" w:rsidR="00802BA9" w:rsidRPr="00514D53" w:rsidRDefault="00802BA9" w:rsidP="00514D53">
      <w:pPr>
        <w:spacing w:before="120" w:after="120" w:line="240" w:lineRule="auto"/>
        <w:rPr>
          <w:rFonts w:ascii="Arial" w:eastAsia="Calibri" w:hAnsi="Arial" w:cs="Arial"/>
          <w:sz w:val="20"/>
          <w:szCs w:val="20"/>
          <w:lang w:val="fr-FR" w:eastAsia="fr-FR"/>
        </w:rPr>
      </w:pPr>
    </w:p>
    <w:p w14:paraId="2537CB48" w14:textId="77777777" w:rsidR="00802BA9" w:rsidRPr="00514D53" w:rsidRDefault="00802BA9" w:rsidP="00514D53">
      <w:pPr>
        <w:pStyle w:val="Titre4"/>
        <w:spacing w:before="120" w:after="120"/>
        <w:rPr>
          <w:rFonts w:ascii="Arial" w:hAnsi="Arial"/>
          <w:sz w:val="20"/>
          <w:szCs w:val="20"/>
        </w:rPr>
      </w:pPr>
      <w:r w:rsidRPr="00514D53">
        <w:rPr>
          <w:rFonts w:ascii="Arial" w:hAnsi="Arial"/>
          <w:sz w:val="20"/>
          <w:szCs w:val="20"/>
        </w:rPr>
        <w:t>2.1.2.2 Les écosystèmes (forestiers, pâturages, aquatiques) et leur évolution</w:t>
      </w:r>
    </w:p>
    <w:p w14:paraId="687E5CB3" w14:textId="77777777" w:rsidR="00802BA9" w:rsidRPr="00514D53" w:rsidRDefault="00802BA9" w:rsidP="00514D53">
      <w:pPr>
        <w:spacing w:before="120" w:after="120" w:line="240" w:lineRule="auto"/>
        <w:rPr>
          <w:rFonts w:ascii="Arial" w:eastAsia="Calibri" w:hAnsi="Arial" w:cs="Arial"/>
          <w:sz w:val="20"/>
          <w:szCs w:val="20"/>
          <w:lang w:val="fr-FR" w:eastAsia="fr-FR"/>
        </w:rPr>
      </w:pPr>
      <w:r w:rsidRPr="00514D53">
        <w:rPr>
          <w:rFonts w:ascii="Arial" w:eastAsia="Calibri" w:hAnsi="Arial" w:cs="Arial"/>
          <w:sz w:val="20"/>
          <w:szCs w:val="20"/>
          <w:lang w:val="fr-FR" w:eastAsia="fr-FR"/>
        </w:rPr>
        <w:t>Résultant des 4 zones éco-climatiques et de la présence de grands systèmes fluviaux, cinq grands types d’écosystèmes existent au Mali avec :</w:t>
      </w:r>
    </w:p>
    <w:p w14:paraId="52B72D2C" w14:textId="77777777" w:rsidR="00802BA9" w:rsidRPr="00514D53" w:rsidRDefault="00802BA9" w:rsidP="00514D53">
      <w:pPr>
        <w:numPr>
          <w:ilvl w:val="0"/>
          <w:numId w:val="56"/>
        </w:numPr>
        <w:spacing w:before="120" w:after="120" w:line="240" w:lineRule="auto"/>
        <w:ind w:left="357" w:hanging="357"/>
        <w:rPr>
          <w:rFonts w:ascii="Arial" w:eastAsia="Calibri" w:hAnsi="Arial" w:cs="Arial"/>
          <w:sz w:val="20"/>
          <w:szCs w:val="20"/>
          <w:lang w:val="fr-FR" w:eastAsia="fr-FR"/>
        </w:rPr>
      </w:pPr>
      <w:r w:rsidRPr="00514D53">
        <w:rPr>
          <w:rFonts w:ascii="Arial" w:eastAsia="Calibri" w:hAnsi="Arial" w:cs="Arial"/>
          <w:sz w:val="20"/>
          <w:szCs w:val="20"/>
          <w:lang w:val="fr-FR" w:eastAsia="fr-FR"/>
        </w:rPr>
        <w:t xml:space="preserve">la zone bioclimatique du Sahara appartenant aux écosystèmes désertiques avec une production ligneuse insignifiante voire nulle. Les sols sont squelettiques ou caillouteux. La végétation, lorsqu’elle est présente, </w:t>
      </w:r>
      <w:r w:rsidRPr="00514D53">
        <w:rPr>
          <w:rFonts w:ascii="Arial" w:eastAsia="Calibri" w:hAnsi="Arial" w:cs="Arial"/>
          <w:sz w:val="20"/>
          <w:szCs w:val="20"/>
          <w:lang w:val="fr-FR" w:eastAsia="fr-FR"/>
        </w:rPr>
        <w:lastRenderedPageBreak/>
        <w:t>est confinée dans les dépressions recevant des eaux de ruissellement et est composée d’éphémères annuelles et d’arbustes épineux. Cette zone couvre environ 51% du territoire national.</w:t>
      </w:r>
    </w:p>
    <w:p w14:paraId="584CCB46" w14:textId="77777777" w:rsidR="00802BA9" w:rsidRPr="00514D53" w:rsidRDefault="00802BA9" w:rsidP="00514D53">
      <w:pPr>
        <w:numPr>
          <w:ilvl w:val="0"/>
          <w:numId w:val="56"/>
        </w:numPr>
        <w:spacing w:before="120" w:after="120" w:line="240" w:lineRule="auto"/>
        <w:ind w:left="357" w:hanging="357"/>
        <w:rPr>
          <w:rFonts w:ascii="Arial" w:eastAsia="Calibri" w:hAnsi="Arial" w:cs="Arial"/>
          <w:sz w:val="20"/>
          <w:szCs w:val="20"/>
          <w:lang w:val="fr-FR" w:eastAsia="fr-FR"/>
        </w:rPr>
      </w:pPr>
      <w:r w:rsidRPr="00514D53">
        <w:rPr>
          <w:rFonts w:ascii="Arial" w:eastAsia="Calibri" w:hAnsi="Arial" w:cs="Arial"/>
          <w:sz w:val="20"/>
          <w:szCs w:val="20"/>
          <w:lang w:val="fr-FR" w:eastAsia="fr-FR"/>
        </w:rPr>
        <w:t>la zone bioclimatique du Sahel appartenant globalement aux écosystèmes semi-désertiques, domaine des steppes herbeuses parsemées d’épineux à faible production ligneuse (moins de 10 m</w:t>
      </w:r>
      <w:r w:rsidRPr="00514D53">
        <w:rPr>
          <w:rFonts w:ascii="Arial" w:eastAsia="Calibri" w:hAnsi="Arial" w:cs="Arial"/>
          <w:sz w:val="20"/>
          <w:szCs w:val="20"/>
          <w:vertAlign w:val="superscript"/>
          <w:lang w:val="fr-FR" w:eastAsia="fr-FR"/>
        </w:rPr>
        <w:t>3</w:t>
      </w:r>
      <w:r w:rsidRPr="00514D53">
        <w:rPr>
          <w:rFonts w:ascii="Arial" w:eastAsia="Calibri" w:hAnsi="Arial" w:cs="Arial"/>
          <w:sz w:val="20"/>
          <w:szCs w:val="20"/>
          <w:lang w:val="fr-FR" w:eastAsia="fr-FR"/>
        </w:rPr>
        <w:t>/ha). Le couvert végétal varie selon la topographie et les sols. La zone représente 26% du territoire national.</w:t>
      </w:r>
    </w:p>
    <w:p w14:paraId="151F118D" w14:textId="77777777" w:rsidR="00802BA9" w:rsidRPr="001445C5" w:rsidRDefault="00802BA9" w:rsidP="00514D53">
      <w:pPr>
        <w:numPr>
          <w:ilvl w:val="0"/>
          <w:numId w:val="56"/>
        </w:numPr>
        <w:spacing w:before="120" w:after="120" w:line="240" w:lineRule="auto"/>
        <w:ind w:left="357" w:hanging="357"/>
        <w:rPr>
          <w:rFonts w:ascii="Arial" w:eastAsia="Calibri" w:hAnsi="Arial" w:cs="Arial"/>
          <w:sz w:val="20"/>
          <w:szCs w:val="20"/>
          <w:lang w:val="fr-FR" w:eastAsia="fr-FR"/>
        </w:rPr>
      </w:pPr>
      <w:r w:rsidRPr="00514D53">
        <w:rPr>
          <w:rFonts w:ascii="Arial" w:eastAsia="Calibri" w:hAnsi="Arial" w:cs="Arial"/>
          <w:sz w:val="20"/>
          <w:szCs w:val="20"/>
          <w:lang w:val="fr-FR" w:eastAsia="fr-FR"/>
        </w:rPr>
        <w:t>la zone bioclimatique soudanienne, couvrant environ 17% du territoire, se caractérise par des écosystèmes de savanes arbustives (jusqu’à 10-20 m</w:t>
      </w:r>
      <w:r w:rsidRPr="00514D53">
        <w:rPr>
          <w:rFonts w:ascii="Arial" w:eastAsia="Calibri" w:hAnsi="Arial" w:cs="Arial"/>
          <w:sz w:val="20"/>
          <w:szCs w:val="20"/>
          <w:vertAlign w:val="superscript"/>
          <w:lang w:val="fr-FR" w:eastAsia="fr-FR"/>
        </w:rPr>
        <w:t>3</w:t>
      </w:r>
      <w:r w:rsidRPr="00514D53">
        <w:rPr>
          <w:rFonts w:ascii="Arial" w:eastAsia="Calibri" w:hAnsi="Arial" w:cs="Arial"/>
          <w:sz w:val="20"/>
          <w:szCs w:val="20"/>
          <w:lang w:val="fr-FR" w:eastAsia="fr-FR"/>
        </w:rPr>
        <w:t>/ha), arborées (20 à 40 m</w:t>
      </w:r>
      <w:r w:rsidRPr="00514D53">
        <w:rPr>
          <w:rFonts w:ascii="Arial" w:eastAsia="Calibri" w:hAnsi="Arial" w:cs="Arial"/>
          <w:sz w:val="20"/>
          <w:szCs w:val="20"/>
          <w:vertAlign w:val="superscript"/>
          <w:lang w:val="fr-FR" w:eastAsia="fr-FR"/>
        </w:rPr>
        <w:t>3</w:t>
      </w:r>
      <w:r w:rsidRPr="00514D53">
        <w:rPr>
          <w:rFonts w:ascii="Arial" w:eastAsia="Calibri" w:hAnsi="Arial" w:cs="Arial"/>
          <w:sz w:val="20"/>
          <w:szCs w:val="20"/>
          <w:lang w:val="fr-FR" w:eastAsia="fr-FR"/>
        </w:rPr>
        <w:t>/ha), boisées (40 à 60m</w:t>
      </w:r>
      <w:r w:rsidRPr="00514D53">
        <w:rPr>
          <w:rFonts w:ascii="Arial" w:eastAsia="Calibri" w:hAnsi="Arial" w:cs="Arial"/>
          <w:sz w:val="20"/>
          <w:szCs w:val="20"/>
          <w:vertAlign w:val="superscript"/>
          <w:lang w:val="fr-FR" w:eastAsia="fr-FR"/>
        </w:rPr>
        <w:t>3</w:t>
      </w:r>
      <w:r w:rsidRPr="00514D53">
        <w:rPr>
          <w:rFonts w:ascii="Arial" w:eastAsia="Calibri" w:hAnsi="Arial" w:cs="Arial"/>
          <w:sz w:val="20"/>
          <w:szCs w:val="20"/>
          <w:lang w:val="fr-FR" w:eastAsia="fr-FR"/>
        </w:rPr>
        <w:t xml:space="preserve">/ha) et par des galeries forestières (plus de </w:t>
      </w:r>
      <w:r w:rsidRPr="001445C5">
        <w:rPr>
          <w:rFonts w:ascii="Arial" w:eastAsia="Calibri" w:hAnsi="Arial" w:cs="Arial"/>
          <w:sz w:val="20"/>
          <w:szCs w:val="20"/>
          <w:lang w:val="fr-FR" w:eastAsia="fr-FR"/>
        </w:rPr>
        <w:t>60 m</w:t>
      </w:r>
      <w:r w:rsidRPr="001445C5">
        <w:rPr>
          <w:rFonts w:ascii="Arial" w:eastAsia="Calibri" w:hAnsi="Arial" w:cs="Arial"/>
          <w:sz w:val="20"/>
          <w:szCs w:val="20"/>
          <w:vertAlign w:val="superscript"/>
          <w:lang w:val="fr-FR" w:eastAsia="fr-FR"/>
        </w:rPr>
        <w:t>3</w:t>
      </w:r>
      <w:r w:rsidRPr="001445C5">
        <w:rPr>
          <w:rFonts w:ascii="Arial" w:eastAsia="Calibri" w:hAnsi="Arial" w:cs="Arial"/>
          <w:sz w:val="20"/>
          <w:szCs w:val="20"/>
          <w:lang w:val="fr-FR" w:eastAsia="fr-FR"/>
        </w:rPr>
        <w:t xml:space="preserve">/ha). </w:t>
      </w:r>
    </w:p>
    <w:p w14:paraId="63F10EE2" w14:textId="77777777" w:rsidR="00802BA9" w:rsidRPr="001445C5" w:rsidRDefault="00802BA9" w:rsidP="00514D53">
      <w:pPr>
        <w:numPr>
          <w:ilvl w:val="0"/>
          <w:numId w:val="56"/>
        </w:numPr>
        <w:spacing w:before="120" w:after="120" w:line="240" w:lineRule="auto"/>
        <w:ind w:left="357" w:hanging="357"/>
        <w:rPr>
          <w:rFonts w:ascii="Arial" w:eastAsia="Calibri" w:hAnsi="Arial" w:cs="Arial"/>
          <w:sz w:val="20"/>
          <w:szCs w:val="20"/>
          <w:lang w:val="fr-FR" w:eastAsia="fr-FR"/>
        </w:rPr>
      </w:pPr>
      <w:r w:rsidRPr="001445C5">
        <w:rPr>
          <w:rFonts w:ascii="Arial" w:eastAsia="Calibri" w:hAnsi="Arial" w:cs="Arial"/>
          <w:sz w:val="20"/>
          <w:szCs w:val="20"/>
          <w:lang w:val="fr-FR" w:eastAsia="fr-FR"/>
        </w:rPr>
        <w:t>la zone bioclimatique guinéenne appartenant aux écosystèmes forestiers avec des savanes boisées (40-60 m</w:t>
      </w:r>
      <w:r w:rsidRPr="001445C5">
        <w:rPr>
          <w:rFonts w:ascii="Arial" w:eastAsia="Calibri" w:hAnsi="Arial" w:cs="Arial"/>
          <w:sz w:val="20"/>
          <w:szCs w:val="20"/>
          <w:vertAlign w:val="superscript"/>
          <w:lang w:val="fr-FR" w:eastAsia="fr-FR"/>
        </w:rPr>
        <w:t>3</w:t>
      </w:r>
      <w:r w:rsidRPr="001445C5">
        <w:rPr>
          <w:rFonts w:ascii="Arial" w:eastAsia="Calibri" w:hAnsi="Arial" w:cs="Arial"/>
          <w:sz w:val="20"/>
          <w:szCs w:val="20"/>
          <w:lang w:val="fr-FR" w:eastAsia="fr-FR"/>
        </w:rPr>
        <w:t>/ha) et des forêts claires (60 à 80 m</w:t>
      </w:r>
      <w:r w:rsidRPr="001445C5">
        <w:rPr>
          <w:rFonts w:ascii="Arial" w:eastAsia="Calibri" w:hAnsi="Arial" w:cs="Arial"/>
          <w:sz w:val="20"/>
          <w:szCs w:val="20"/>
          <w:vertAlign w:val="superscript"/>
          <w:lang w:val="fr-FR" w:eastAsia="fr-FR"/>
        </w:rPr>
        <w:t>3</w:t>
      </w:r>
      <w:r w:rsidRPr="001445C5">
        <w:rPr>
          <w:rFonts w:ascii="Arial" w:eastAsia="Calibri" w:hAnsi="Arial" w:cs="Arial"/>
          <w:sz w:val="20"/>
          <w:szCs w:val="20"/>
          <w:lang w:val="fr-FR" w:eastAsia="fr-FR"/>
        </w:rPr>
        <w:t>/ha). Elle couvre 6% du territoire.</w:t>
      </w:r>
    </w:p>
    <w:p w14:paraId="31D4EAF0" w14:textId="77777777" w:rsidR="00802BA9" w:rsidRPr="00514D53" w:rsidRDefault="00802BA9" w:rsidP="00514D53">
      <w:pPr>
        <w:numPr>
          <w:ilvl w:val="0"/>
          <w:numId w:val="56"/>
        </w:numPr>
        <w:spacing w:before="120" w:after="120" w:line="240" w:lineRule="auto"/>
        <w:ind w:left="357" w:hanging="357"/>
        <w:rPr>
          <w:rFonts w:ascii="Arial" w:eastAsia="Calibri" w:hAnsi="Arial" w:cs="Arial"/>
          <w:sz w:val="20"/>
          <w:szCs w:val="20"/>
          <w:lang w:val="fr-FR" w:eastAsia="fr-FR"/>
        </w:rPr>
      </w:pPr>
      <w:r w:rsidRPr="001445C5">
        <w:rPr>
          <w:rFonts w:ascii="Arial" w:eastAsia="Calibri" w:hAnsi="Arial" w:cs="Arial"/>
          <w:sz w:val="20"/>
          <w:szCs w:val="20"/>
          <w:lang w:val="fr-FR" w:eastAsia="fr-FR"/>
        </w:rPr>
        <w:t>le delta intérieur du fleuve Niger, aussi appelé zone lacustre ou zone inondée, couvre environ 6</w:t>
      </w:r>
      <w:r w:rsidR="00BB536B" w:rsidRPr="001445C5">
        <w:rPr>
          <w:rFonts w:ascii="Arial" w:eastAsia="Calibri" w:hAnsi="Arial" w:cs="Arial"/>
          <w:sz w:val="20"/>
          <w:szCs w:val="20"/>
          <w:lang w:val="fr-FR" w:eastAsia="fr-FR"/>
        </w:rPr>
        <w:t>.</w:t>
      </w:r>
      <w:r w:rsidRPr="001445C5">
        <w:rPr>
          <w:rFonts w:ascii="Arial" w:eastAsia="Calibri" w:hAnsi="Arial" w:cs="Arial"/>
          <w:sz w:val="20"/>
          <w:szCs w:val="20"/>
          <w:lang w:val="fr-FR" w:eastAsia="fr-FR"/>
        </w:rPr>
        <w:t>4</w:t>
      </w:r>
      <w:r w:rsidR="00BB536B" w:rsidRPr="001445C5">
        <w:rPr>
          <w:rFonts w:ascii="Arial" w:eastAsia="Calibri" w:hAnsi="Arial" w:cs="Arial"/>
          <w:sz w:val="20"/>
          <w:szCs w:val="20"/>
          <w:lang w:val="fr-FR" w:eastAsia="fr-FR"/>
        </w:rPr>
        <w:t>00</w:t>
      </w:r>
      <w:r w:rsidRPr="001445C5">
        <w:rPr>
          <w:rFonts w:ascii="Arial" w:eastAsia="Calibri" w:hAnsi="Arial" w:cs="Arial"/>
          <w:sz w:val="20"/>
          <w:szCs w:val="20"/>
          <w:lang w:val="fr-FR" w:eastAsia="fr-FR"/>
        </w:rPr>
        <w:t xml:space="preserve">.000 </w:t>
      </w:r>
      <w:r w:rsidR="00BB536B" w:rsidRPr="001445C5">
        <w:rPr>
          <w:rFonts w:ascii="Arial" w:eastAsia="Calibri" w:hAnsi="Arial" w:cs="Arial"/>
          <w:sz w:val="20"/>
          <w:szCs w:val="20"/>
          <w:lang w:val="fr-FR" w:eastAsia="fr-FR"/>
        </w:rPr>
        <w:t>ha</w:t>
      </w:r>
      <w:r w:rsidRPr="001445C5">
        <w:rPr>
          <w:rFonts w:ascii="Arial" w:eastAsia="Calibri" w:hAnsi="Arial" w:cs="Arial"/>
          <w:sz w:val="20"/>
          <w:szCs w:val="20"/>
          <w:lang w:val="fr-FR" w:eastAsia="fr-FR"/>
        </w:rPr>
        <w:t xml:space="preserve"> et est un écosystème spécifique lié à l’hydrographie et aux inondations régulières. Il s’apparente aux écosystèmes d’eau douce avec des prairies herbeuses ponctuées d’arbres épars et de petits massifs ligneux. Il présente des formations végétales très différentes en fonction de la durée et</w:t>
      </w:r>
      <w:r w:rsidRPr="00514D53">
        <w:rPr>
          <w:rFonts w:ascii="Arial" w:eastAsia="Calibri" w:hAnsi="Arial" w:cs="Arial"/>
          <w:sz w:val="20"/>
          <w:szCs w:val="20"/>
          <w:lang w:val="fr-FR" w:eastAsia="fr-FR"/>
        </w:rPr>
        <w:t xml:space="preserve"> de la hauteur de la submersion. C’est le lieu par excellence de la riziculture et de la pêche. Plus de 1,5 millions de personnes dépendent de ses ressources naturelles et on y dénombre 5 millions de têtes de bétail avec une production de viande variant entre 50 à 180.000 t/an. Avec ses 300 km de long sur 100 km de large le delta joue un rôle régulateur dans le climat de la région.</w:t>
      </w:r>
    </w:p>
    <w:p w14:paraId="5045D62C" w14:textId="77777777" w:rsidR="00802BA9" w:rsidRPr="00514D53" w:rsidRDefault="00802BA9" w:rsidP="00514D53">
      <w:pPr>
        <w:spacing w:before="120" w:after="120" w:line="240" w:lineRule="auto"/>
        <w:rPr>
          <w:rFonts w:ascii="Arial" w:eastAsia="Calibri" w:hAnsi="Arial" w:cs="Arial"/>
          <w:sz w:val="20"/>
          <w:szCs w:val="20"/>
          <w:lang w:val="fr-FR" w:eastAsia="fr-FR"/>
        </w:rPr>
      </w:pPr>
      <w:r w:rsidRPr="00514D53">
        <w:rPr>
          <w:rFonts w:ascii="Arial" w:eastAsia="Calibri" w:hAnsi="Arial" w:cs="Arial"/>
          <w:sz w:val="20"/>
          <w:szCs w:val="20"/>
          <w:lang w:val="fr-FR" w:eastAsia="fr-FR"/>
        </w:rPr>
        <w:t xml:space="preserve">Le </w:t>
      </w:r>
      <w:r w:rsidRPr="00514D53">
        <w:rPr>
          <w:rFonts w:ascii="Arial" w:eastAsia="Calibri" w:hAnsi="Arial" w:cs="Arial"/>
          <w:b/>
          <w:sz w:val="20"/>
          <w:szCs w:val="20"/>
          <w:lang w:val="fr-FR" w:eastAsia="fr-FR"/>
        </w:rPr>
        <w:t xml:space="preserve">couvert végétal continue de se dégrader, parfois, dramatiquement </w:t>
      </w:r>
      <w:r w:rsidRPr="00514D53">
        <w:rPr>
          <w:rFonts w:ascii="Arial" w:eastAsia="Calibri" w:hAnsi="Arial" w:cs="Arial"/>
          <w:sz w:val="20"/>
          <w:szCs w:val="20"/>
          <w:lang w:val="fr-FR" w:eastAsia="fr-FR"/>
        </w:rPr>
        <w:t>au Mali. Les zones actuellement semi-désertiques étaient, il y a 40 à 50 ans, des savanes très boisées, voire des forêts galeries où prospéraient une faune abondante, de grands mammifères et des oiseaux. Jusqu’à la fin des années 50, la carte du climat et de la végétation du Mali révélait une vaste zone de savane arborée et même de forêt galerie caractérisée par des isohyètes allant de 500 à 1.500 mm (pointe Sud du pays). La steppe sahélienne s’étendait jusqu’aux environs de Tombouctou et de Ménaka. Depuis 10 à 15 ans, on constate : (i) la disparition totale des isohyètes de 1.500 mm, les maximums restent inférieurs à 1300 mm, (ii) la sahélisation de la savane (Bamako et environs) et (iii) la progression (Sud) des zones désertiques et semi-désertiques jusqu’à la latitude de Mopti (14° 31’ N). Le patrimoine naturel riche et varié du Mali est menacé de disparition à cause essentiellement de l’homme (défrichement et agriculture inadaptée sur les terres marginales, surpâturage, braconnage, pêche illicite, feux de brousse, lutte chimique antiparasitaire et anti aviaire, utilisation des pesticides, coupe de bois, exploitation minière, développement non coordonné de l’infrastructure) et par les aléas climatiques (augmentation de la température et déficit pluviométriques notamment). La transformation par l’homme produit un morcellement des écosystèmes naturels et la perte de ses capacités de régénération à fournir les services écosystémiques. Cette situation est exacerbée par i) la faiblesse de la sensibilisation à la protection de l’environnement, ii) l’accroissement démographique très élevé de 3,6%/an, iii) la persistance de l’insécurité avec ses effets liés au Nord du pays depuis la crise socio - sécuritaire de 2012/2013 et l’affaiblissement des structures de contrôle. Parmi les obstacles qui freinent la préservation des ressources biologiques figurent les conflits fonciers, l’insécurité foncière, l’insuffisance des moyens de l’Etat pour assurer la surveillance et la gestion appropriée des ressources, et l’accroissement des besoins en ressources naturelles des populations qui restent encore à un niveau de pauvreté élevée.</w:t>
      </w:r>
    </w:p>
    <w:p w14:paraId="22363FC9" w14:textId="77777777" w:rsidR="00802BA9" w:rsidRPr="00514D53" w:rsidRDefault="00802BA9" w:rsidP="00514D53">
      <w:pPr>
        <w:autoSpaceDE w:val="0"/>
        <w:autoSpaceDN w:val="0"/>
        <w:adjustRightInd w:val="0"/>
        <w:spacing w:before="120" w:after="120" w:line="240" w:lineRule="auto"/>
        <w:rPr>
          <w:rFonts w:ascii="Arial" w:hAnsi="Arial" w:cs="Arial"/>
          <w:b/>
          <w:bCs/>
          <w:color w:val="0070C0"/>
          <w:sz w:val="20"/>
          <w:szCs w:val="20"/>
          <w:lang w:val="fr-FR"/>
        </w:rPr>
      </w:pPr>
    </w:p>
    <w:p w14:paraId="1639C7C8" w14:textId="77777777" w:rsidR="00802BA9" w:rsidRPr="00514D53" w:rsidRDefault="00802BA9" w:rsidP="00514D53">
      <w:pPr>
        <w:pStyle w:val="Titre4"/>
        <w:spacing w:before="120" w:after="120"/>
        <w:rPr>
          <w:rFonts w:ascii="Arial" w:hAnsi="Arial"/>
          <w:sz w:val="20"/>
          <w:szCs w:val="20"/>
        </w:rPr>
      </w:pPr>
      <w:r w:rsidRPr="00514D53">
        <w:rPr>
          <w:rFonts w:ascii="Arial" w:hAnsi="Arial"/>
          <w:sz w:val="20"/>
          <w:szCs w:val="20"/>
        </w:rPr>
        <w:t>2.1.2.3 Les ressources biologiques importantes au niveau culturel, social ou économique</w:t>
      </w:r>
    </w:p>
    <w:p w14:paraId="41B1FB41" w14:textId="77777777" w:rsidR="00802BA9" w:rsidRPr="00514D53" w:rsidRDefault="00802BA9" w:rsidP="00514D53">
      <w:pPr>
        <w:spacing w:before="120" w:after="120" w:line="240" w:lineRule="auto"/>
        <w:rPr>
          <w:rFonts w:ascii="Arial" w:eastAsia="Calibri" w:hAnsi="Arial" w:cs="Arial"/>
          <w:sz w:val="20"/>
          <w:szCs w:val="20"/>
          <w:lang w:val="fr-FR" w:eastAsia="fr-FR"/>
        </w:rPr>
      </w:pPr>
      <w:r w:rsidRPr="00514D53">
        <w:rPr>
          <w:rFonts w:ascii="Arial" w:eastAsia="Calibri" w:hAnsi="Arial" w:cs="Arial"/>
          <w:sz w:val="20"/>
          <w:szCs w:val="20"/>
          <w:lang w:val="fr-FR" w:eastAsia="fr-FR"/>
        </w:rPr>
        <w:t xml:space="preserve">La cueillette des </w:t>
      </w:r>
      <w:r w:rsidRPr="00514D53">
        <w:rPr>
          <w:rFonts w:ascii="Arial" w:eastAsia="Calibri" w:hAnsi="Arial" w:cs="Arial"/>
          <w:b/>
          <w:sz w:val="20"/>
          <w:szCs w:val="20"/>
          <w:lang w:val="fr-FR" w:eastAsia="fr-FR"/>
        </w:rPr>
        <w:t>produits forestiers non – ligneux (PFNL)</w:t>
      </w:r>
      <w:r w:rsidRPr="00514D53">
        <w:rPr>
          <w:rFonts w:ascii="Arial" w:eastAsia="Calibri" w:hAnsi="Arial" w:cs="Arial"/>
          <w:sz w:val="20"/>
          <w:szCs w:val="20"/>
          <w:lang w:val="fr-FR" w:eastAsia="fr-FR"/>
        </w:rPr>
        <w:t xml:space="preserve"> avec, notamment, le fonio sauvage, karité, néré, tamarin, feuilles et fruits de baobab, cram – cram, rôniers, bambous</w:t>
      </w:r>
      <w:r w:rsidR="008A7B23">
        <w:rPr>
          <w:rFonts w:ascii="Arial" w:eastAsia="Calibri" w:hAnsi="Arial" w:cs="Arial"/>
          <w:sz w:val="20"/>
          <w:szCs w:val="20"/>
          <w:lang w:val="fr-FR" w:eastAsia="fr-FR"/>
        </w:rPr>
        <w:t xml:space="preserve">, </w:t>
      </w:r>
      <w:r w:rsidRPr="00514D53">
        <w:rPr>
          <w:rFonts w:ascii="Arial" w:eastAsia="Calibri" w:hAnsi="Arial" w:cs="Arial"/>
          <w:sz w:val="20"/>
          <w:szCs w:val="20"/>
          <w:lang w:val="fr-FR" w:eastAsia="fr-FR"/>
        </w:rPr>
        <w:t>a une place traditionnelle très importante dans l’autoconsommation</w:t>
      </w:r>
      <w:r w:rsidR="009B6F68">
        <w:rPr>
          <w:rFonts w:ascii="Arial" w:eastAsia="Calibri" w:hAnsi="Arial" w:cs="Arial"/>
          <w:sz w:val="20"/>
          <w:szCs w:val="20"/>
          <w:lang w:val="fr-FR" w:eastAsia="fr-FR"/>
        </w:rPr>
        <w:t xml:space="preserve"> et</w:t>
      </w:r>
      <w:r w:rsidRPr="00514D53">
        <w:rPr>
          <w:rFonts w:ascii="Arial" w:eastAsia="Calibri" w:hAnsi="Arial" w:cs="Arial"/>
          <w:sz w:val="20"/>
          <w:szCs w:val="20"/>
          <w:lang w:val="fr-FR" w:eastAsia="fr-FR"/>
        </w:rPr>
        <w:t xml:space="preserve"> la sécurité alimentaire en milieu rural, surtout pendant les années de famine (annexe 7.4.1). L’économie familiale est basée sur les produits de cueillette comme les amandes de karité, la gomme arabique, le rônier, le bambou, le miel etc. Ces dernières années, la cueillette à but commercial a connu un développement remarquable avec le développement de véritables filières économiques.</w:t>
      </w:r>
      <w:r w:rsidRPr="00514D53">
        <w:rPr>
          <w:rFonts w:ascii="Arial" w:hAnsi="Arial" w:cs="Arial"/>
          <w:sz w:val="20"/>
          <w:szCs w:val="20"/>
        </w:rPr>
        <w:t xml:space="preserve"> La production des PFNL a plus que doublé entre 2014 et 2017, </w:t>
      </w:r>
      <w:r w:rsidRPr="008E7F14">
        <w:rPr>
          <w:rFonts w:ascii="Arial" w:hAnsi="Arial" w:cs="Arial"/>
          <w:sz w:val="20"/>
          <w:szCs w:val="20"/>
        </w:rPr>
        <w:t>passant d</w:t>
      </w:r>
      <w:r w:rsidR="00705AAC" w:rsidRPr="008E7F14">
        <w:rPr>
          <w:rFonts w:ascii="Arial" w:hAnsi="Arial" w:cs="Arial"/>
          <w:sz w:val="20"/>
          <w:szCs w:val="20"/>
        </w:rPr>
        <w:t>’environ</w:t>
      </w:r>
      <w:r w:rsidRPr="008E7F14">
        <w:rPr>
          <w:rFonts w:ascii="Arial" w:hAnsi="Arial" w:cs="Arial"/>
          <w:sz w:val="20"/>
          <w:szCs w:val="20"/>
        </w:rPr>
        <w:t xml:space="preserve"> 2</w:t>
      </w:r>
      <w:r w:rsidR="00705AAC" w:rsidRPr="008E7F14">
        <w:rPr>
          <w:rFonts w:ascii="Arial" w:hAnsi="Arial" w:cs="Arial"/>
          <w:sz w:val="20"/>
          <w:szCs w:val="20"/>
        </w:rPr>
        <w:t>.350.000 kg</w:t>
      </w:r>
      <w:r w:rsidRPr="008E7F14">
        <w:rPr>
          <w:rFonts w:ascii="Arial" w:hAnsi="Arial" w:cs="Arial"/>
          <w:sz w:val="20"/>
          <w:szCs w:val="20"/>
        </w:rPr>
        <w:t xml:space="preserve"> à près de 5</w:t>
      </w:r>
      <w:r w:rsidR="00705AAC" w:rsidRPr="008E7F14">
        <w:rPr>
          <w:rFonts w:ascii="Arial" w:hAnsi="Arial" w:cs="Arial"/>
          <w:sz w:val="20"/>
          <w:szCs w:val="20"/>
        </w:rPr>
        <w:t xml:space="preserve">.000.000 </w:t>
      </w:r>
      <w:r w:rsidR="0060791B" w:rsidRPr="008E7F14">
        <w:rPr>
          <w:rFonts w:ascii="Arial" w:hAnsi="Arial" w:cs="Arial"/>
          <w:sz w:val="20"/>
          <w:szCs w:val="20"/>
        </w:rPr>
        <w:t>kg tou</w:t>
      </w:r>
      <w:r w:rsidR="0060791B" w:rsidRPr="00514D53">
        <w:rPr>
          <w:rFonts w:ascii="Arial" w:hAnsi="Arial" w:cs="Arial"/>
          <w:sz w:val="20"/>
          <w:szCs w:val="20"/>
        </w:rPr>
        <w:t>s</w:t>
      </w:r>
      <w:r w:rsidRPr="00514D53">
        <w:rPr>
          <w:rFonts w:ascii="Arial" w:hAnsi="Arial" w:cs="Arial"/>
          <w:sz w:val="20"/>
          <w:szCs w:val="20"/>
        </w:rPr>
        <w:t xml:space="preserve"> produits confondus (</w:t>
      </w:r>
      <w:r w:rsidR="00105F75" w:rsidRPr="00514D53">
        <w:rPr>
          <w:rFonts w:ascii="Arial" w:hAnsi="Arial" w:cs="Arial"/>
          <w:sz w:val="20"/>
          <w:szCs w:val="20"/>
        </w:rPr>
        <w:t>AEDD</w:t>
      </w:r>
      <w:r w:rsidRPr="00514D53">
        <w:rPr>
          <w:rFonts w:ascii="Arial" w:hAnsi="Arial" w:cs="Arial"/>
          <w:sz w:val="20"/>
          <w:szCs w:val="20"/>
        </w:rPr>
        <w:t>, 2018).</w:t>
      </w:r>
      <w:r w:rsidRPr="00514D53">
        <w:rPr>
          <w:rFonts w:ascii="Arial" w:eastAsia="Calibri" w:hAnsi="Arial" w:cs="Arial"/>
          <w:sz w:val="20"/>
          <w:szCs w:val="20"/>
          <w:lang w:val="fr-FR" w:eastAsia="fr-FR"/>
        </w:rPr>
        <w:t xml:space="preserve"> Le niveau de production de la gomme arabique est estimé à 49.380 kg, soit une valeur de 1.234.500 FCFA (DNEF- Rapports annuels de 2014 à 2017). Les noix de karité (</w:t>
      </w:r>
      <w:r w:rsidRPr="00514D53">
        <w:rPr>
          <w:rFonts w:ascii="Arial" w:eastAsia="Calibri" w:hAnsi="Arial" w:cs="Arial"/>
          <w:i/>
          <w:sz w:val="20"/>
          <w:szCs w:val="20"/>
          <w:lang w:val="fr-FR" w:eastAsia="fr-FR"/>
        </w:rPr>
        <w:t>Vitellaria paradoxa</w:t>
      </w:r>
      <w:r w:rsidRPr="00514D53">
        <w:rPr>
          <w:rFonts w:ascii="Arial" w:eastAsia="Calibri" w:hAnsi="Arial" w:cs="Arial"/>
          <w:sz w:val="20"/>
          <w:szCs w:val="20"/>
          <w:lang w:val="fr-FR" w:eastAsia="fr-FR"/>
        </w:rPr>
        <w:t>), le « zaban » (</w:t>
      </w:r>
      <w:r w:rsidRPr="00514D53">
        <w:rPr>
          <w:rFonts w:ascii="Arial" w:eastAsia="Calibri" w:hAnsi="Arial" w:cs="Arial"/>
          <w:i/>
          <w:sz w:val="20"/>
          <w:szCs w:val="20"/>
          <w:lang w:val="fr-FR" w:eastAsia="fr-FR"/>
        </w:rPr>
        <w:t>Landolfia senegalensis</w:t>
      </w:r>
      <w:r w:rsidRPr="00514D53">
        <w:rPr>
          <w:rFonts w:ascii="Arial" w:eastAsia="Calibri" w:hAnsi="Arial" w:cs="Arial"/>
          <w:sz w:val="20"/>
          <w:szCs w:val="20"/>
          <w:lang w:val="fr-FR" w:eastAsia="fr-FR"/>
        </w:rPr>
        <w:t>), le « néré », (</w:t>
      </w:r>
      <w:r w:rsidRPr="00514D53">
        <w:rPr>
          <w:rFonts w:ascii="Arial" w:eastAsia="Calibri" w:hAnsi="Arial" w:cs="Arial"/>
          <w:i/>
          <w:sz w:val="20"/>
          <w:szCs w:val="20"/>
          <w:lang w:val="fr-FR" w:eastAsia="fr-FR"/>
        </w:rPr>
        <w:t>Parkia biglobosa</w:t>
      </w:r>
      <w:r w:rsidRPr="00514D53">
        <w:rPr>
          <w:rFonts w:ascii="Arial" w:eastAsia="Calibri" w:hAnsi="Arial" w:cs="Arial"/>
          <w:sz w:val="20"/>
          <w:szCs w:val="20"/>
          <w:lang w:val="fr-FR" w:eastAsia="fr-FR"/>
        </w:rPr>
        <w:t>) etc. sont parmi d’autres, des produits forestiers non ligneux qui, en plus de l’autoconsommation, sont commercialisés, transformés voire exportés par bon nombre d’opérateurs économiques qui se sont spécialisés dans ces filières. L’exportation de produits forestiers non ligneux sur la base FOB a évolué de 0,46 Milliards de FCFA en 2012 à 2,46 Milliard de FCFA en 2016 (SISE, 2017).</w:t>
      </w:r>
    </w:p>
    <w:p w14:paraId="6400BDE9" w14:textId="77777777" w:rsidR="00802BA9" w:rsidRPr="001445C5" w:rsidRDefault="00802BA9" w:rsidP="00514D53">
      <w:pPr>
        <w:spacing w:before="120" w:after="120" w:line="240" w:lineRule="auto"/>
        <w:rPr>
          <w:rFonts w:ascii="Arial" w:eastAsia="Calibri" w:hAnsi="Arial" w:cs="Arial"/>
          <w:sz w:val="20"/>
          <w:szCs w:val="20"/>
          <w:lang w:val="fr-FR" w:eastAsia="fr-FR"/>
        </w:rPr>
      </w:pPr>
      <w:r w:rsidRPr="00514D53">
        <w:rPr>
          <w:rFonts w:ascii="Arial" w:eastAsia="Calibri" w:hAnsi="Arial" w:cs="Arial"/>
          <w:sz w:val="20"/>
          <w:szCs w:val="20"/>
          <w:lang w:val="fr-FR" w:eastAsia="fr-FR"/>
        </w:rPr>
        <w:t>Contrairement à la cueillette domestique, la cueillette à but commercial, utilisant des techniques non durables</w:t>
      </w:r>
      <w:r w:rsidR="008A7B23">
        <w:rPr>
          <w:rFonts w:ascii="Arial" w:eastAsia="Calibri" w:hAnsi="Arial" w:cs="Arial"/>
          <w:sz w:val="20"/>
          <w:szCs w:val="20"/>
          <w:lang w:val="fr-FR" w:eastAsia="fr-FR"/>
        </w:rPr>
        <w:t xml:space="preserve"> </w:t>
      </w:r>
      <w:r w:rsidRPr="00514D53">
        <w:rPr>
          <w:rFonts w:ascii="Arial" w:eastAsia="Calibri" w:hAnsi="Arial" w:cs="Arial"/>
          <w:sz w:val="20"/>
          <w:szCs w:val="20"/>
          <w:lang w:val="fr-FR" w:eastAsia="fr-FR"/>
        </w:rPr>
        <w:t xml:space="preserve"> pose de plus en plus de problèmes. Particulièrement l’émondage excessif des acacias pour la récolte rapide </w:t>
      </w:r>
      <w:r w:rsidRPr="00514D53">
        <w:rPr>
          <w:rFonts w:ascii="Arial" w:eastAsia="Calibri" w:hAnsi="Arial" w:cs="Arial"/>
          <w:sz w:val="20"/>
          <w:szCs w:val="20"/>
          <w:lang w:val="fr-FR" w:eastAsia="fr-FR"/>
        </w:rPr>
        <w:lastRenderedPageBreak/>
        <w:t xml:space="preserve">de gomme arabique tue une bonne partie des arbres et réduit considérablement le potentiel de régénération. Ces phénomènes ont lieu concomitamment avec la disparition des connaissances locales des communautés autochtones pour </w:t>
      </w:r>
      <w:r w:rsidRPr="001445C5">
        <w:rPr>
          <w:rFonts w:ascii="Arial" w:eastAsia="Calibri" w:hAnsi="Arial" w:cs="Arial"/>
          <w:sz w:val="20"/>
          <w:szCs w:val="20"/>
          <w:lang w:val="fr-FR" w:eastAsia="fr-FR"/>
        </w:rPr>
        <w:t>mieux gérer, régénérer et utiliser les éco - systèmes (CBD, 2014).</w:t>
      </w:r>
    </w:p>
    <w:p w14:paraId="0B82708F" w14:textId="77777777" w:rsidR="00802BA9" w:rsidRPr="00514D53" w:rsidRDefault="00802BA9" w:rsidP="00514D53">
      <w:pPr>
        <w:spacing w:before="120" w:after="120" w:line="240" w:lineRule="auto"/>
        <w:rPr>
          <w:rFonts w:ascii="Arial" w:hAnsi="Arial" w:cs="Arial"/>
          <w:iCs/>
          <w:sz w:val="20"/>
          <w:szCs w:val="20"/>
        </w:rPr>
      </w:pPr>
      <w:r w:rsidRPr="001445C5">
        <w:rPr>
          <w:rFonts w:ascii="Arial" w:hAnsi="Arial" w:cs="Arial"/>
          <w:sz w:val="20"/>
          <w:szCs w:val="20"/>
        </w:rPr>
        <w:t>Les produits forestiers non ligneux reste</w:t>
      </w:r>
      <w:r w:rsidR="009B6F68" w:rsidRPr="001445C5">
        <w:rPr>
          <w:rFonts w:ascii="Arial" w:hAnsi="Arial" w:cs="Arial"/>
          <w:sz w:val="20"/>
          <w:szCs w:val="20"/>
        </w:rPr>
        <w:t>nt</w:t>
      </w:r>
      <w:r w:rsidRPr="001445C5">
        <w:rPr>
          <w:rFonts w:ascii="Arial" w:hAnsi="Arial" w:cs="Arial"/>
          <w:sz w:val="20"/>
          <w:szCs w:val="20"/>
        </w:rPr>
        <w:t xml:space="preserve"> la principale base de la </w:t>
      </w:r>
      <w:r w:rsidRPr="001445C5">
        <w:rPr>
          <w:rFonts w:ascii="Arial" w:hAnsi="Arial" w:cs="Arial"/>
          <w:b/>
          <w:sz w:val="20"/>
          <w:szCs w:val="20"/>
        </w:rPr>
        <w:t>pharmacopée</w:t>
      </w:r>
      <w:r w:rsidRPr="001445C5">
        <w:rPr>
          <w:rFonts w:ascii="Arial" w:hAnsi="Arial" w:cs="Arial"/>
          <w:sz w:val="20"/>
          <w:szCs w:val="20"/>
        </w:rPr>
        <w:t xml:space="preserve"> pour traiter ou prévenir 50 à 80% de maladies aussi bien en milieu urbain qu’en milieu rural, au regard du faible accès d’une frange importante de la population aux produits pharmaceutiques. Dans la conscience collective du Mali, chaque plante possède une vertu thérapeutique. On ne dispose pas de statistiques détaillées sur l’effectif des tradi-thérapeutes, néanmoins le volume de prélèvement des plantes médicinales a atteint environ 61 tonnes en 2017 </w:t>
      </w:r>
      <w:r w:rsidRPr="001445C5">
        <w:rPr>
          <w:rFonts w:ascii="Arial" w:hAnsi="Arial" w:cs="Arial"/>
          <w:iCs/>
          <w:sz w:val="20"/>
          <w:szCs w:val="20"/>
        </w:rPr>
        <w:t>(DNEF, 2017)</w:t>
      </w:r>
      <w:r w:rsidR="009B6F68" w:rsidRPr="001445C5">
        <w:rPr>
          <w:rFonts w:ascii="Arial" w:hAnsi="Arial" w:cs="Arial"/>
          <w:iCs/>
          <w:sz w:val="20"/>
          <w:szCs w:val="20"/>
        </w:rPr>
        <w:t>. La pharmacopée traditionnelle est devenue aujourd’hui une filière commerciale de l’économie rurale impactant la forêt par la surexploitation des ressources.</w:t>
      </w:r>
    </w:p>
    <w:p w14:paraId="2624DA6B" w14:textId="77777777" w:rsidR="00802BA9" w:rsidRPr="00514D53" w:rsidRDefault="00802BA9" w:rsidP="00514D53">
      <w:pPr>
        <w:spacing w:before="120" w:after="120" w:line="240" w:lineRule="auto"/>
        <w:rPr>
          <w:rFonts w:ascii="Arial" w:eastAsia="Calibri" w:hAnsi="Arial" w:cs="Arial"/>
          <w:sz w:val="20"/>
          <w:szCs w:val="20"/>
          <w:lang w:val="fr-FR" w:eastAsia="fr-FR"/>
        </w:rPr>
      </w:pPr>
      <w:r w:rsidRPr="00514D53">
        <w:rPr>
          <w:rFonts w:ascii="Arial" w:eastAsia="Calibri" w:hAnsi="Arial" w:cs="Arial"/>
          <w:sz w:val="20"/>
          <w:szCs w:val="20"/>
          <w:lang w:val="fr-FR" w:eastAsia="fr-FR"/>
        </w:rPr>
        <w:t>Parmi les mammifères, certains sont à forte valeur de patrimoine culturel, notamment l’éland de derby (</w:t>
      </w:r>
      <w:r w:rsidRPr="00514D53">
        <w:rPr>
          <w:rFonts w:ascii="Arial" w:eastAsia="Calibri" w:hAnsi="Arial" w:cs="Arial"/>
          <w:i/>
          <w:sz w:val="20"/>
          <w:szCs w:val="20"/>
          <w:lang w:val="fr-FR" w:eastAsia="fr-FR"/>
        </w:rPr>
        <w:t>Tragelaphus derbianus derbianus</w:t>
      </w:r>
      <w:r w:rsidRPr="00514D53">
        <w:rPr>
          <w:rFonts w:ascii="Arial" w:eastAsia="Calibri" w:hAnsi="Arial" w:cs="Arial"/>
          <w:sz w:val="20"/>
          <w:szCs w:val="20"/>
          <w:lang w:val="fr-FR" w:eastAsia="fr-FR"/>
        </w:rPr>
        <w:t>), la sous-espèce occidentale du chimpanzé commun (</w:t>
      </w:r>
      <w:r w:rsidRPr="00514D53">
        <w:rPr>
          <w:rFonts w:ascii="Arial" w:eastAsia="Calibri" w:hAnsi="Arial" w:cs="Arial"/>
          <w:i/>
          <w:sz w:val="20"/>
          <w:szCs w:val="20"/>
          <w:lang w:val="fr-FR" w:eastAsia="fr-FR"/>
        </w:rPr>
        <w:t>Pan troglodytes verus</w:t>
      </w:r>
      <w:r w:rsidRPr="00514D53">
        <w:rPr>
          <w:rFonts w:ascii="Arial" w:eastAsia="Calibri" w:hAnsi="Arial" w:cs="Arial"/>
          <w:sz w:val="20"/>
          <w:szCs w:val="20"/>
          <w:lang w:val="fr-FR" w:eastAsia="fr-FR"/>
        </w:rPr>
        <w:t>), l’hippotrague (</w:t>
      </w:r>
      <w:r w:rsidRPr="00514D53">
        <w:rPr>
          <w:rFonts w:ascii="Arial" w:eastAsia="Calibri" w:hAnsi="Arial" w:cs="Arial"/>
          <w:i/>
          <w:sz w:val="20"/>
          <w:szCs w:val="20"/>
          <w:lang w:val="fr-FR" w:eastAsia="fr-FR"/>
        </w:rPr>
        <w:t>Hippotragus equinus</w:t>
      </w:r>
      <w:r w:rsidRPr="00514D53">
        <w:rPr>
          <w:rFonts w:ascii="Arial" w:eastAsia="Calibri" w:hAnsi="Arial" w:cs="Arial"/>
          <w:sz w:val="20"/>
          <w:szCs w:val="20"/>
          <w:lang w:val="fr-FR" w:eastAsia="fr-FR"/>
        </w:rPr>
        <w:t>) et l’hippopotame (</w:t>
      </w:r>
      <w:r w:rsidRPr="00514D53">
        <w:rPr>
          <w:rFonts w:ascii="Arial" w:eastAsia="Calibri" w:hAnsi="Arial" w:cs="Arial"/>
          <w:i/>
          <w:sz w:val="20"/>
          <w:szCs w:val="20"/>
          <w:lang w:val="fr-FR" w:eastAsia="fr-FR"/>
        </w:rPr>
        <w:t>Hippopotamus amphibius</w:t>
      </w:r>
      <w:r w:rsidRPr="00514D53">
        <w:rPr>
          <w:rFonts w:ascii="Arial" w:eastAsia="Calibri" w:hAnsi="Arial" w:cs="Arial"/>
          <w:sz w:val="20"/>
          <w:szCs w:val="20"/>
          <w:lang w:val="fr-FR" w:eastAsia="fr-FR"/>
        </w:rPr>
        <w:t>). Plusieurs espèces (le chimpanzé, l’éland, l’éléphant) se trouvent au Mali à la limite nord de leur aire de répartition naturelle et peuvent constituer une attraction pour l’écotourisme.</w:t>
      </w:r>
      <w:r w:rsidRPr="00514D53">
        <w:rPr>
          <w:rFonts w:ascii="Arial" w:hAnsi="Arial" w:cs="Arial"/>
          <w:sz w:val="20"/>
          <w:szCs w:val="20"/>
          <w:lang w:val="fr-FR"/>
        </w:rPr>
        <w:t xml:space="preserve"> </w:t>
      </w:r>
      <w:r w:rsidRPr="00514D53">
        <w:rPr>
          <w:rFonts w:ascii="Arial" w:eastAsia="Calibri" w:hAnsi="Arial" w:cs="Arial"/>
          <w:sz w:val="20"/>
          <w:szCs w:val="20"/>
          <w:lang w:val="fr-FR" w:eastAsia="fr-FR"/>
        </w:rPr>
        <w:t>Les aires qui abritent encore des espèces animales de haute importance sociale, culturelle ou économique sont le Baoulé (hippopotame, crocodile), le Gourma (éléphant), le Nienendougou (hippotrague, hippopotame, crocodile, python, lion).</w:t>
      </w:r>
    </w:p>
    <w:p w14:paraId="6EDC04BF" w14:textId="77777777" w:rsidR="00802BA9" w:rsidRPr="00514D53" w:rsidRDefault="00802BA9" w:rsidP="00514D53">
      <w:pPr>
        <w:spacing w:before="120" w:after="120" w:line="240" w:lineRule="auto"/>
        <w:rPr>
          <w:rFonts w:ascii="Arial" w:eastAsia="Calibri" w:hAnsi="Arial" w:cs="Arial"/>
          <w:sz w:val="20"/>
          <w:szCs w:val="20"/>
          <w:lang w:val="fr-FR" w:eastAsia="fr-FR"/>
        </w:rPr>
      </w:pPr>
    </w:p>
    <w:p w14:paraId="09AF1757" w14:textId="77777777" w:rsidR="00802BA9" w:rsidRPr="00514D53" w:rsidRDefault="00802BA9" w:rsidP="00514D53">
      <w:pPr>
        <w:pStyle w:val="Titre4"/>
        <w:spacing w:before="120" w:after="120"/>
        <w:rPr>
          <w:rFonts w:ascii="Arial" w:hAnsi="Arial"/>
          <w:sz w:val="20"/>
          <w:szCs w:val="20"/>
        </w:rPr>
      </w:pPr>
      <w:r w:rsidRPr="00514D53">
        <w:rPr>
          <w:rFonts w:ascii="Arial" w:hAnsi="Arial"/>
          <w:sz w:val="20"/>
          <w:szCs w:val="20"/>
        </w:rPr>
        <w:t>2.1.2.4 La faune et les zones protégées</w:t>
      </w:r>
    </w:p>
    <w:p w14:paraId="1D1F1323" w14:textId="77777777" w:rsidR="00802BA9" w:rsidRPr="00514D53" w:rsidRDefault="00802BA9" w:rsidP="00514D53">
      <w:pPr>
        <w:spacing w:before="120" w:after="120" w:line="240" w:lineRule="auto"/>
        <w:rPr>
          <w:rFonts w:ascii="Arial" w:eastAsia="Calibri" w:hAnsi="Arial" w:cs="Arial"/>
          <w:sz w:val="20"/>
          <w:szCs w:val="20"/>
          <w:lang w:val="fr-FR" w:eastAsia="fr-FR"/>
        </w:rPr>
      </w:pPr>
      <w:r w:rsidRPr="00514D53">
        <w:rPr>
          <w:rFonts w:ascii="Arial" w:eastAsia="Calibri" w:hAnsi="Arial" w:cs="Arial"/>
          <w:sz w:val="20"/>
          <w:szCs w:val="20"/>
          <w:lang w:val="fr-FR" w:eastAsia="fr-FR"/>
        </w:rPr>
        <w:t xml:space="preserve">Ces dernières années, toutes les études ponctuelles sur la faune révèlent une </w:t>
      </w:r>
      <w:r w:rsidRPr="00514D53">
        <w:rPr>
          <w:rFonts w:ascii="Arial" w:eastAsia="Calibri" w:hAnsi="Arial" w:cs="Arial"/>
          <w:b/>
          <w:sz w:val="20"/>
          <w:szCs w:val="20"/>
          <w:lang w:val="fr-FR" w:eastAsia="fr-FR"/>
        </w:rPr>
        <w:t>nette régression des effectifs de grands ruminants</w:t>
      </w:r>
      <w:r w:rsidRPr="00514D53">
        <w:rPr>
          <w:rFonts w:ascii="Arial" w:eastAsia="Calibri" w:hAnsi="Arial" w:cs="Arial"/>
          <w:sz w:val="20"/>
          <w:szCs w:val="20"/>
          <w:lang w:val="fr-FR" w:eastAsia="fr-FR"/>
        </w:rPr>
        <w:t>. Elles montrent que certaines espèces de mammifères, de reptiles et d’oiseaux ont disparu (addax et oryx) ou sont menacées de disparition (éland de derby estimé de 4 à 40 têtes). Les dernières estimations globales de la faune sauvage datent de 2008. Selon la liste rouge de l’UICN, les espèces de mammifères du Mali en danger sont la gazelle dama (danger critique d’extinction, environ 250 individus), le chimpanzé (estimé de 1800 à 3500 individus en 1994) et le lycaon. Les espèces vulnérables sont le guépard, mouflon à manchettes, gazelle dorcas, hippopotame, éléphant (population d’environ</w:t>
      </w:r>
      <w:r w:rsidRPr="00514D53">
        <w:rPr>
          <w:rFonts w:ascii="Arial" w:hAnsi="Arial" w:cs="Arial"/>
          <w:sz w:val="20"/>
          <w:szCs w:val="20"/>
          <w:lang w:val="fr-FR"/>
        </w:rPr>
        <w:t xml:space="preserve"> </w:t>
      </w:r>
      <w:r w:rsidRPr="00514D53">
        <w:rPr>
          <w:rFonts w:ascii="Arial" w:eastAsia="Calibri" w:hAnsi="Arial" w:cs="Arial"/>
          <w:sz w:val="20"/>
          <w:szCs w:val="20"/>
          <w:lang w:val="fr-FR" w:eastAsia="fr-FR"/>
        </w:rPr>
        <w:t>350 têtes</w:t>
      </w:r>
      <w:r w:rsidR="004A57C4" w:rsidRPr="00514D53">
        <w:rPr>
          <w:rFonts w:ascii="Arial" w:eastAsia="Calibri" w:hAnsi="Arial" w:cs="Arial"/>
          <w:sz w:val="20"/>
          <w:szCs w:val="20"/>
          <w:lang w:val="fr-FR" w:eastAsia="fr-FR"/>
        </w:rPr>
        <w:t xml:space="preserve"> avant la crise</w:t>
      </w:r>
      <w:r w:rsidRPr="00514D53">
        <w:rPr>
          <w:rFonts w:ascii="Arial" w:eastAsia="Calibri" w:hAnsi="Arial" w:cs="Arial"/>
          <w:sz w:val="20"/>
          <w:szCs w:val="20"/>
          <w:lang w:val="fr-FR" w:eastAsia="fr-FR"/>
        </w:rPr>
        <w:t>) et le lamantin. La faiblesse, voire le manque de données (inventaires fauniques systématiques), ne permet pas d’apprécier à sa juste valeur l’ampleur de la régression des ressources fauniques ainsi que de l’érosion génétique (</w:t>
      </w:r>
      <w:r w:rsidR="004A57C4" w:rsidRPr="00514D53">
        <w:rPr>
          <w:rFonts w:ascii="Arial" w:eastAsia="Calibri" w:hAnsi="Arial" w:cs="Arial"/>
          <w:sz w:val="20"/>
          <w:szCs w:val="20"/>
          <w:lang w:val="fr-FR" w:eastAsia="fr-FR"/>
        </w:rPr>
        <w:t>PNUD/FEM e</w:t>
      </w:r>
      <w:r w:rsidRPr="00514D53">
        <w:rPr>
          <w:rFonts w:ascii="Arial" w:eastAsia="Calibri" w:hAnsi="Arial" w:cs="Arial"/>
          <w:sz w:val="20"/>
          <w:szCs w:val="20"/>
          <w:lang w:val="fr-FR" w:eastAsia="fr-FR"/>
        </w:rPr>
        <w:t xml:space="preserve">n : DNEF, 2009). </w:t>
      </w:r>
    </w:p>
    <w:p w14:paraId="4C2DF7D6" w14:textId="77777777" w:rsidR="00802BA9" w:rsidRPr="00514D53" w:rsidRDefault="00802BA9" w:rsidP="00514D53">
      <w:pPr>
        <w:spacing w:before="120" w:after="120" w:line="240" w:lineRule="auto"/>
        <w:rPr>
          <w:rFonts w:ascii="Arial" w:eastAsia="Calibri" w:hAnsi="Arial" w:cs="Arial"/>
          <w:sz w:val="20"/>
          <w:szCs w:val="20"/>
          <w:lang w:val="fr-FR" w:eastAsia="fr-FR"/>
        </w:rPr>
      </w:pPr>
      <w:r w:rsidRPr="00514D53">
        <w:rPr>
          <w:rFonts w:ascii="Arial" w:eastAsia="Calibri" w:hAnsi="Arial" w:cs="Arial"/>
          <w:sz w:val="20"/>
          <w:szCs w:val="20"/>
          <w:lang w:val="fr-FR" w:eastAsia="fr-FR"/>
        </w:rPr>
        <w:t>Selon les observations ponctuell</w:t>
      </w:r>
      <w:r w:rsidR="004A57C4" w:rsidRPr="00514D53">
        <w:rPr>
          <w:rFonts w:ascii="Arial" w:eastAsia="Calibri" w:hAnsi="Arial" w:cs="Arial"/>
          <w:sz w:val="20"/>
          <w:szCs w:val="20"/>
          <w:lang w:val="fr-FR" w:eastAsia="fr-FR"/>
        </w:rPr>
        <w:t>es et les documents récents (AEDD</w:t>
      </w:r>
      <w:r w:rsidRPr="00514D53">
        <w:rPr>
          <w:rFonts w:ascii="Arial" w:eastAsia="Calibri" w:hAnsi="Arial" w:cs="Arial"/>
          <w:sz w:val="20"/>
          <w:szCs w:val="20"/>
          <w:lang w:val="fr-FR" w:eastAsia="fr-FR"/>
        </w:rPr>
        <w:t>, 2018, PNF 2017), la faune sauvage traverse une phase critique de son existence suite à la déforestation, au braconnage, à l’occupation agricole et/ou pastorale et/ou minière de ses habitats, à la faiblesse des crues et à la pollution des cours d’eau.</w:t>
      </w:r>
      <w:r w:rsidRPr="00514D53">
        <w:rPr>
          <w:rFonts w:ascii="Arial" w:hAnsi="Arial" w:cs="Arial"/>
          <w:sz w:val="20"/>
          <w:szCs w:val="20"/>
        </w:rPr>
        <w:t xml:space="preserve"> </w:t>
      </w:r>
      <w:r w:rsidRPr="00514D53">
        <w:rPr>
          <w:rFonts w:ascii="Arial" w:eastAsia="Calibri" w:hAnsi="Arial" w:cs="Arial"/>
          <w:sz w:val="20"/>
          <w:szCs w:val="20"/>
          <w:lang w:val="fr-FR" w:eastAsia="fr-FR"/>
        </w:rPr>
        <w:t>La dégradation de la faune a quasiment fait disparaître l’écotourisme, provoqué un dysfonctionnement des écosystèmes et privé une partie de la population d’une importante source de protéines.</w:t>
      </w:r>
      <w:r w:rsidRPr="00514D53">
        <w:rPr>
          <w:rFonts w:ascii="Arial" w:hAnsi="Arial" w:cs="Arial"/>
          <w:sz w:val="20"/>
          <w:szCs w:val="20"/>
        </w:rPr>
        <w:t xml:space="preserve"> La biodiversité de la faune ichtyologique est aujourd’hui réduite à 80 sur 160 espèces de poissons (PNF, 2017). </w:t>
      </w:r>
      <w:r w:rsidRPr="00514D53">
        <w:rPr>
          <w:rFonts w:ascii="Arial" w:eastAsia="Calibri" w:hAnsi="Arial" w:cs="Arial"/>
          <w:sz w:val="20"/>
          <w:szCs w:val="20"/>
          <w:lang w:val="fr-FR" w:eastAsia="fr-FR"/>
        </w:rPr>
        <w:t xml:space="preserve">Les quelques rares spécimens de grands gibiers existants se trouvent uniquement dans les réserves et sanctuaires de faune où des mesures de protection sont assurées. La situation des populations d’éléphants du Gourma est inquiétante avec le phénomène de braconnage qui s’est installé depuis l’avènement de la crise socio-politique et l’insécurité en 2012. Le crocodile du Nil se trouve dans une situation critique du fait de la chasse commerciale. Même une espèce phare, l’Eland de Derby, semble avoir disparu depuis quelques années suite aux pressions de l’orpaillage dans les aires protégées de son habitat. (ERSAP, 2015). Toutefois, les girafes qui avaient complètement disparu suite à un braconnage effroyable (CBD, 2014) semblent profiter de l’isolation du Nord du pays suite à la crise ; les agents des Eaux &amp; Forêts de Ménaka – Ansongo indiquant un retour des girafes venant du Niger (communication DNEF, 9/2018).  </w:t>
      </w:r>
    </w:p>
    <w:p w14:paraId="1A89A995" w14:textId="77777777" w:rsidR="00802BA9" w:rsidRPr="00514D53" w:rsidRDefault="00802BA9" w:rsidP="00514D53">
      <w:pPr>
        <w:spacing w:before="120" w:after="120" w:line="240" w:lineRule="auto"/>
        <w:rPr>
          <w:rFonts w:ascii="Arial" w:eastAsia="Calibri" w:hAnsi="Arial" w:cs="Arial"/>
          <w:sz w:val="20"/>
          <w:szCs w:val="20"/>
          <w:lang w:val="fr-FR" w:eastAsia="fr-FR"/>
        </w:rPr>
      </w:pPr>
      <w:r w:rsidRPr="00514D53">
        <w:rPr>
          <w:rFonts w:ascii="Arial" w:eastAsia="Calibri" w:hAnsi="Arial" w:cs="Arial"/>
          <w:sz w:val="20"/>
          <w:szCs w:val="20"/>
          <w:lang w:val="fr-FR" w:eastAsia="fr-FR"/>
        </w:rPr>
        <w:t xml:space="preserve">Le Mali a mis en place progressivement un </w:t>
      </w:r>
      <w:r w:rsidRPr="00514D53">
        <w:rPr>
          <w:rFonts w:ascii="Arial" w:eastAsia="Calibri" w:hAnsi="Arial" w:cs="Arial"/>
          <w:b/>
          <w:sz w:val="20"/>
          <w:szCs w:val="20"/>
          <w:lang w:val="fr-FR" w:eastAsia="fr-FR"/>
        </w:rPr>
        <w:t>système de zones protégées</w:t>
      </w:r>
      <w:r w:rsidRPr="00514D53">
        <w:rPr>
          <w:rFonts w:ascii="Arial" w:eastAsia="Calibri" w:hAnsi="Arial" w:cs="Arial"/>
          <w:sz w:val="20"/>
          <w:szCs w:val="20"/>
          <w:lang w:val="fr-FR" w:eastAsia="fr-FR"/>
        </w:rPr>
        <w:t xml:space="preserve"> (aires protégées, réserves naturelles intégrales, parcs nationaux, réserves de faune, réserves spéciales ou sanctuaires, réserves de biosphère, zones d’intérêt cynégétique et forêts classées), actuellement composée de 26 aires protégées couvrant 9.010.757 ha et de 107 forêts classées d’une superficie de 788.111 ha qui sont destinées à l’exploitation durable du bois (annexe 7.4.3). Ceci totalise environ 7,3% de la superficie nationale. A ce réseau s’ajoutent selon les classifications internationales, les zones transitoires et tampon de la Réserve de biosphère de la Boucle du Baoulé, 4 sites Ramsar (Delta Intérieur du Niger ou DIN, Sourou, Wegnia et Magui) de 4.204.640 ha et l’inscription en cours du lac Sélingué (DNEF, 2015 </w:t>
      </w:r>
      <w:r w:rsidR="004A57C4" w:rsidRPr="00514D53">
        <w:rPr>
          <w:rFonts w:ascii="Arial" w:eastAsia="Calibri" w:hAnsi="Arial" w:cs="Arial"/>
          <w:sz w:val="20"/>
          <w:szCs w:val="20"/>
          <w:lang w:val="fr-FR" w:eastAsia="fr-FR"/>
        </w:rPr>
        <w:t>e</w:t>
      </w:r>
      <w:r w:rsidRPr="00514D53">
        <w:rPr>
          <w:rFonts w:ascii="Arial" w:eastAsia="Calibri" w:hAnsi="Arial" w:cs="Arial"/>
          <w:sz w:val="20"/>
          <w:szCs w:val="20"/>
          <w:lang w:val="fr-FR" w:eastAsia="fr-FR"/>
        </w:rPr>
        <w:t xml:space="preserve">n : SISE 2017) et le site des Falaises naturelles/culturelles mixtes de Bandiagara (400.000 ha). Ces sites sont reconnus par le Mali mais pas clairement classés par les dispositions légales nationales (ERSAP, 2013).  Il existe une longue liste de </w:t>
      </w:r>
      <w:r w:rsidRPr="00514D53">
        <w:rPr>
          <w:rFonts w:ascii="Arial" w:eastAsia="Calibri" w:hAnsi="Arial" w:cs="Arial"/>
          <w:b/>
          <w:sz w:val="20"/>
          <w:szCs w:val="20"/>
          <w:lang w:val="fr-FR" w:eastAsia="fr-FR"/>
        </w:rPr>
        <w:t>nouveaux sites protégés potentiels</w:t>
      </w:r>
      <w:r w:rsidRPr="00514D53">
        <w:rPr>
          <w:rFonts w:ascii="Arial" w:eastAsia="Calibri" w:hAnsi="Arial" w:cs="Arial"/>
          <w:sz w:val="20"/>
          <w:szCs w:val="20"/>
          <w:lang w:val="fr-FR" w:eastAsia="fr-FR"/>
        </w:rPr>
        <w:t xml:space="preserve"> qui couvriraient une superficie complémentaire de près de 3 millions d’ha. Lorsque l’on prend en compte le site RAMSAR du Delta intérieur du Niger et les forêts nationales, la superficie totale qui serait gérée pour la conservation pourrait atteindre près de 11% du territoire national </w:t>
      </w:r>
      <w:r w:rsidRPr="00514D53">
        <w:rPr>
          <w:rFonts w:ascii="Arial" w:eastAsia="Calibri" w:hAnsi="Arial" w:cs="Arial"/>
          <w:sz w:val="20"/>
          <w:szCs w:val="20"/>
          <w:lang w:val="fr-FR" w:eastAsia="fr-FR"/>
        </w:rPr>
        <w:lastRenderedPageBreak/>
        <w:t xml:space="preserve">incluant la création de la nouvelle réserve de faune de Tamensa. De ce fait, ce taux serait supérieur aux recommandations internationales de 10% du territoire national (ERSAP, 2013). </w:t>
      </w:r>
    </w:p>
    <w:p w14:paraId="2E3B6EA1" w14:textId="77777777" w:rsidR="00802BA9" w:rsidRPr="00F15A62" w:rsidRDefault="00802BA9" w:rsidP="00802BA9">
      <w:pPr>
        <w:spacing w:after="0" w:line="240" w:lineRule="auto"/>
        <w:rPr>
          <w:rFonts w:eastAsia="Calibri" w:cs="Arial"/>
          <w:lang w:val="fr-FR" w:eastAsia="fr-FR"/>
        </w:rPr>
      </w:pPr>
    </w:p>
    <w:p w14:paraId="390FE47D" w14:textId="77777777" w:rsidR="00802BA9" w:rsidRPr="00F15A62" w:rsidRDefault="00802BA9" w:rsidP="00802BA9">
      <w:pPr>
        <w:pStyle w:val="Titre2"/>
        <w:rPr>
          <w:lang w:eastAsia="fr-FR"/>
        </w:rPr>
      </w:pPr>
      <w:bookmarkStart w:id="16" w:name="_Toc20505619"/>
      <w:r>
        <w:rPr>
          <w:lang w:eastAsia="fr-FR"/>
        </w:rPr>
        <w:t>2</w:t>
      </w:r>
      <w:r w:rsidRPr="00F15A62">
        <w:rPr>
          <w:lang w:eastAsia="fr-FR"/>
        </w:rPr>
        <w:t>.2 Les pressions sur l’environnement (et les réponses)</w:t>
      </w:r>
      <w:bookmarkEnd w:id="16"/>
    </w:p>
    <w:p w14:paraId="31BD6C9F" w14:textId="77777777" w:rsidR="00802BA9" w:rsidRPr="00F15A62" w:rsidRDefault="00802BA9" w:rsidP="00525222">
      <w:pPr>
        <w:pStyle w:val="Titre3"/>
      </w:pPr>
      <w:bookmarkStart w:id="17" w:name="_Toc20505620"/>
      <w:r w:rsidRPr="00B24400">
        <w:t>2.2.1 Utilisation et gestion de l’eau incluant les fleuves</w:t>
      </w:r>
      <w:bookmarkEnd w:id="17"/>
    </w:p>
    <w:p w14:paraId="4AFCE81A" w14:textId="77777777" w:rsidR="00802BA9" w:rsidRPr="001445C5" w:rsidRDefault="00802BA9" w:rsidP="00514D53">
      <w:pPr>
        <w:spacing w:before="120" w:after="120" w:line="240" w:lineRule="auto"/>
        <w:rPr>
          <w:rFonts w:ascii="Arial" w:hAnsi="Arial" w:cs="Arial"/>
          <w:sz w:val="20"/>
          <w:szCs w:val="20"/>
          <w:lang w:val="fr-FR"/>
        </w:rPr>
      </w:pPr>
      <w:r w:rsidRPr="00514D53">
        <w:rPr>
          <w:rFonts w:ascii="Arial" w:hAnsi="Arial" w:cs="Arial"/>
          <w:sz w:val="20"/>
          <w:szCs w:val="20"/>
          <w:lang w:val="fr-FR"/>
        </w:rPr>
        <w:t>Sur un volume total demandé de 25.166 millions de m³ d’eau par an en 2015 (</w:t>
      </w:r>
      <w:r w:rsidR="000F68BC" w:rsidRPr="00514D53">
        <w:rPr>
          <w:rFonts w:ascii="Arial" w:hAnsi="Arial" w:cs="Arial"/>
          <w:sz w:val="20"/>
          <w:szCs w:val="20"/>
          <w:lang w:val="fr-FR"/>
        </w:rPr>
        <w:t>draft politique nationale d’eau, 2018</w:t>
      </w:r>
      <w:r w:rsidRPr="00514D53">
        <w:rPr>
          <w:rFonts w:ascii="Arial" w:hAnsi="Arial" w:cs="Arial"/>
          <w:sz w:val="20"/>
          <w:szCs w:val="20"/>
          <w:lang w:val="fr-FR"/>
        </w:rPr>
        <w:t>), le secteur de l’énergie avec 16.000 millions de m³ est le plus grand utilisateur (81.4 %), mais ces eaux sont restituées après turbinage.</w:t>
      </w:r>
      <w:r w:rsidRPr="00514D53">
        <w:rPr>
          <w:rFonts w:ascii="Arial" w:eastAsiaTheme="minorHAnsi" w:hAnsi="Arial" w:cs="Arial"/>
          <w:sz w:val="20"/>
          <w:szCs w:val="20"/>
          <w:lang w:val="fr-FR"/>
        </w:rPr>
        <w:t xml:space="preserve"> Sur une demande utilisée de 9.166 millions m³ par an, l</w:t>
      </w:r>
      <w:r w:rsidRPr="00514D53">
        <w:rPr>
          <w:rFonts w:ascii="Arial" w:hAnsi="Arial" w:cs="Arial"/>
          <w:sz w:val="20"/>
          <w:szCs w:val="20"/>
          <w:lang w:val="fr-FR"/>
        </w:rPr>
        <w:t>’irrigation reste le plus grand consommateur de ressources en eau au plan national avec une demande de 8.656 millions de m</w:t>
      </w:r>
      <w:r w:rsidRPr="00514D53">
        <w:rPr>
          <w:rFonts w:ascii="Arial" w:hAnsi="Arial" w:cs="Arial"/>
          <w:sz w:val="20"/>
          <w:szCs w:val="20"/>
          <w:vertAlign w:val="superscript"/>
          <w:lang w:val="fr-FR"/>
        </w:rPr>
        <w:t>3</w:t>
      </w:r>
      <w:r w:rsidRPr="00514D53">
        <w:rPr>
          <w:rFonts w:ascii="Arial" w:hAnsi="Arial" w:cs="Arial"/>
          <w:sz w:val="20"/>
          <w:szCs w:val="20"/>
          <w:lang w:val="fr-FR"/>
        </w:rPr>
        <w:t xml:space="preserve">/an (94,4 % de l’eau après restitution par l’utilisation énergétique) en 2015, suivi par l’approvisionnement en eau potable avec </w:t>
      </w:r>
      <w:r w:rsidRPr="001445C5">
        <w:rPr>
          <w:rFonts w:ascii="Arial" w:hAnsi="Arial" w:cs="Arial"/>
          <w:sz w:val="20"/>
          <w:szCs w:val="20"/>
          <w:lang w:val="fr-FR"/>
        </w:rPr>
        <w:t>287,5 millions de m³/an (3,1 %), par l’abreuvement du cheptel avec 156 millions de m³/an (1.7 %) et l’approvisionnement des industries et mines avec 66 millions de m</w:t>
      </w:r>
      <w:r w:rsidRPr="001445C5">
        <w:rPr>
          <w:rFonts w:ascii="Arial" w:hAnsi="Arial" w:cs="Arial"/>
          <w:sz w:val="20"/>
          <w:szCs w:val="20"/>
          <w:vertAlign w:val="superscript"/>
          <w:lang w:val="fr-FR"/>
        </w:rPr>
        <w:t>3</w:t>
      </w:r>
      <w:r w:rsidRPr="001445C5">
        <w:rPr>
          <w:rFonts w:ascii="Arial" w:hAnsi="Arial" w:cs="Arial"/>
          <w:sz w:val="20"/>
          <w:szCs w:val="20"/>
          <w:lang w:val="fr-FR"/>
        </w:rPr>
        <w:t>/an (0,72%).</w:t>
      </w:r>
    </w:p>
    <w:p w14:paraId="63610D34" w14:textId="77777777" w:rsidR="00802BA9" w:rsidRPr="001445C5" w:rsidRDefault="00802BA9" w:rsidP="00514D53">
      <w:pPr>
        <w:spacing w:before="120" w:after="120" w:line="240" w:lineRule="auto"/>
        <w:rPr>
          <w:rFonts w:ascii="Arial" w:hAnsi="Arial" w:cs="Arial"/>
          <w:sz w:val="20"/>
          <w:szCs w:val="20"/>
        </w:rPr>
      </w:pPr>
      <w:r w:rsidRPr="001445C5">
        <w:rPr>
          <w:rFonts w:ascii="Arial" w:hAnsi="Arial" w:cs="Arial"/>
          <w:sz w:val="20"/>
          <w:szCs w:val="20"/>
        </w:rPr>
        <w:t xml:space="preserve">Les </w:t>
      </w:r>
      <w:r w:rsidRPr="001445C5">
        <w:rPr>
          <w:rFonts w:ascii="Arial" w:hAnsi="Arial" w:cs="Arial"/>
          <w:b/>
          <w:sz w:val="20"/>
          <w:szCs w:val="20"/>
        </w:rPr>
        <w:t>eaux de surface pérennes</w:t>
      </w:r>
      <w:r w:rsidRPr="001445C5">
        <w:rPr>
          <w:rFonts w:ascii="Arial" w:hAnsi="Arial" w:cs="Arial"/>
          <w:sz w:val="20"/>
          <w:szCs w:val="20"/>
        </w:rPr>
        <w:t xml:space="preserve"> permettent le fonctionnement des centrales hydro-électriques de Manantali,  Selingué</w:t>
      </w:r>
      <w:r w:rsidR="008D7226" w:rsidRPr="001445C5">
        <w:rPr>
          <w:rFonts w:ascii="Arial" w:hAnsi="Arial" w:cs="Arial"/>
          <w:sz w:val="20"/>
          <w:szCs w:val="20"/>
        </w:rPr>
        <w:t xml:space="preserve"> et</w:t>
      </w:r>
      <w:r w:rsidRPr="001445C5">
        <w:rPr>
          <w:rFonts w:ascii="Arial" w:hAnsi="Arial" w:cs="Arial"/>
          <w:sz w:val="20"/>
          <w:szCs w:val="20"/>
        </w:rPr>
        <w:t xml:space="preserve"> Sotuba et la production hydroélectrique n’est pas consommatrice de ressources en eau. Les bassins de rétention de Manantali (11.000 millions de m³), Félou (6 millions de m³) sur le fleuve Sénégal, et ceux de Sélingué (2.200 millions de m³), Daga II (1.350 millions de m³) ainsi que les seuils de dérivation (Markala, Sotuba, Talo) sur le fleuve Niger permettent l’irrigation, la pêche et l’abreuvement du bétail. Toutefois, avec le développement des centrales hydro-électriques, et notamment le lancement envisagé du prochain barrage de Fomi en Haute Guinée, se pose la question de la gestion d’un « système fleuve ». En effet, ce barrage, avec un réservoir de 50</w:t>
      </w:r>
      <w:r w:rsidR="00BB536B" w:rsidRPr="001445C5">
        <w:rPr>
          <w:rFonts w:ascii="Arial" w:hAnsi="Arial" w:cs="Arial"/>
          <w:sz w:val="20"/>
          <w:szCs w:val="20"/>
        </w:rPr>
        <w:t>.</w:t>
      </w:r>
      <w:r w:rsidRPr="001445C5">
        <w:rPr>
          <w:rFonts w:ascii="Arial" w:hAnsi="Arial" w:cs="Arial"/>
          <w:sz w:val="20"/>
          <w:szCs w:val="20"/>
        </w:rPr>
        <w:t>7</w:t>
      </w:r>
      <w:r w:rsidR="00BB536B" w:rsidRPr="001445C5">
        <w:rPr>
          <w:rFonts w:ascii="Arial" w:hAnsi="Arial" w:cs="Arial"/>
          <w:sz w:val="20"/>
          <w:szCs w:val="20"/>
        </w:rPr>
        <w:t>00</w:t>
      </w:r>
      <w:r w:rsidRPr="001445C5">
        <w:rPr>
          <w:rFonts w:ascii="Arial" w:hAnsi="Arial" w:cs="Arial"/>
          <w:sz w:val="20"/>
          <w:szCs w:val="20"/>
        </w:rPr>
        <w:t xml:space="preserve"> </w:t>
      </w:r>
      <w:r w:rsidR="00BB536B" w:rsidRPr="001445C5">
        <w:rPr>
          <w:rFonts w:ascii="Arial" w:hAnsi="Arial" w:cs="Arial"/>
          <w:sz w:val="20"/>
          <w:szCs w:val="20"/>
        </w:rPr>
        <w:t>ha</w:t>
      </w:r>
      <w:r w:rsidRPr="001445C5">
        <w:rPr>
          <w:rFonts w:ascii="Arial" w:hAnsi="Arial" w:cs="Arial"/>
          <w:sz w:val="20"/>
          <w:szCs w:val="20"/>
        </w:rPr>
        <w:t xml:space="preserve">, aura un impact sur le niveau d’eau du Niger, donc sur la production herbacée du Delta Central, des plaines d’inondation de la zone lacustre et de la vallée du fleuve. Or, il existe une relation entre l’aspect floristique et physionomique de la végétation des secteurs inondés et la hauteur d’eau et secondairement de la durée de submersion (zone de battement des crues, Vétiveraie haute, Panicaie, Oryzaie, bourgoutière). Dans ce sens, il y aura nécessairement un impact sur l’élevage, le pastoralisme et sur les populations. L’utilisation de plus en plus importante d’un Fleuve en général met en évidence les </w:t>
      </w:r>
      <w:r w:rsidRPr="001445C5">
        <w:rPr>
          <w:rFonts w:ascii="Arial" w:hAnsi="Arial" w:cs="Arial"/>
          <w:b/>
          <w:sz w:val="20"/>
          <w:szCs w:val="20"/>
        </w:rPr>
        <w:t>interdépendances amont-aval</w:t>
      </w:r>
      <w:r w:rsidRPr="001445C5">
        <w:rPr>
          <w:rFonts w:ascii="Arial" w:hAnsi="Arial" w:cs="Arial"/>
          <w:sz w:val="20"/>
          <w:szCs w:val="20"/>
        </w:rPr>
        <w:t xml:space="preserve"> (Niger supérieur et Delta intérieur), la </w:t>
      </w:r>
      <w:r w:rsidRPr="001445C5">
        <w:rPr>
          <w:rFonts w:ascii="Arial" w:hAnsi="Arial" w:cs="Arial"/>
          <w:b/>
          <w:sz w:val="20"/>
          <w:szCs w:val="20"/>
        </w:rPr>
        <w:t>gestion de l’étiage et du marnage</w:t>
      </w:r>
      <w:r w:rsidRPr="001445C5">
        <w:rPr>
          <w:rFonts w:ascii="Arial" w:hAnsi="Arial" w:cs="Arial"/>
          <w:sz w:val="20"/>
          <w:szCs w:val="20"/>
        </w:rPr>
        <w:t>, la régulation du volume d’eau disponible pour assurer le maintien des services environnementaux à l’ensemble des activités. A ceci s’ajoutent les aspects liés à la qualité/pollution des eaux, la salinisation des sols, au sable (ensablement, exploitation anarchique), etc. Les questions transfrontalières de gestion concertée d’une ressource partagée sont cruciales. La Convention des Nations Unies sur le droit relatif aux utilisations des cours d’eau internationaux à des fins autres que la navigation du 21 mai 1997 (en vigueur depuis le 17 août 2014) demeure la plus importante déclaration du droit international sur ce sujet. Néanmoins, le Mali n’a pas encore signé cette convention.</w:t>
      </w:r>
    </w:p>
    <w:p w14:paraId="1D4462FA" w14:textId="77777777" w:rsidR="00802BA9" w:rsidRPr="00514D53" w:rsidRDefault="00802BA9" w:rsidP="00514D53">
      <w:pPr>
        <w:spacing w:before="120" w:after="120" w:line="240" w:lineRule="auto"/>
        <w:rPr>
          <w:rFonts w:ascii="Arial" w:hAnsi="Arial" w:cs="Arial"/>
          <w:sz w:val="20"/>
          <w:szCs w:val="20"/>
        </w:rPr>
      </w:pPr>
      <w:r w:rsidRPr="001445C5">
        <w:rPr>
          <w:rFonts w:ascii="Arial" w:hAnsi="Arial" w:cs="Arial"/>
          <w:sz w:val="20"/>
          <w:szCs w:val="20"/>
        </w:rPr>
        <w:t>Les eaux de surface couvrent à plus de 98 % le secteur de l’irrigation grâce aux possibilités des bassins versants du Niger (3</w:t>
      </w:r>
      <w:r w:rsidR="00BB536B" w:rsidRPr="001445C5">
        <w:rPr>
          <w:rFonts w:ascii="Arial" w:hAnsi="Arial" w:cs="Arial"/>
          <w:sz w:val="20"/>
          <w:szCs w:val="20"/>
        </w:rPr>
        <w:t>0.0</w:t>
      </w:r>
      <w:r w:rsidRPr="001445C5">
        <w:rPr>
          <w:rFonts w:ascii="Arial" w:hAnsi="Arial" w:cs="Arial"/>
          <w:sz w:val="20"/>
          <w:szCs w:val="20"/>
        </w:rPr>
        <w:t xml:space="preserve">00.000 </w:t>
      </w:r>
      <w:r w:rsidR="00BB536B" w:rsidRPr="001445C5">
        <w:rPr>
          <w:rFonts w:ascii="Arial" w:hAnsi="Arial" w:cs="Arial"/>
          <w:sz w:val="20"/>
          <w:szCs w:val="20"/>
        </w:rPr>
        <w:t>ha</w:t>
      </w:r>
      <w:r w:rsidRPr="001445C5">
        <w:rPr>
          <w:rFonts w:ascii="Arial" w:hAnsi="Arial" w:cs="Arial"/>
          <w:sz w:val="20"/>
          <w:szCs w:val="20"/>
        </w:rPr>
        <w:t>), du Sénégal (15</w:t>
      </w:r>
      <w:r w:rsidR="00BB536B" w:rsidRPr="001445C5">
        <w:rPr>
          <w:rFonts w:ascii="Arial" w:hAnsi="Arial" w:cs="Arial"/>
          <w:sz w:val="20"/>
          <w:szCs w:val="20"/>
        </w:rPr>
        <w:t>.</w:t>
      </w:r>
      <w:r w:rsidRPr="001445C5">
        <w:rPr>
          <w:rFonts w:ascii="Arial" w:hAnsi="Arial" w:cs="Arial"/>
          <w:sz w:val="20"/>
          <w:szCs w:val="20"/>
        </w:rPr>
        <w:t>5</w:t>
      </w:r>
      <w:r w:rsidR="00BB536B" w:rsidRPr="001445C5">
        <w:rPr>
          <w:rFonts w:ascii="Arial" w:hAnsi="Arial" w:cs="Arial"/>
          <w:sz w:val="20"/>
          <w:szCs w:val="20"/>
        </w:rPr>
        <w:t>00</w:t>
      </w:r>
      <w:r w:rsidRPr="001445C5">
        <w:rPr>
          <w:rFonts w:ascii="Arial" w:hAnsi="Arial" w:cs="Arial"/>
          <w:sz w:val="20"/>
          <w:szCs w:val="20"/>
        </w:rPr>
        <w:t xml:space="preserve">.000 </w:t>
      </w:r>
      <w:r w:rsidR="00BB536B" w:rsidRPr="001445C5">
        <w:rPr>
          <w:rFonts w:ascii="Arial" w:hAnsi="Arial" w:cs="Arial"/>
          <w:sz w:val="20"/>
          <w:szCs w:val="20"/>
        </w:rPr>
        <w:t>ha</w:t>
      </w:r>
      <w:r w:rsidRPr="001445C5">
        <w:rPr>
          <w:rFonts w:ascii="Arial" w:hAnsi="Arial" w:cs="Arial"/>
          <w:sz w:val="20"/>
          <w:szCs w:val="20"/>
        </w:rPr>
        <w:t>) et</w:t>
      </w:r>
      <w:r w:rsidR="00BB536B" w:rsidRPr="001445C5">
        <w:rPr>
          <w:rFonts w:ascii="Arial" w:hAnsi="Arial" w:cs="Arial"/>
          <w:sz w:val="20"/>
          <w:szCs w:val="20"/>
        </w:rPr>
        <w:t xml:space="preserve"> de la Volta (1.5</w:t>
      </w:r>
      <w:r w:rsidRPr="001445C5">
        <w:rPr>
          <w:rFonts w:ascii="Arial" w:hAnsi="Arial" w:cs="Arial"/>
          <w:sz w:val="20"/>
          <w:szCs w:val="20"/>
        </w:rPr>
        <w:t>39</w:t>
      </w:r>
      <w:r w:rsidR="00BB536B" w:rsidRPr="001445C5">
        <w:rPr>
          <w:rFonts w:ascii="Arial" w:hAnsi="Arial" w:cs="Arial"/>
          <w:sz w:val="20"/>
          <w:szCs w:val="20"/>
        </w:rPr>
        <w:t>.</w:t>
      </w:r>
      <w:r w:rsidRPr="001445C5">
        <w:rPr>
          <w:rFonts w:ascii="Arial" w:hAnsi="Arial" w:cs="Arial"/>
          <w:sz w:val="20"/>
          <w:szCs w:val="20"/>
        </w:rPr>
        <w:t>2</w:t>
      </w:r>
      <w:r w:rsidR="00BB536B" w:rsidRPr="001445C5">
        <w:rPr>
          <w:rFonts w:ascii="Arial" w:hAnsi="Arial" w:cs="Arial"/>
          <w:sz w:val="20"/>
          <w:szCs w:val="20"/>
        </w:rPr>
        <w:t>00</w:t>
      </w:r>
      <w:r w:rsidRPr="001445C5">
        <w:rPr>
          <w:rFonts w:ascii="Arial" w:hAnsi="Arial" w:cs="Arial"/>
          <w:sz w:val="20"/>
          <w:szCs w:val="20"/>
        </w:rPr>
        <w:t xml:space="preserve"> </w:t>
      </w:r>
      <w:r w:rsidR="00BB536B" w:rsidRPr="001445C5">
        <w:rPr>
          <w:rFonts w:ascii="Arial" w:hAnsi="Arial" w:cs="Arial"/>
          <w:sz w:val="20"/>
          <w:szCs w:val="20"/>
        </w:rPr>
        <w:t>ha</w:t>
      </w:r>
      <w:r w:rsidRPr="001445C5">
        <w:rPr>
          <w:rFonts w:ascii="Arial" w:hAnsi="Arial" w:cs="Arial"/>
          <w:sz w:val="20"/>
          <w:szCs w:val="20"/>
        </w:rPr>
        <w:t>). Ils offrent</w:t>
      </w:r>
      <w:r w:rsidRPr="00514D53">
        <w:rPr>
          <w:rFonts w:ascii="Arial" w:hAnsi="Arial" w:cs="Arial"/>
          <w:sz w:val="20"/>
          <w:szCs w:val="20"/>
        </w:rPr>
        <w:t xml:space="preserve"> un potentiel irrigable (zones aménagées et non aménagées) estimé à plus de 2,2 millions d’ha incluant les 100.000 ha de périmètres irrigués en maitrise totale de l’Office du Niger (d’après PNUD-GERSAR, 1982 in PNIP-SA, 2010). Les eaux de surface non pérennes contribuent en partie à l’alimentation en eau des populations et surtout du bétail. A l’inverse, les ressources en eaux souterraines accessibles par puits traditionnels, puits modernes busés à grand diamètre et par forages sont essentielles pour l’alimentation en eau potable des populations, les eaux de surface contribuant pour environ 10 à 15 % en volume (MMEE, 2006). </w:t>
      </w:r>
    </w:p>
    <w:p w14:paraId="6395D78D" w14:textId="77777777" w:rsidR="00802BA9" w:rsidRDefault="00802BA9" w:rsidP="00514D53">
      <w:pPr>
        <w:spacing w:before="120" w:after="120" w:line="240" w:lineRule="auto"/>
        <w:rPr>
          <w:rFonts w:ascii="Arial" w:hAnsi="Arial" w:cs="Arial"/>
          <w:sz w:val="20"/>
          <w:szCs w:val="20"/>
        </w:rPr>
      </w:pPr>
      <w:r w:rsidRPr="00514D53">
        <w:rPr>
          <w:rFonts w:ascii="Arial" w:hAnsi="Arial" w:cs="Arial"/>
          <w:sz w:val="20"/>
          <w:szCs w:val="20"/>
        </w:rPr>
        <w:t xml:space="preserve">Sur la base du Recensement Général de la Population et de l’Habitat (RGPH) de 2009, (avec un </w:t>
      </w:r>
      <w:r w:rsidRPr="00514D53">
        <w:rPr>
          <w:rFonts w:ascii="Arial" w:hAnsi="Arial" w:cs="Arial"/>
          <w:bCs/>
          <w:sz w:val="20"/>
          <w:szCs w:val="20"/>
        </w:rPr>
        <w:t xml:space="preserve">taux d’accroissement annuel de la population de 3,6 %), </w:t>
      </w:r>
      <w:r w:rsidRPr="00514D53">
        <w:rPr>
          <w:rFonts w:ascii="Arial" w:hAnsi="Arial" w:cs="Arial"/>
          <w:sz w:val="20"/>
          <w:szCs w:val="20"/>
        </w:rPr>
        <w:t xml:space="preserve">fin 2017 </w:t>
      </w:r>
      <w:r w:rsidRPr="00514D53">
        <w:rPr>
          <w:rFonts w:ascii="Arial" w:hAnsi="Arial" w:cs="Arial"/>
          <w:bCs/>
          <w:sz w:val="20"/>
          <w:szCs w:val="20"/>
        </w:rPr>
        <w:t>le taux d’accès à l’eau potable s’est amélioré et s’élevait à 68,0 % (63,6 % en 2013) en moyenne, avec un accès de 74,6 % en milieu urbain (69,2 % en 2013) contre 65,3 % (61,3 % en 2013) en milieu rural (DNH, 2018). Depuis la réforme de 2010 et la séparation des activités des services publics de l’électricité et de l’eau potable, la SOMAPEP-SA s’occupe du développement des infrastructures d’eau potable et la SOMAGEP-Sa de la gestion technique, commerciale et financière. Entre 2011 et 2017, la production d’eau potable a progressé de 89 millions de m³ en 2011 à 105,07 millions de m</w:t>
      </w:r>
      <w:r w:rsidRPr="00514D53">
        <w:rPr>
          <w:rFonts w:ascii="Arial" w:hAnsi="Arial" w:cs="Arial"/>
          <w:bCs/>
          <w:sz w:val="20"/>
          <w:szCs w:val="20"/>
          <w:vertAlign w:val="superscript"/>
        </w:rPr>
        <w:t>3</w:t>
      </w:r>
      <w:r w:rsidRPr="00514D53">
        <w:rPr>
          <w:rFonts w:ascii="Arial" w:hAnsi="Arial" w:cs="Arial"/>
          <w:bCs/>
          <w:sz w:val="20"/>
          <w:szCs w:val="20"/>
        </w:rPr>
        <w:t>, dont 72,57 millions de m</w:t>
      </w:r>
      <w:r w:rsidRPr="00514D53">
        <w:rPr>
          <w:rFonts w:ascii="Arial" w:hAnsi="Arial" w:cs="Arial"/>
          <w:bCs/>
          <w:sz w:val="20"/>
          <w:szCs w:val="20"/>
          <w:vertAlign w:val="superscript"/>
        </w:rPr>
        <w:t>3</w:t>
      </w:r>
      <w:r w:rsidRPr="00514D53">
        <w:rPr>
          <w:rFonts w:ascii="Arial" w:hAnsi="Arial" w:cs="Arial"/>
          <w:bCs/>
          <w:sz w:val="20"/>
          <w:szCs w:val="20"/>
        </w:rPr>
        <w:t xml:space="preserve"> (69 %) uniquement pour Bamako (DNH, 2012 et 2018). </w:t>
      </w:r>
      <w:r w:rsidRPr="00514D53">
        <w:rPr>
          <w:rFonts w:ascii="Arial" w:hAnsi="Arial" w:cs="Arial"/>
          <w:sz w:val="20"/>
          <w:szCs w:val="20"/>
        </w:rPr>
        <w:t xml:space="preserve">Malgré ces progrès, l’accès total à l’eau au sens large et à l’eau potable au sens strict est loin d’être atteint et varie beaucoup selon les régions (annexe </w:t>
      </w:r>
      <w:r w:rsidR="000F68BC" w:rsidRPr="00514D53">
        <w:rPr>
          <w:rFonts w:ascii="Arial" w:hAnsi="Arial" w:cs="Arial"/>
          <w:sz w:val="20"/>
          <w:szCs w:val="20"/>
        </w:rPr>
        <w:t>7.1.9</w:t>
      </w:r>
      <w:r w:rsidRPr="00514D53">
        <w:rPr>
          <w:rFonts w:ascii="Arial" w:hAnsi="Arial" w:cs="Arial"/>
          <w:sz w:val="20"/>
          <w:szCs w:val="20"/>
        </w:rPr>
        <w:t xml:space="preserve">). Au Nord du pays (Kidal, Gao, Tombouctou), les nouveaux ouvrages et les réhabilitations programmées pour 2017 par la DNH n’ont pas eu lieu (DNH, 2018) et 22,3 % à 28,3% de la population dans les 3 régions se trouvent sans accès à un point d’eau moderne (CPS, 2017). Il faut noter également un nombre assez important de points d’eau en panne. Le taux moyen de pannes des pompes à motricité humaine est d’environ 30% en 2017. Ce taux varie suivant les régions et est compris entre 26% et 52% (DNH, 2018). Par ailleurs, il convient de compléter le maillage des ouvrages de stockage des ressources en eau de surface, qui n’a pas changé ces dernières trois années. Le faible maillage des points d’eau en zone </w:t>
      </w:r>
      <w:r w:rsidRPr="00514D53">
        <w:rPr>
          <w:rFonts w:ascii="Arial" w:hAnsi="Arial" w:cs="Arial"/>
          <w:sz w:val="20"/>
          <w:szCs w:val="20"/>
        </w:rPr>
        <w:lastRenderedPageBreak/>
        <w:t xml:space="preserve">sahélienne, le chevauchement de multiples intérêts d’usage et une raréfaction de la ressource réellement mobilisée notamment pendant les années de faible pluviométrie font que l’eau devient un facteur limitant pour l’exploitation économique en milieu rural (agriculture, élevage, pêche) et de plus en plus une source de conflits. </w:t>
      </w:r>
      <w:r w:rsidRPr="00514D53">
        <w:rPr>
          <w:rFonts w:ascii="Arial" w:hAnsi="Arial" w:cs="Arial"/>
          <w:sz w:val="20"/>
          <w:szCs w:val="20"/>
          <w:lang w:val="fr-FR"/>
        </w:rPr>
        <w:t>Le défi portant sur la satisfaction des besoins fondamentaux en eau potable des populations reste un « leitmotiv » du gouvernement et du CREDD.</w:t>
      </w:r>
      <w:r w:rsidRPr="00514D53">
        <w:rPr>
          <w:rFonts w:ascii="Arial" w:hAnsi="Arial" w:cs="Arial"/>
          <w:sz w:val="20"/>
          <w:szCs w:val="20"/>
        </w:rPr>
        <w:t xml:space="preserve"> Il convient de relever la nécessité d’une gestion rationnelle et harmonieuse des ressources en eau dans le contexte des changements climatiques, de la croissance démographique et des potentialités de mobilisation facile des ressources en eau. L’acquisition des informations et des connaissances sur les ressources en eau reste un défi majeur pour réellement reconnaitre les valeurs de l’eau, même si des nouveaux efforts de suivi sont en cours depuis 2017 dans le cadre du GIRE. </w:t>
      </w:r>
    </w:p>
    <w:p w14:paraId="067B280C" w14:textId="77777777" w:rsidR="00500D2D" w:rsidRPr="00514D53" w:rsidRDefault="00500D2D" w:rsidP="00514D53">
      <w:pPr>
        <w:spacing w:before="120" w:after="120" w:line="240" w:lineRule="auto"/>
        <w:rPr>
          <w:rFonts w:ascii="Arial" w:hAnsi="Arial" w:cs="Arial"/>
          <w:sz w:val="20"/>
          <w:szCs w:val="20"/>
        </w:rPr>
      </w:pPr>
    </w:p>
    <w:p w14:paraId="3DBC1672" w14:textId="77777777" w:rsidR="00802BA9" w:rsidRPr="00514D53" w:rsidRDefault="00802BA9" w:rsidP="00525222">
      <w:pPr>
        <w:pStyle w:val="Titre3"/>
      </w:pPr>
      <w:bookmarkStart w:id="18" w:name="_Toc20505621"/>
      <w:r w:rsidRPr="005A45C7">
        <w:t>2.2.2 Utilisation et gestion des terres</w:t>
      </w:r>
      <w:bookmarkEnd w:id="18"/>
    </w:p>
    <w:p w14:paraId="73B5F531" w14:textId="77777777" w:rsidR="00802BA9" w:rsidRPr="00514D53" w:rsidRDefault="00802BA9" w:rsidP="00514D53">
      <w:pPr>
        <w:spacing w:before="120" w:after="120" w:line="240" w:lineRule="auto"/>
        <w:rPr>
          <w:rFonts w:ascii="Arial" w:eastAsia="Calibri" w:hAnsi="Arial" w:cs="Arial"/>
          <w:sz w:val="20"/>
          <w:szCs w:val="20"/>
          <w:lang w:val="fr-FR" w:eastAsia="fr-FR"/>
        </w:rPr>
      </w:pPr>
      <w:r w:rsidRPr="00514D53">
        <w:rPr>
          <w:rFonts w:ascii="Arial" w:eastAsia="Calibri" w:hAnsi="Arial" w:cs="Arial"/>
          <w:sz w:val="20"/>
          <w:szCs w:val="20"/>
          <w:lang w:val="fr-FR" w:eastAsia="fr-FR"/>
        </w:rPr>
        <w:t>Le Mali, d’une superficie totale de 124 millions d’hectares, présente 74.8 millions ha de déserts, 5.5 millions ha de forêts</w:t>
      </w:r>
      <w:r w:rsidR="00F26DE9" w:rsidRPr="00514D53">
        <w:rPr>
          <w:rFonts w:ascii="Arial" w:eastAsia="Calibri" w:hAnsi="Arial" w:cs="Arial"/>
          <w:sz w:val="20"/>
          <w:szCs w:val="20"/>
          <w:lang w:val="fr-FR" w:eastAsia="fr-FR"/>
        </w:rPr>
        <w:t xml:space="preserve"> potentiel</w:t>
      </w:r>
      <w:r w:rsidR="00992B0F" w:rsidRPr="00514D53">
        <w:rPr>
          <w:rFonts w:ascii="Arial" w:eastAsia="Calibri" w:hAnsi="Arial" w:cs="Arial"/>
          <w:sz w:val="20"/>
          <w:szCs w:val="20"/>
          <w:lang w:val="fr-FR" w:eastAsia="fr-FR"/>
        </w:rPr>
        <w:t>s</w:t>
      </w:r>
      <w:r w:rsidRPr="00514D53">
        <w:rPr>
          <w:rFonts w:ascii="Arial" w:eastAsia="Calibri" w:hAnsi="Arial" w:cs="Arial"/>
          <w:sz w:val="20"/>
          <w:szCs w:val="20"/>
          <w:lang w:val="fr-FR" w:eastAsia="fr-FR"/>
        </w:rPr>
        <w:t>, 43.7 millions ha (35%) utilisables pour l’agriculture et l’élevage. Les terres aptes à l’irrigation offrent un potentiel de 2.2 millions ha (SNDI, 1999). Les ressources des terres arables, estimées entre 11,5 et 21 millions hectares (PIRT-1986, Boughton et al, 2010), sont limitées et concentrées dans le Centre et le Sud du pays. De ce fait, avec une densité humaine moyenne de 15,2 hab./km² en 2017 (Mali, 2018), le pays présente de grandes disparités spatiales</w:t>
      </w:r>
      <w:r w:rsidRPr="00514D53">
        <w:rPr>
          <w:rStyle w:val="Appelnotedebasdep"/>
          <w:rFonts w:ascii="Arial" w:eastAsia="Calibri" w:hAnsi="Arial" w:cs="Arial"/>
          <w:sz w:val="20"/>
          <w:szCs w:val="20"/>
          <w:lang w:val="fr-FR" w:eastAsia="fr-FR"/>
        </w:rPr>
        <w:footnoteReference w:id="13"/>
      </w:r>
      <w:r w:rsidRPr="00514D53">
        <w:rPr>
          <w:rFonts w:ascii="Arial" w:eastAsia="Calibri" w:hAnsi="Arial" w:cs="Arial"/>
          <w:sz w:val="20"/>
          <w:szCs w:val="20"/>
          <w:lang w:val="fr-FR" w:eastAsia="fr-FR"/>
        </w:rPr>
        <w:t xml:space="preserve">. Cette densité s’élève à moins de 5/hab./km² dans la région Nord désertique (0,47 % de la population totale dans la région de Kidal, 3,7 % dans celle de Gao) contre plus de 90 hab./km² dans la partie Sud du pays (18,2 % pour Sikasso) et le Delta Intérieur (14 % pour Mopti) où se situent les terres arables (GOPA, 2012). La population vit principalement en zone rurale (75 % de la population contre 25 % en zone urbaine). Ces disparités se sont accentuées avec la crise de 2012. Ainsi depuis 2012, les populations humaines et animales se sont déplacées des régions Nord vers le Delta Intérieur du Niger (DIN) puis du DIN vers les régions de Sikasso et de Kayes. Face aux ressources naturelles limitées, de nombreux conflits ont éclatés dans les régions d’accueil. De plus, les terres connaissent une </w:t>
      </w:r>
      <w:r w:rsidRPr="00514D53">
        <w:rPr>
          <w:rFonts w:ascii="Arial" w:eastAsia="Calibri" w:hAnsi="Arial" w:cs="Arial"/>
          <w:b/>
          <w:sz w:val="20"/>
          <w:szCs w:val="20"/>
          <w:lang w:val="fr-FR" w:eastAsia="fr-FR"/>
        </w:rPr>
        <w:t>dégradation importante et continue</w:t>
      </w:r>
      <w:r w:rsidRPr="00514D53">
        <w:rPr>
          <w:rFonts w:ascii="Arial" w:eastAsia="Calibri" w:hAnsi="Arial" w:cs="Arial"/>
          <w:sz w:val="20"/>
          <w:szCs w:val="20"/>
          <w:lang w:val="fr-FR" w:eastAsia="fr-FR"/>
        </w:rPr>
        <w:t xml:space="preserve"> (§ 2.1.1.3) liée à la déforestation, au défrichement agricole, au surpâturage, aux défrichements pour la construction des infrastructures socio-économiques et des habitats, à l’utilisation de techniques agricoles peu respectueuses des sols (réduction des jachères, sous-utilisation des engrais organiques) et érosives et aux pratiques artisanales d’orpaillage. Les différentes exploitations économiques des terres sont peu coordonnées et produisent un morcellement d’unités naturelles avec juxtaposition des différentes utilisations.</w:t>
      </w:r>
    </w:p>
    <w:p w14:paraId="268C5A94" w14:textId="77777777" w:rsidR="00802BA9" w:rsidRPr="00514D53" w:rsidRDefault="00802BA9" w:rsidP="00514D53">
      <w:pPr>
        <w:spacing w:before="120" w:after="120" w:line="240" w:lineRule="auto"/>
        <w:rPr>
          <w:rFonts w:ascii="Arial" w:eastAsia="Calibri" w:hAnsi="Arial" w:cs="Arial"/>
          <w:sz w:val="20"/>
          <w:szCs w:val="20"/>
          <w:lang w:val="fr-FR" w:eastAsia="fr-FR"/>
        </w:rPr>
      </w:pPr>
      <w:r w:rsidRPr="00514D53">
        <w:rPr>
          <w:rFonts w:ascii="Arial" w:eastAsia="Calibri" w:hAnsi="Arial" w:cs="Arial"/>
          <w:sz w:val="20"/>
          <w:szCs w:val="20"/>
          <w:lang w:val="fr-FR" w:eastAsia="fr-FR"/>
        </w:rPr>
        <w:t xml:space="preserve">Bien que la vision du Mali pour la GDT d’ici à l’horizon 2025 soit l’inversion des tendances à la dégradation continue des terres et malgré l’urgence à lutter contre la dégradation, les appuis / investissements pour une </w:t>
      </w:r>
      <w:r w:rsidRPr="00514D53">
        <w:rPr>
          <w:rFonts w:ascii="Arial" w:eastAsia="Calibri" w:hAnsi="Arial" w:cs="Arial"/>
          <w:b/>
          <w:sz w:val="20"/>
          <w:szCs w:val="20"/>
          <w:lang w:val="fr-FR" w:eastAsia="fr-FR"/>
        </w:rPr>
        <w:t>gestion durable des terres</w:t>
      </w:r>
      <w:r w:rsidRPr="00514D53">
        <w:rPr>
          <w:rFonts w:ascii="Arial" w:eastAsia="Calibri" w:hAnsi="Arial" w:cs="Arial"/>
          <w:sz w:val="20"/>
          <w:szCs w:val="20"/>
          <w:lang w:val="fr-FR" w:eastAsia="fr-FR"/>
        </w:rPr>
        <w:t xml:space="preserve"> restent très faibles</w:t>
      </w:r>
      <w:r w:rsidRPr="00514D53">
        <w:rPr>
          <w:rStyle w:val="Appelnotedebasdep"/>
          <w:rFonts w:ascii="Arial" w:eastAsia="Calibri" w:hAnsi="Arial" w:cs="Arial"/>
          <w:sz w:val="20"/>
          <w:szCs w:val="20"/>
          <w:lang w:val="fr-FR" w:eastAsia="fr-FR"/>
        </w:rPr>
        <w:footnoteReference w:id="14"/>
      </w:r>
      <w:r w:rsidRPr="00514D53">
        <w:rPr>
          <w:rFonts w:ascii="Arial" w:eastAsia="Calibri" w:hAnsi="Arial" w:cs="Arial"/>
          <w:sz w:val="20"/>
          <w:szCs w:val="20"/>
          <w:lang w:val="fr-FR" w:eastAsia="fr-FR"/>
        </w:rPr>
        <w:t xml:space="preserve"> (§ 7.4.</w:t>
      </w:r>
      <w:r w:rsidR="00905EE1" w:rsidRPr="00514D53">
        <w:rPr>
          <w:rFonts w:ascii="Arial" w:eastAsia="Calibri" w:hAnsi="Arial" w:cs="Arial"/>
          <w:sz w:val="20"/>
          <w:szCs w:val="20"/>
          <w:lang w:val="fr-FR" w:eastAsia="fr-FR"/>
        </w:rPr>
        <w:t>12</w:t>
      </w:r>
      <w:r w:rsidRPr="00514D53">
        <w:rPr>
          <w:rFonts w:ascii="Arial" w:eastAsia="Calibri" w:hAnsi="Arial" w:cs="Arial"/>
          <w:sz w:val="20"/>
          <w:szCs w:val="20"/>
          <w:lang w:val="fr-FR" w:eastAsia="fr-FR"/>
        </w:rPr>
        <w:t xml:space="preserve">). La mise en œuvre du Cadre Stratégique d'Investissement de Gestion durable des terres (CSI/GDT) développé en 2010 reste très limitée. La majorité des acteurs a accès à la terre mais ne peut pas faire d’investissements durables (plantations, mesures de conservation des eaux et du sol) sans le consentement des propriétaires pour l’obtention d’une sécurité foncière à long terme. Cette précarité n’encourage pas l’investissement dans la fertilité des sols ou les plantations. En zone rurale, le droit </w:t>
      </w:r>
      <w:r w:rsidRPr="008E7F14">
        <w:rPr>
          <w:rFonts w:ascii="Arial" w:eastAsia="Calibri" w:hAnsi="Arial" w:cs="Arial"/>
          <w:sz w:val="20"/>
          <w:szCs w:val="20"/>
          <w:lang w:val="fr-FR" w:eastAsia="fr-FR"/>
        </w:rPr>
        <w:t xml:space="preserve">foncier </w:t>
      </w:r>
      <w:r w:rsidR="00705AAC" w:rsidRPr="008E7F14">
        <w:rPr>
          <w:rFonts w:ascii="Arial" w:eastAsia="Calibri" w:hAnsi="Arial" w:cs="Arial"/>
          <w:sz w:val="20"/>
          <w:szCs w:val="20"/>
          <w:lang w:val="fr-FR" w:eastAsia="fr-FR"/>
        </w:rPr>
        <w:t xml:space="preserve">traditionnel </w:t>
      </w:r>
      <w:r w:rsidRPr="008E7F14">
        <w:rPr>
          <w:rFonts w:ascii="Arial" w:eastAsia="Calibri" w:hAnsi="Arial" w:cs="Arial"/>
          <w:sz w:val="20"/>
          <w:szCs w:val="20"/>
          <w:lang w:val="fr-FR" w:eastAsia="fr-FR"/>
        </w:rPr>
        <w:t>pré</w:t>
      </w:r>
      <w:r w:rsidRPr="00514D53">
        <w:rPr>
          <w:rFonts w:ascii="Arial" w:eastAsia="Calibri" w:hAnsi="Arial" w:cs="Arial"/>
          <w:sz w:val="20"/>
          <w:szCs w:val="20"/>
          <w:lang w:val="fr-FR" w:eastAsia="fr-FR"/>
        </w:rPr>
        <w:t xml:space="preserve">domine sur le droit moderne malgré la loi de 2017 portant sur le foncier agricole (§ 7.2.1).  </w:t>
      </w:r>
    </w:p>
    <w:p w14:paraId="717BAA51" w14:textId="77777777" w:rsidR="00802BA9" w:rsidRPr="00514D53" w:rsidRDefault="00802BA9" w:rsidP="00514D53">
      <w:pPr>
        <w:spacing w:before="120" w:after="120" w:line="240" w:lineRule="auto"/>
        <w:rPr>
          <w:rFonts w:ascii="Arial" w:eastAsia="Calibri" w:hAnsi="Arial" w:cs="Arial"/>
          <w:sz w:val="20"/>
          <w:szCs w:val="20"/>
          <w:lang w:val="fr-FR" w:eastAsia="fr-FR"/>
        </w:rPr>
      </w:pPr>
      <w:r w:rsidRPr="00514D53">
        <w:rPr>
          <w:rFonts w:ascii="Arial" w:eastAsia="Calibri" w:hAnsi="Arial" w:cs="Arial"/>
          <w:sz w:val="20"/>
          <w:szCs w:val="20"/>
          <w:lang w:val="fr-FR" w:eastAsia="fr-FR"/>
        </w:rPr>
        <w:t xml:space="preserve">Depuis l’adoption de la Politique Nationale de l’Aménagement du Territoire (PNAT) en 2006, le pays a élaboré de nombreux documents de la planification spatiale (Schéma Régional d’Aménagement du Territoire (SRAT), Schémas Locaux d’Aménagement du Territoire (SLAT), Schémas Directeurs d’Urbanisme (SDU), PDSEC des communes) où l’environnement et les changements climatiques sont intégrés (verdissement des PDSEC) dans la planification mais peu mis en œuvre face aux contraintes budgétaires des collectivités locales et à leurs faibles connaissances de la législation environnementale. Ainsi, les douze Plans Communaux d’Action Environnementale dans la région de Kayes élaborés en 2012 n’ont pas été mis en œuvre face aux retombées financières de l’orpaillage (exemples des communes de Dialafara et de Dabia). De même, la facilité de l’ANICT auprès des collectivités locales en faveur de l’environnement (contrepartie de la collectivité abaissée de 20 à 3%) a été très rarement utilisée. </w:t>
      </w:r>
    </w:p>
    <w:p w14:paraId="3041DB5D" w14:textId="77777777" w:rsidR="00802BA9" w:rsidRDefault="00802BA9" w:rsidP="00514D53">
      <w:pPr>
        <w:spacing w:before="120" w:after="120" w:line="240" w:lineRule="auto"/>
        <w:rPr>
          <w:rFonts w:ascii="Arial" w:eastAsia="Calibri" w:hAnsi="Arial" w:cs="Arial"/>
          <w:sz w:val="20"/>
          <w:szCs w:val="20"/>
          <w:lang w:val="fr-FR" w:eastAsia="fr-FR"/>
        </w:rPr>
      </w:pPr>
      <w:r w:rsidRPr="00514D53">
        <w:rPr>
          <w:rFonts w:ascii="Arial" w:eastAsia="Calibri" w:hAnsi="Arial" w:cs="Arial"/>
          <w:sz w:val="20"/>
          <w:szCs w:val="20"/>
          <w:lang w:val="fr-FR" w:eastAsia="fr-FR"/>
        </w:rPr>
        <w:t xml:space="preserve">La planification spatiale et la gestion intersectorielle et concertée de l’utilisation durable des terres sont indispensables pour répondre dans l’avenir aux menaces des terres, un des facteurs prioritaires de production. </w:t>
      </w:r>
    </w:p>
    <w:p w14:paraId="69895507" w14:textId="77777777" w:rsidR="00514D53" w:rsidRPr="00514D53" w:rsidRDefault="00514D53" w:rsidP="00514D53">
      <w:pPr>
        <w:spacing w:before="120" w:after="120" w:line="240" w:lineRule="auto"/>
        <w:rPr>
          <w:rFonts w:ascii="Arial" w:eastAsia="Calibri" w:hAnsi="Arial" w:cs="Arial"/>
          <w:sz w:val="20"/>
          <w:szCs w:val="20"/>
          <w:lang w:val="fr-FR" w:eastAsia="fr-FR"/>
        </w:rPr>
      </w:pPr>
    </w:p>
    <w:p w14:paraId="548FCA01" w14:textId="77777777" w:rsidR="00802BA9" w:rsidRPr="00514D53" w:rsidRDefault="00802BA9" w:rsidP="00525222">
      <w:pPr>
        <w:pStyle w:val="Titre3"/>
      </w:pPr>
      <w:bookmarkStart w:id="19" w:name="_Toc20505622"/>
      <w:r w:rsidRPr="000E0C0B">
        <w:t>2.2.3 Agriculture et élevage</w:t>
      </w:r>
      <w:bookmarkEnd w:id="19"/>
      <w:r w:rsidRPr="00F15A62">
        <w:t xml:space="preserve"> </w:t>
      </w:r>
    </w:p>
    <w:p w14:paraId="2B4567C0" w14:textId="77777777" w:rsidR="00802BA9" w:rsidRPr="00514D53" w:rsidRDefault="00802BA9" w:rsidP="00514D53">
      <w:pPr>
        <w:autoSpaceDE w:val="0"/>
        <w:autoSpaceDN w:val="0"/>
        <w:adjustRightInd w:val="0"/>
        <w:spacing w:before="120" w:after="120" w:line="240" w:lineRule="auto"/>
        <w:rPr>
          <w:rFonts w:ascii="Arial" w:hAnsi="Arial" w:cs="Arial"/>
          <w:sz w:val="20"/>
          <w:szCs w:val="20"/>
        </w:rPr>
      </w:pPr>
      <w:r w:rsidRPr="00514D53">
        <w:rPr>
          <w:rFonts w:ascii="Arial" w:hAnsi="Arial" w:cs="Arial"/>
          <w:sz w:val="20"/>
          <w:szCs w:val="20"/>
        </w:rPr>
        <w:t>L’</w:t>
      </w:r>
      <w:r w:rsidRPr="00514D53">
        <w:rPr>
          <w:rFonts w:ascii="Arial" w:hAnsi="Arial" w:cs="Arial"/>
          <w:b/>
          <w:sz w:val="20"/>
          <w:szCs w:val="20"/>
        </w:rPr>
        <w:t>agriculture</w:t>
      </w:r>
      <w:r w:rsidRPr="00514D53">
        <w:rPr>
          <w:rFonts w:ascii="Arial" w:hAnsi="Arial" w:cs="Arial"/>
          <w:sz w:val="20"/>
          <w:szCs w:val="20"/>
        </w:rPr>
        <w:t xml:space="preserve"> a bien résisté, en dépit d’une situation sécuritaire qui se dégrade, et représente plus de 30 % du PIB (FMI, 2018) contre 23,9 % en 2010 (FMI, 2013). Le taux de croissance reste étroitement corrélé à la pluviométrie et s’est abaissé de 7,6 % à 4,8 % entre 2016 et 2017, année pluviométrique moins favorable. </w:t>
      </w:r>
    </w:p>
    <w:p w14:paraId="20A9ECFF" w14:textId="77777777" w:rsidR="00802BA9" w:rsidRPr="00514D53" w:rsidRDefault="00802BA9" w:rsidP="00514D53">
      <w:pPr>
        <w:autoSpaceDE w:val="0"/>
        <w:autoSpaceDN w:val="0"/>
        <w:adjustRightInd w:val="0"/>
        <w:spacing w:before="120" w:after="120" w:line="240" w:lineRule="auto"/>
        <w:rPr>
          <w:rFonts w:ascii="Arial" w:hAnsi="Arial" w:cs="Arial"/>
          <w:sz w:val="20"/>
          <w:szCs w:val="20"/>
          <w:lang w:val="fr-FR"/>
        </w:rPr>
      </w:pPr>
      <w:r w:rsidRPr="00514D53">
        <w:rPr>
          <w:rFonts w:ascii="Arial" w:hAnsi="Arial" w:cs="Arial"/>
          <w:sz w:val="20"/>
          <w:szCs w:val="20"/>
          <w:lang w:val="fr-FR"/>
        </w:rPr>
        <w:t>Le potentiel des terres agricoles au Mali s’élève à près de 41 millions d’hectares (</w:t>
      </w:r>
      <w:r w:rsidRPr="00514D53">
        <w:rPr>
          <w:rFonts w:ascii="Arial" w:hAnsi="Arial" w:cs="Arial"/>
          <w:i/>
          <w:sz w:val="20"/>
          <w:szCs w:val="20"/>
          <w:lang w:val="fr-FR"/>
        </w:rPr>
        <w:t>DNA- Rapport d’activités 2016-2017</w:t>
      </w:r>
      <w:r w:rsidRPr="00514D53">
        <w:rPr>
          <w:rFonts w:ascii="Arial" w:hAnsi="Arial" w:cs="Arial"/>
          <w:sz w:val="20"/>
          <w:szCs w:val="20"/>
          <w:lang w:val="fr-FR"/>
        </w:rPr>
        <w:t>) et présente une grande diversité agroécologique se traduisant par des systèmes de production agricole allant des systèmes à base de coton au Sud au système oasien au Nord, en passant par les systèmes à base de céréales sèches ou irriguées. Les superficies cultivées varient selon les années pluviométriques (7,3 millions d’ha lors de la bonne campagne agricole 2016/2017, -INSTAT, 2017- contre 5,8 millions d’ha en 2017/2018, -DNA, 2018-). Ces superficies ont progressé d’environ 1,5 millions d’ha si l’on compare la situation de 2017/2018 avec la situation d’avant crise qui était de 4,3 millions d’hectares en 2011/2012 (INSTAT, 2017), soit une progression de 35 %. Cette progression est liée en partie à la motorisation de l’agriculture et touche l’ensemble des céréales et surtout l’arboriculture, notamment, au travers des plantations d’anacardiers et de manguiers.</w:t>
      </w:r>
    </w:p>
    <w:p w14:paraId="31F5A79D" w14:textId="77777777" w:rsidR="00802BA9" w:rsidRPr="00514D53" w:rsidRDefault="00802BA9" w:rsidP="00514D53">
      <w:pPr>
        <w:spacing w:before="120" w:after="120" w:line="240" w:lineRule="auto"/>
        <w:rPr>
          <w:rFonts w:ascii="Arial" w:eastAsia="Calibri" w:hAnsi="Arial" w:cs="Arial"/>
          <w:sz w:val="20"/>
          <w:szCs w:val="20"/>
          <w:lang w:val="fr-FR" w:eastAsia="fr-FR"/>
        </w:rPr>
      </w:pPr>
      <w:r w:rsidRPr="00514D53">
        <w:rPr>
          <w:rFonts w:ascii="Arial" w:eastAsia="Calibri" w:hAnsi="Arial" w:cs="Arial"/>
          <w:sz w:val="20"/>
          <w:szCs w:val="20"/>
          <w:lang w:val="fr-FR" w:eastAsia="fr-FR"/>
        </w:rPr>
        <w:t xml:space="preserve">L’agriculture malienne reste très largement extensive, peu productive (rendements de 2,5 à 3,5 t/ha pour le maïs, 0,8 à 0,9 t/ha pour le mil et le sorgho), </w:t>
      </w:r>
      <w:r w:rsidRPr="001445C5">
        <w:rPr>
          <w:rFonts w:ascii="Arial" w:eastAsia="Calibri" w:hAnsi="Arial" w:cs="Arial"/>
          <w:sz w:val="20"/>
          <w:szCs w:val="20"/>
          <w:lang w:val="fr-FR" w:eastAsia="fr-FR"/>
        </w:rPr>
        <w:t>utilisant les pesticides (1,54 kg/ha) et de plus en plus les engrais chimiques ; les engrais organiques ne représentant que 3 à 4 % de la quantité totale d’engrais utilisée -INSTAT, 2017. Toutefois, il existe quelques exemples encourageants d’agriculture systémique (</w:t>
      </w:r>
      <w:r w:rsidR="008D7226" w:rsidRPr="001445C5">
        <w:rPr>
          <w:rFonts w:ascii="Arial" w:eastAsia="Calibri" w:hAnsi="Arial" w:cs="Arial"/>
          <w:sz w:val="20"/>
          <w:szCs w:val="20"/>
          <w:lang w:val="fr-FR" w:eastAsia="fr-FR"/>
        </w:rPr>
        <w:t>intégrant l’</w:t>
      </w:r>
      <w:r w:rsidRPr="001445C5">
        <w:rPr>
          <w:rFonts w:ascii="Arial" w:eastAsia="Calibri" w:hAnsi="Arial" w:cs="Arial"/>
          <w:sz w:val="20"/>
          <w:szCs w:val="20"/>
          <w:lang w:val="fr-FR" w:eastAsia="fr-FR"/>
        </w:rPr>
        <w:t>agroécologie</w:t>
      </w:r>
      <w:r w:rsidR="008D7226" w:rsidRPr="001445C5">
        <w:rPr>
          <w:rFonts w:ascii="Arial" w:eastAsia="Calibri" w:hAnsi="Arial" w:cs="Arial"/>
          <w:sz w:val="20"/>
          <w:szCs w:val="20"/>
          <w:lang w:val="fr-FR" w:eastAsia="fr-FR"/>
        </w:rPr>
        <w:t>, l’agroforesterie</w:t>
      </w:r>
      <w:r w:rsidRPr="001445C5">
        <w:rPr>
          <w:rFonts w:ascii="Arial" w:eastAsia="Calibri" w:hAnsi="Arial" w:cs="Arial"/>
          <w:sz w:val="20"/>
          <w:szCs w:val="20"/>
          <w:lang w:val="fr-FR" w:eastAsia="fr-FR"/>
        </w:rPr>
        <w:t>), d’une agriculture</w:t>
      </w:r>
      <w:r w:rsidRPr="00514D53">
        <w:rPr>
          <w:rFonts w:ascii="Arial" w:eastAsia="Calibri" w:hAnsi="Arial" w:cs="Arial"/>
          <w:sz w:val="20"/>
          <w:szCs w:val="20"/>
          <w:lang w:val="fr-FR" w:eastAsia="fr-FR"/>
        </w:rPr>
        <w:t xml:space="preserve"> verte et durable préservant l’environnement.</w:t>
      </w:r>
    </w:p>
    <w:p w14:paraId="382BF59F" w14:textId="77777777" w:rsidR="00802BA9" w:rsidRPr="00514D53" w:rsidRDefault="00802BA9" w:rsidP="00514D53">
      <w:pPr>
        <w:spacing w:before="120" w:after="120" w:line="240" w:lineRule="auto"/>
        <w:rPr>
          <w:rFonts w:ascii="Arial" w:hAnsi="Arial" w:cs="Arial"/>
          <w:sz w:val="20"/>
          <w:szCs w:val="20"/>
          <w:lang w:val="fr-FR"/>
        </w:rPr>
      </w:pPr>
      <w:r w:rsidRPr="00514D53">
        <w:rPr>
          <w:rFonts w:ascii="Arial" w:eastAsia="Calibri" w:hAnsi="Arial" w:cs="Arial"/>
          <w:sz w:val="20"/>
          <w:szCs w:val="20"/>
          <w:lang w:val="fr-FR" w:eastAsia="fr-FR"/>
        </w:rPr>
        <w:t>Le développement des superficies cultivées porte préjudice à l’environnement suite aux défrichements d’espaces plus ou moins boisés (§ 2.2.4), à la dégradation des sols (§ 2.1.1.3). En outre, l</w:t>
      </w:r>
      <w:r w:rsidRPr="00514D53">
        <w:rPr>
          <w:rFonts w:ascii="Arial" w:hAnsi="Arial" w:cs="Arial"/>
          <w:sz w:val="20"/>
          <w:szCs w:val="20"/>
          <w:lang w:val="fr-FR"/>
        </w:rPr>
        <w:t xml:space="preserve">a production agricole avec une irrigation de surface en maîtrise totale (~120.000 ha -MDR, 2014) ou partielle nécessite d’importantes ressources en eau (§ 2.2.1) alors que l’irrigation sous pression par aspersion et par goutte à goutte, moins consommatrice d’eau reste peu pratiquée. L’agriculture </w:t>
      </w:r>
      <w:r w:rsidRPr="00514D53">
        <w:rPr>
          <w:rFonts w:ascii="Arial" w:hAnsi="Arial" w:cs="Arial"/>
          <w:b/>
          <w:sz w:val="20"/>
          <w:szCs w:val="20"/>
          <w:lang w:val="fr-FR"/>
        </w:rPr>
        <w:t>périurbaine</w:t>
      </w:r>
      <w:r w:rsidRPr="00514D53">
        <w:rPr>
          <w:rFonts w:ascii="Arial" w:hAnsi="Arial" w:cs="Arial"/>
          <w:sz w:val="20"/>
          <w:szCs w:val="20"/>
          <w:lang w:val="fr-FR"/>
        </w:rPr>
        <w:t xml:space="preserve"> est confrontée à la qualité de l’eau (autour de Bamako notamment) et à celle des déchets rarement prétraités. </w:t>
      </w:r>
    </w:p>
    <w:p w14:paraId="097AA876" w14:textId="77777777" w:rsidR="00802BA9" w:rsidRPr="00514D53" w:rsidRDefault="00802BA9" w:rsidP="00514D53">
      <w:pPr>
        <w:spacing w:before="120" w:after="120" w:line="240" w:lineRule="auto"/>
        <w:rPr>
          <w:rFonts w:ascii="Arial" w:hAnsi="Arial" w:cs="Arial"/>
          <w:iCs/>
          <w:sz w:val="20"/>
          <w:szCs w:val="20"/>
          <w:lang w:val="fr-FR"/>
        </w:rPr>
      </w:pPr>
      <w:r w:rsidRPr="00514D53">
        <w:rPr>
          <w:rFonts w:ascii="Arial" w:eastAsia="Calibri" w:hAnsi="Arial" w:cs="Arial"/>
          <w:sz w:val="20"/>
          <w:szCs w:val="20"/>
          <w:lang w:val="fr-FR" w:eastAsia="fr-FR"/>
        </w:rPr>
        <w:t xml:space="preserve">Les productions agricoles restent soumises aux aléas climatiques (sècheresses, inondations), aux déprédateurs et aux feux involontaires. Les premières pluies, le plus souvent violentes, lessivent les engrais et les pesticides apportés vers les cours d’eau. </w:t>
      </w:r>
      <w:r w:rsidRPr="00514D53">
        <w:rPr>
          <w:rFonts w:ascii="Arial" w:hAnsi="Arial" w:cs="Arial"/>
          <w:sz w:val="20"/>
          <w:szCs w:val="20"/>
          <w:lang w:val="fr-FR"/>
        </w:rPr>
        <w:t>En certains endroits, la pollution des eaux causée par les métaux toxiques et les composés chimiques (</w:t>
      </w:r>
      <w:r w:rsidRPr="00514D53">
        <w:rPr>
          <w:rFonts w:ascii="Arial" w:hAnsi="Arial" w:cs="Arial"/>
          <w:i/>
          <w:sz w:val="20"/>
          <w:szCs w:val="20"/>
          <w:lang w:val="fr-FR"/>
        </w:rPr>
        <w:t>DDT, lindane</w:t>
      </w:r>
      <w:r w:rsidRPr="00514D53">
        <w:rPr>
          <w:rFonts w:ascii="Arial" w:hAnsi="Arial" w:cs="Arial"/>
          <w:sz w:val="20"/>
          <w:szCs w:val="20"/>
          <w:lang w:val="fr-FR"/>
        </w:rPr>
        <w:t>) a été observée, (FIDA, 2012). La crise de 2012 a accentué l</w:t>
      </w:r>
      <w:r w:rsidRPr="00514D53">
        <w:rPr>
          <w:rFonts w:ascii="Arial" w:hAnsi="Arial" w:cs="Arial"/>
          <w:iCs/>
          <w:sz w:val="20"/>
          <w:szCs w:val="20"/>
          <w:lang w:val="fr-FR"/>
        </w:rPr>
        <w:t>a perméabilité des frontières, l’inefficacité des structures de contrôle et a favorisé la prolifération de marchés illicites de pesticides de tous genres (D6, Lambda, Ferdan, Fostoksain, Roundup 450 et la Rodenticide), dangereux et à effets rémanents. Depuis 2015, le Projet d’Elimination et de Prévention des Pesticides Obsolètes ou PEPPO-Mali (</w:t>
      </w:r>
      <w:r w:rsidR="00F26DE9" w:rsidRPr="00514D53">
        <w:rPr>
          <w:rFonts w:ascii="Arial" w:hAnsi="Arial" w:cs="Arial"/>
          <w:iCs/>
          <w:sz w:val="20"/>
          <w:szCs w:val="20"/>
          <w:lang w:val="fr-FR"/>
        </w:rPr>
        <w:t>§ 7</w:t>
      </w:r>
      <w:r w:rsidRPr="00514D53">
        <w:rPr>
          <w:rFonts w:ascii="Arial" w:hAnsi="Arial" w:cs="Arial"/>
          <w:iCs/>
          <w:sz w:val="20"/>
          <w:szCs w:val="20"/>
          <w:lang w:val="fr-FR"/>
        </w:rPr>
        <w:t>.4.</w:t>
      </w:r>
      <w:r w:rsidR="00F26DE9" w:rsidRPr="00514D53">
        <w:rPr>
          <w:rFonts w:ascii="Arial" w:hAnsi="Arial" w:cs="Arial"/>
          <w:iCs/>
          <w:sz w:val="20"/>
          <w:szCs w:val="20"/>
          <w:lang w:val="fr-FR"/>
        </w:rPr>
        <w:t>12</w:t>
      </w:r>
      <w:r w:rsidRPr="00514D53">
        <w:rPr>
          <w:rFonts w:ascii="Arial" w:hAnsi="Arial" w:cs="Arial"/>
          <w:iCs/>
          <w:sz w:val="20"/>
          <w:szCs w:val="20"/>
          <w:lang w:val="fr-FR"/>
        </w:rPr>
        <w:t xml:space="preserve">) débarrasse le pays des stocks de pesticides obsolètes (Aldrine, Chlordane, Dieldrine, DDT, Endrine, Heptachlore, Hexa chlorobenzène, Mirex, Toxaphène) et de déchets contaminés </w:t>
      </w:r>
      <w:r w:rsidRPr="008E7F14">
        <w:rPr>
          <w:rFonts w:ascii="Arial" w:hAnsi="Arial" w:cs="Arial"/>
          <w:iCs/>
          <w:sz w:val="20"/>
          <w:szCs w:val="20"/>
          <w:lang w:val="fr-FR"/>
        </w:rPr>
        <w:t>inventoriés (800</w:t>
      </w:r>
      <w:r w:rsidR="00D744BD" w:rsidRPr="008E7F14">
        <w:rPr>
          <w:rFonts w:ascii="Arial" w:hAnsi="Arial" w:cs="Arial"/>
          <w:iCs/>
          <w:sz w:val="20"/>
          <w:szCs w:val="20"/>
          <w:lang w:val="fr-FR"/>
        </w:rPr>
        <w:t xml:space="preserve"> tonnes réévalués en août 2018 </w:t>
      </w:r>
      <w:r w:rsidR="0060791B" w:rsidRPr="008E7F14">
        <w:rPr>
          <w:rFonts w:ascii="Arial" w:hAnsi="Arial" w:cs="Arial"/>
          <w:iCs/>
          <w:sz w:val="20"/>
          <w:szCs w:val="20"/>
          <w:lang w:val="fr-FR"/>
        </w:rPr>
        <w:t>à 1</w:t>
      </w:r>
      <w:r w:rsidR="0060791B" w:rsidRPr="00514D53">
        <w:rPr>
          <w:rFonts w:ascii="Arial" w:hAnsi="Arial" w:cs="Arial"/>
          <w:iCs/>
          <w:sz w:val="20"/>
          <w:szCs w:val="20"/>
          <w:lang w:val="fr-FR"/>
        </w:rPr>
        <w:t>000</w:t>
      </w:r>
      <w:r w:rsidRPr="00514D53">
        <w:rPr>
          <w:rFonts w:ascii="Arial" w:hAnsi="Arial" w:cs="Arial"/>
          <w:iCs/>
          <w:sz w:val="20"/>
          <w:szCs w:val="20"/>
          <w:lang w:val="fr-FR"/>
        </w:rPr>
        <w:t xml:space="preserve"> t dont 0,5 t récupérés au niveau de six plateformes Sanankoroba, Fana, Sikasso, Koutiala, Kayes et Kita).</w:t>
      </w:r>
    </w:p>
    <w:p w14:paraId="419D6639" w14:textId="77777777" w:rsidR="00802BA9" w:rsidRPr="00514D53" w:rsidRDefault="00802BA9" w:rsidP="00514D53">
      <w:pPr>
        <w:spacing w:before="120" w:after="120" w:line="240" w:lineRule="auto"/>
        <w:rPr>
          <w:rFonts w:ascii="Arial" w:hAnsi="Arial" w:cs="Arial"/>
          <w:sz w:val="20"/>
          <w:szCs w:val="20"/>
        </w:rPr>
      </w:pPr>
      <w:r w:rsidRPr="00514D53">
        <w:rPr>
          <w:rFonts w:ascii="Arial" w:eastAsia="Calibri" w:hAnsi="Arial" w:cs="Arial"/>
          <w:sz w:val="20"/>
          <w:szCs w:val="20"/>
          <w:lang w:val="fr-FR" w:eastAsia="fr-FR"/>
        </w:rPr>
        <w:t>L’</w:t>
      </w:r>
      <w:r w:rsidRPr="00514D53">
        <w:rPr>
          <w:rFonts w:ascii="Arial" w:eastAsia="Calibri" w:hAnsi="Arial" w:cs="Arial"/>
          <w:b/>
          <w:sz w:val="20"/>
          <w:szCs w:val="20"/>
          <w:lang w:val="fr-FR" w:eastAsia="fr-FR"/>
        </w:rPr>
        <w:t xml:space="preserve">élevage </w:t>
      </w:r>
      <w:r w:rsidRPr="00514D53">
        <w:rPr>
          <w:rFonts w:ascii="Arial" w:eastAsia="Calibri" w:hAnsi="Arial" w:cs="Arial"/>
          <w:sz w:val="20"/>
          <w:szCs w:val="20"/>
          <w:lang w:val="fr-FR" w:eastAsia="fr-FR"/>
        </w:rPr>
        <w:t xml:space="preserve">contribue à 15,2 % du PIB (INSTAT, 2015) </w:t>
      </w:r>
      <w:r w:rsidRPr="00514D53">
        <w:rPr>
          <w:rFonts w:ascii="Arial" w:hAnsi="Arial" w:cs="Arial"/>
          <w:sz w:val="20"/>
          <w:szCs w:val="20"/>
        </w:rPr>
        <w:t>derrière les produits de l’agriculture (16,2%) et devant l’or (7,2%). Fin 2017, le cheptel national, l’un des plus important de la sous-région, est estimé à 11. 415.900 bovins (région de Mopti 28 % du cheptel national), 17.400.000 ovins (région de Gao 20 % de l’effectif national), 24.023.000 caprins (région de Gao 19 %), 561.500 équins (essentiellement dans la région de Kayes), 1.099.900 asins (sur l’ensemble du territoire), 1.192.900 camelins (région de Kidal), 84.150 porcins (région de Koulikoro et Ségou) et 45.004.600 de volailles (région de Sikasso)</w:t>
      </w:r>
      <w:r w:rsidRPr="00514D53">
        <w:rPr>
          <w:rStyle w:val="Appelnotedebasdep"/>
          <w:rFonts w:ascii="Arial" w:hAnsi="Arial" w:cs="Arial"/>
          <w:sz w:val="20"/>
          <w:szCs w:val="20"/>
        </w:rPr>
        <w:footnoteReference w:id="15"/>
      </w:r>
      <w:r w:rsidRPr="00514D53">
        <w:rPr>
          <w:rFonts w:ascii="Arial" w:hAnsi="Arial" w:cs="Arial"/>
          <w:sz w:val="20"/>
          <w:szCs w:val="20"/>
        </w:rPr>
        <w:t xml:space="preserve">. Le système pastoral extensif est dominant et le pays accueille les troupeaux transhumants du Niger, du Burkina Faso et de la Mauritanie. Cet élevage traditionnel est extrêmement vulnérable aux aléas climatiques suite à i) </w:t>
      </w:r>
      <w:r w:rsidRPr="00514D53">
        <w:rPr>
          <w:rFonts w:ascii="Arial" w:hAnsi="Arial" w:cs="Arial"/>
          <w:sz w:val="20"/>
          <w:szCs w:val="20"/>
          <w:lang w:val="fr-FR"/>
        </w:rPr>
        <w:t>la grande fluctuation interannuelle du disponible fourrager</w:t>
      </w:r>
      <w:r w:rsidRPr="00514D53">
        <w:rPr>
          <w:rStyle w:val="Appelnotedebasdep"/>
          <w:rFonts w:ascii="Arial" w:hAnsi="Arial" w:cs="Arial"/>
          <w:sz w:val="20"/>
          <w:szCs w:val="20"/>
          <w:lang w:val="fr-FR"/>
        </w:rPr>
        <w:footnoteReference w:id="16"/>
      </w:r>
      <w:r w:rsidRPr="00514D53">
        <w:rPr>
          <w:rFonts w:ascii="Arial" w:hAnsi="Arial" w:cs="Arial"/>
          <w:sz w:val="20"/>
          <w:szCs w:val="20"/>
          <w:lang w:val="fr-FR"/>
        </w:rPr>
        <w:t xml:space="preserve">, ii) la compétition croissante entre l’élevage et l’agriculture pour l’utilisation des terres, iii) le mauvais maillage hydraulique induisant une sous-exploitation ou une surexploitation des ressources herbagères. Les impacts environnementaux les plus importants portent sur la destruction du tapis herbacé, la dégradation du sol et l’accélération de la désertification par le surpâturage, la destruction des ressources forestières par émondage des arbres lors des périodes de soudure, la production de GES avec l’émission de méthane (§ 2.2.1.1). S’y ajoutent les nombreux feux de brousse (§ 2.1.2) initiés par les éleveurs qui sont parfois sources de conflits avec les agriculteurs. </w:t>
      </w:r>
      <w:r w:rsidRPr="00514D53">
        <w:rPr>
          <w:rFonts w:ascii="Arial" w:hAnsi="Arial" w:cs="Arial"/>
          <w:sz w:val="20"/>
          <w:szCs w:val="20"/>
        </w:rPr>
        <w:t xml:space="preserve">Parallèlement, existent des </w:t>
      </w:r>
      <w:r w:rsidRPr="00514D53">
        <w:rPr>
          <w:rFonts w:ascii="Arial" w:hAnsi="Arial" w:cs="Arial"/>
          <w:sz w:val="20"/>
          <w:szCs w:val="20"/>
        </w:rPr>
        <w:lastRenderedPageBreak/>
        <w:t>systèmes agropastoraux et des systèmes semi-intensifs dans les zones périurbaines basés sur l’embouche (en plein essor) avec l’utilisation des sous-produits agro-industriels et des espèces fourragères. Cette évolution a permis l’installation d’une unité de</w:t>
      </w:r>
      <w:r w:rsidRPr="00514D53">
        <w:rPr>
          <w:rFonts w:ascii="Arial" w:hAnsi="Arial" w:cs="Arial"/>
          <w:color w:val="7030A0"/>
          <w:sz w:val="20"/>
          <w:szCs w:val="20"/>
        </w:rPr>
        <w:t xml:space="preserve"> </w:t>
      </w:r>
      <w:r w:rsidRPr="00514D53">
        <w:rPr>
          <w:rFonts w:ascii="Arial" w:hAnsi="Arial" w:cs="Arial"/>
          <w:sz w:val="20"/>
          <w:szCs w:val="20"/>
        </w:rPr>
        <w:t>transformation industrielle du lait et d’une trentaine de mini laiteries (DNPIA, 2017). La transformation des produits d’origine animale (lait, cuirs et peaux) à un impact environnemental (§ 2.2.7).</w:t>
      </w:r>
    </w:p>
    <w:p w14:paraId="4E676AC1" w14:textId="77777777" w:rsidR="00802BA9" w:rsidRDefault="00802BA9" w:rsidP="00514D53">
      <w:pPr>
        <w:spacing w:before="120" w:after="120" w:line="240" w:lineRule="auto"/>
        <w:rPr>
          <w:rFonts w:ascii="Arial" w:hAnsi="Arial" w:cs="Arial"/>
          <w:sz w:val="20"/>
          <w:szCs w:val="20"/>
          <w:lang w:val="fr-FR"/>
        </w:rPr>
      </w:pPr>
      <w:r w:rsidRPr="00514D53">
        <w:rPr>
          <w:rFonts w:ascii="Arial" w:hAnsi="Arial" w:cs="Arial"/>
          <w:sz w:val="20"/>
          <w:szCs w:val="20"/>
          <w:lang w:val="fr-FR"/>
        </w:rPr>
        <w:t>En conclusion, il convient de soutenir l’agriculture verte et durable préservant l’environnement en encourageant : i) l’intégration des systèmes de production avec remise en état des jachères, développement des cultures associées, mise en place de haies vives ii) la lutte antiérosive par le paillage et le mulching végétal, les bandes enherbées, iii) la restauration des terres dégradées et l’amélioration de la teneur en substances nutritives des sols par l’apport de compost, l’enfouissement de la fumure animale, l’apport d’engrais vert, le semis de légumineuses, iv) l’agriculture de conservation ou semis sur couverture végétale. Au niveau de l’élevage, il convient de soutenir toutes formes d’embouche, notamment, en utilisant les cultures fourragères</w:t>
      </w:r>
      <w:r w:rsidR="00B24E8E">
        <w:rPr>
          <w:rFonts w:ascii="Arial" w:hAnsi="Arial" w:cs="Arial"/>
          <w:sz w:val="20"/>
          <w:szCs w:val="20"/>
          <w:lang w:val="fr-FR"/>
        </w:rPr>
        <w:t xml:space="preserve">, </w:t>
      </w:r>
      <w:r w:rsidR="00B24E8E" w:rsidRPr="00603729">
        <w:rPr>
          <w:rFonts w:ascii="Arial" w:hAnsi="Arial" w:cs="Arial"/>
          <w:sz w:val="20"/>
          <w:szCs w:val="20"/>
          <w:lang w:val="fr-FR"/>
        </w:rPr>
        <w:t>voir en enrichissant les parcours</w:t>
      </w:r>
      <w:r w:rsidRPr="00767C25">
        <w:rPr>
          <w:rFonts w:ascii="Arial" w:hAnsi="Arial" w:cs="Arial"/>
          <w:sz w:val="20"/>
          <w:szCs w:val="20"/>
          <w:lang w:val="fr-FR"/>
        </w:rPr>
        <w:t>.</w:t>
      </w:r>
      <w:r w:rsidRPr="00514D53">
        <w:rPr>
          <w:rFonts w:ascii="Arial" w:hAnsi="Arial" w:cs="Arial"/>
          <w:sz w:val="20"/>
          <w:szCs w:val="20"/>
          <w:lang w:val="fr-FR"/>
        </w:rPr>
        <w:t xml:space="preserve"> De même, dans le cadre du développement de l’élevage et d’une utilisation optimale des parcours il apparait souhaitable de renforcer le maillage hydraulique.</w:t>
      </w:r>
    </w:p>
    <w:p w14:paraId="707743FA" w14:textId="77777777" w:rsidR="00500D2D" w:rsidRPr="00514D53" w:rsidRDefault="00500D2D" w:rsidP="00514D53">
      <w:pPr>
        <w:spacing w:before="120" w:after="120" w:line="240" w:lineRule="auto"/>
        <w:rPr>
          <w:rFonts w:ascii="Arial" w:hAnsi="Arial" w:cs="Arial"/>
          <w:color w:val="7030A0"/>
          <w:sz w:val="20"/>
          <w:szCs w:val="20"/>
          <w:lang w:val="fr-FR"/>
        </w:rPr>
      </w:pPr>
    </w:p>
    <w:p w14:paraId="2A77D42B" w14:textId="77777777" w:rsidR="00802BA9" w:rsidRPr="00514D53" w:rsidRDefault="00802BA9" w:rsidP="00525222">
      <w:pPr>
        <w:pStyle w:val="Titre3"/>
      </w:pPr>
      <w:bookmarkStart w:id="20" w:name="_Toc20505623"/>
      <w:r w:rsidRPr="00DA3E1A">
        <w:t>2.2.4 Exploitation forestière, chasse et pêche</w:t>
      </w:r>
      <w:bookmarkEnd w:id="20"/>
    </w:p>
    <w:p w14:paraId="52134352" w14:textId="77777777" w:rsidR="00802BA9" w:rsidRPr="00514D53" w:rsidRDefault="00802BA9" w:rsidP="00514D53">
      <w:pPr>
        <w:spacing w:before="120" w:after="120" w:line="240" w:lineRule="auto"/>
        <w:rPr>
          <w:rFonts w:ascii="Arial" w:eastAsia="Times New Roman" w:hAnsi="Arial" w:cs="Arial"/>
          <w:sz w:val="20"/>
          <w:szCs w:val="20"/>
          <w:lang w:val="fr-FR" w:eastAsia="fr-FR"/>
        </w:rPr>
      </w:pPr>
      <w:r w:rsidRPr="00514D53">
        <w:rPr>
          <w:rFonts w:ascii="Arial" w:eastAsia="Times New Roman" w:hAnsi="Arial" w:cs="Arial"/>
          <w:sz w:val="20"/>
          <w:szCs w:val="20"/>
          <w:lang w:val="fr-FR" w:eastAsia="fr-FR"/>
        </w:rPr>
        <w:t>L’</w:t>
      </w:r>
      <w:r w:rsidRPr="00514D53">
        <w:rPr>
          <w:rFonts w:ascii="Arial" w:eastAsia="Times New Roman" w:hAnsi="Arial" w:cs="Arial"/>
          <w:b/>
          <w:sz w:val="20"/>
          <w:szCs w:val="20"/>
          <w:lang w:val="fr-FR" w:eastAsia="fr-FR"/>
        </w:rPr>
        <w:t>exploitation forestière</w:t>
      </w:r>
      <w:r w:rsidRPr="00514D53">
        <w:rPr>
          <w:rFonts w:ascii="Arial" w:eastAsia="Times New Roman" w:hAnsi="Arial" w:cs="Arial"/>
          <w:sz w:val="20"/>
          <w:szCs w:val="20"/>
          <w:lang w:val="fr-FR" w:eastAsia="fr-FR"/>
        </w:rPr>
        <w:t xml:space="preserve"> concerne essentiellement la filière bois d’énergie/charbon du bois. La part du bois de service représente 10% du volume total de bois exploité. Les forêts sont utilisées secondairement pour l’exploitation des produits forestiers non – ligneux (PFNL) (§ 2.1.3.2) et le pâturage aérien. L’utilisation domestique du bois reste la plus grande cause d’exploitation des produits ligneux puisque 96% des ménages utilisent le bois ou le charbon de bois pour la cuisson de leurs repas (§ 3.2.6). Le commerce du bois énergie génère un chiffre d’affaires de plus de 20 milliards de FCFA par an. Le secteur forestier contribue fortement à la création d’un grand nombre d’emplois pour les agents publics, exploitants forestiers, bucherons, menuisiers, marchands de bois, négociants d’arts, transporteurs, artisans, guérisseurs, etc. Le secteur de l’énergie domestique fournit, à lui seul, près de 450.000 emplois permanents ou temporaires (IED, 2012). Pour satisfaire la demande croissante, un véritable secteur économique s’est constitué en professionnalisant les activités d’exploitation, de transport et du commerce du bois - énergie. Les agriculteurs sont devenus des bûcherons et l’exploitation du bois-énergie est désormais la deuxième activité des paysans après l’agriculture dans les zones d’approvisionnement des centres urbains, qui s’étendent dans un rayon de 200 km autour de Bamako et 150 km autour de Ségou (PNF, 2017).</w:t>
      </w:r>
    </w:p>
    <w:p w14:paraId="480A887D" w14:textId="77777777" w:rsidR="00802BA9" w:rsidRPr="008E7F14" w:rsidRDefault="00802BA9" w:rsidP="00514D53">
      <w:pPr>
        <w:spacing w:before="120" w:after="120" w:line="240" w:lineRule="auto"/>
        <w:rPr>
          <w:rFonts w:ascii="Arial" w:eastAsia="Calibri" w:hAnsi="Arial" w:cs="Arial"/>
          <w:sz w:val="20"/>
          <w:szCs w:val="20"/>
          <w:lang w:val="fr-FR" w:eastAsia="fr-FR"/>
        </w:rPr>
      </w:pPr>
      <w:r w:rsidRPr="00514D53">
        <w:rPr>
          <w:rFonts w:ascii="Arial" w:eastAsia="Calibri" w:hAnsi="Arial" w:cs="Arial"/>
          <w:sz w:val="20"/>
          <w:szCs w:val="20"/>
          <w:lang w:val="fr-FR" w:eastAsia="fr-FR"/>
        </w:rPr>
        <w:t>Uniquement pour satisfaire les besoins en bois énergie du District de Bamako, il faut déboiser l’équivalent d’environ 120.</w:t>
      </w:r>
      <w:r w:rsidRPr="008E7F14">
        <w:rPr>
          <w:rFonts w:ascii="Arial" w:eastAsia="Calibri" w:hAnsi="Arial" w:cs="Arial"/>
          <w:sz w:val="20"/>
          <w:szCs w:val="20"/>
          <w:lang w:val="fr-FR" w:eastAsia="fr-FR"/>
        </w:rPr>
        <w:t>000 ha</w:t>
      </w:r>
      <w:r w:rsidR="00FB35B6" w:rsidRPr="008E7F14">
        <w:rPr>
          <w:rFonts w:ascii="Arial" w:eastAsia="Calibri" w:hAnsi="Arial" w:cs="Arial"/>
          <w:sz w:val="20"/>
          <w:szCs w:val="20"/>
          <w:lang w:val="fr-FR" w:eastAsia="fr-FR"/>
        </w:rPr>
        <w:t xml:space="preserve"> d</w:t>
      </w:r>
      <w:r w:rsidR="00525960" w:rsidRPr="008E7F14">
        <w:rPr>
          <w:rFonts w:ascii="Arial" w:eastAsia="Calibri" w:hAnsi="Arial" w:cs="Arial"/>
          <w:sz w:val="20"/>
          <w:szCs w:val="20"/>
          <w:lang w:val="fr-FR" w:eastAsia="fr-FR"/>
        </w:rPr>
        <w:t>’une</w:t>
      </w:r>
      <w:r w:rsidR="00FB35B6" w:rsidRPr="008E7F14">
        <w:rPr>
          <w:rFonts w:ascii="Arial" w:eastAsia="Calibri" w:hAnsi="Arial" w:cs="Arial"/>
          <w:sz w:val="20"/>
          <w:szCs w:val="20"/>
          <w:lang w:val="fr-FR" w:eastAsia="fr-FR"/>
        </w:rPr>
        <w:t xml:space="preserve"> savane arborée</w:t>
      </w:r>
      <w:r w:rsidRPr="008E7F14">
        <w:rPr>
          <w:rFonts w:ascii="Arial" w:eastAsia="Calibri" w:hAnsi="Arial" w:cs="Arial"/>
          <w:sz w:val="20"/>
          <w:szCs w:val="20"/>
          <w:lang w:val="fr-FR" w:eastAsia="fr-FR"/>
        </w:rPr>
        <w:t xml:space="preserve">/an. L’exploitation </w:t>
      </w:r>
      <w:r w:rsidR="00525960" w:rsidRPr="008E7F14">
        <w:rPr>
          <w:rFonts w:ascii="Arial" w:eastAsia="Calibri" w:hAnsi="Arial" w:cs="Arial"/>
          <w:sz w:val="20"/>
          <w:szCs w:val="20"/>
          <w:lang w:val="fr-FR" w:eastAsia="fr-FR"/>
        </w:rPr>
        <w:t xml:space="preserve">uniquement </w:t>
      </w:r>
      <w:r w:rsidRPr="008E7F14">
        <w:rPr>
          <w:rFonts w:ascii="Arial" w:eastAsia="Calibri" w:hAnsi="Arial" w:cs="Arial"/>
          <w:sz w:val="20"/>
          <w:szCs w:val="20"/>
          <w:lang w:val="fr-FR" w:eastAsia="fr-FR"/>
        </w:rPr>
        <w:t xml:space="preserve">pour l’approvisionnement </w:t>
      </w:r>
      <w:r w:rsidR="00525960" w:rsidRPr="008E7F14">
        <w:rPr>
          <w:rFonts w:ascii="Arial" w:eastAsia="Calibri" w:hAnsi="Arial" w:cs="Arial"/>
          <w:sz w:val="20"/>
          <w:szCs w:val="20"/>
          <w:lang w:val="fr-FR" w:eastAsia="fr-FR"/>
        </w:rPr>
        <w:t xml:space="preserve">du District de Bamako, </w:t>
      </w:r>
      <w:r w:rsidRPr="008E7F14">
        <w:rPr>
          <w:rFonts w:ascii="Arial" w:eastAsia="Calibri" w:hAnsi="Arial" w:cs="Arial"/>
          <w:sz w:val="20"/>
          <w:szCs w:val="20"/>
          <w:lang w:val="fr-FR" w:eastAsia="fr-FR"/>
        </w:rPr>
        <w:t>en 2015 a été évaluée à 884.491 tonnes éq de bois-énergi</w:t>
      </w:r>
      <w:r w:rsidR="00B5532C" w:rsidRPr="008E7F14">
        <w:rPr>
          <w:rFonts w:ascii="Arial" w:eastAsia="Calibri" w:hAnsi="Arial" w:cs="Arial"/>
          <w:sz w:val="20"/>
          <w:szCs w:val="20"/>
          <w:lang w:val="fr-FR" w:eastAsia="fr-FR"/>
        </w:rPr>
        <w:t>e contre 594.000 tonnes en 1998</w:t>
      </w:r>
      <w:r w:rsidRPr="008E7F14">
        <w:rPr>
          <w:rFonts w:ascii="Arial" w:eastAsia="Calibri" w:hAnsi="Arial" w:cs="Arial"/>
          <w:sz w:val="20"/>
          <w:szCs w:val="20"/>
          <w:lang w:val="fr-FR" w:eastAsia="fr-FR"/>
        </w:rPr>
        <w:t xml:space="preserve"> (FONABES, 2017). La consommation de Bamako peut être </w:t>
      </w:r>
      <w:r w:rsidR="00EB6E28" w:rsidRPr="008E7F14">
        <w:rPr>
          <w:rFonts w:ascii="Arial" w:eastAsia="Calibri" w:hAnsi="Arial" w:cs="Arial"/>
          <w:sz w:val="20"/>
          <w:szCs w:val="20"/>
          <w:lang w:val="fr-FR" w:eastAsia="fr-FR"/>
        </w:rPr>
        <w:t>distinguée</w:t>
      </w:r>
      <w:r w:rsidRPr="008E7F14">
        <w:rPr>
          <w:rFonts w:ascii="Arial" w:eastAsia="Calibri" w:hAnsi="Arial" w:cs="Arial"/>
          <w:sz w:val="20"/>
          <w:szCs w:val="20"/>
          <w:lang w:val="fr-FR" w:eastAsia="fr-FR"/>
        </w:rPr>
        <w:t xml:space="preserve"> en 2015 à environ 124.000 tonnes de bois et 108.000 tonnes de charbon</w:t>
      </w:r>
      <w:r w:rsidR="00EB6E28" w:rsidRPr="008E7F14">
        <w:rPr>
          <w:rFonts w:ascii="Arial" w:eastAsia="Calibri" w:hAnsi="Arial" w:cs="Arial"/>
          <w:sz w:val="20"/>
          <w:szCs w:val="20"/>
          <w:vertAlign w:val="superscript"/>
          <w:lang w:val="fr-FR" w:eastAsia="fr-FR"/>
        </w:rPr>
        <w:footnoteReference w:id="17"/>
      </w:r>
      <w:r w:rsidRPr="008E7F14">
        <w:rPr>
          <w:rFonts w:ascii="Arial" w:eastAsia="Calibri" w:hAnsi="Arial" w:cs="Arial"/>
          <w:sz w:val="20"/>
          <w:szCs w:val="20"/>
          <w:lang w:val="fr-FR" w:eastAsia="fr-FR"/>
        </w:rPr>
        <w:t xml:space="preserve"> </w:t>
      </w:r>
      <w:r w:rsidR="0073571F" w:rsidRPr="008E7F14">
        <w:rPr>
          <w:rFonts w:ascii="Arial" w:eastAsia="Calibri" w:hAnsi="Arial" w:cs="Arial"/>
          <w:sz w:val="20"/>
          <w:szCs w:val="20"/>
          <w:lang w:val="fr-FR" w:eastAsia="fr-FR"/>
        </w:rPr>
        <w:t>.</w:t>
      </w:r>
      <w:r w:rsidRPr="008E7F14">
        <w:rPr>
          <w:rFonts w:ascii="Arial" w:eastAsia="Calibri" w:hAnsi="Arial" w:cs="Arial"/>
          <w:sz w:val="20"/>
          <w:szCs w:val="20"/>
          <w:lang w:val="fr-FR" w:eastAsia="fr-FR"/>
        </w:rPr>
        <w:t xml:space="preserve"> De 2006 à 2015, la consommation de bois de feu/an à Bamako a été divisée par 2,5 mais celle du charbon de bois/an a été multipliée par 1,8. Ceci indique une transition énergétique du bois de feu vers le charbon de bois, filière moins efficiente du point énergétique, pour l’énergie domestique à Bamako. En plus du secteur résidentiel, les PME utilisent toujours le bois de feu, même en milieu urbain. La consommation des boulangeries, notamment, est très significative avec environ 227 tonnes/an pour une boulangerie moyenne, soit un demi-camion par semaine. Un prix du bois à 24 FCFA/kg à Bamako (vente en gros) rend le bois très compétitif par rapport aux énergies plus propres (four à gaz ou électricité) pour les P</w:t>
      </w:r>
      <w:r w:rsidRPr="00650720">
        <w:rPr>
          <w:rFonts w:ascii="Arial" w:eastAsia="Calibri" w:hAnsi="Arial" w:cs="Arial"/>
          <w:sz w:val="20"/>
          <w:szCs w:val="20"/>
          <w:lang w:val="fr-FR" w:eastAsia="fr-FR"/>
        </w:rPr>
        <w:t>ME (F</w:t>
      </w:r>
      <w:r w:rsidR="00CF5281" w:rsidRPr="00650720">
        <w:rPr>
          <w:rFonts w:ascii="Arial" w:eastAsia="Calibri" w:hAnsi="Arial" w:cs="Arial"/>
          <w:sz w:val="20"/>
          <w:szCs w:val="20"/>
          <w:lang w:val="fr-FR" w:eastAsia="fr-FR"/>
        </w:rPr>
        <w:t>ONABES</w:t>
      </w:r>
      <w:r w:rsidRPr="00650720">
        <w:rPr>
          <w:rFonts w:ascii="Arial" w:eastAsia="Calibri" w:hAnsi="Arial" w:cs="Arial"/>
          <w:sz w:val="20"/>
          <w:szCs w:val="20"/>
          <w:lang w:val="fr-FR" w:eastAsia="fr-FR"/>
        </w:rPr>
        <w:t>, 2017) et ne favorise pas, même dans les grandes villes, une transition vers les énergies plus modernes et moins polluantes. Une étude de la Banque Mondiale (2007), estime que la demande globale du pays de bois de chauffe évaluée à 9,129 millions de tonnes en 2002, atteindra 19,871 millions de tonnes en 2022, soit l’équivalent d’environ 13,255 millions d’hectares de forêt disparus.</w:t>
      </w:r>
      <w:r w:rsidR="00CF5281" w:rsidRPr="00650720">
        <w:rPr>
          <w:rFonts w:ascii="Arial" w:eastAsia="Calibri" w:hAnsi="Arial" w:cs="Arial"/>
          <w:sz w:val="20"/>
          <w:szCs w:val="20"/>
          <w:lang w:val="fr-FR" w:eastAsia="fr-FR"/>
        </w:rPr>
        <w:t xml:space="preserve"> A ceci, s’ajoute une exportation illégale</w:t>
      </w:r>
      <w:r w:rsidR="00CF5281" w:rsidRPr="00650720">
        <w:rPr>
          <w:rStyle w:val="Appelnotedebasdep"/>
          <w:rFonts w:ascii="Arial" w:eastAsia="Calibri" w:hAnsi="Arial" w:cs="Arial"/>
          <w:sz w:val="20"/>
          <w:szCs w:val="20"/>
          <w:lang w:val="fr-FR" w:eastAsia="fr-FR"/>
        </w:rPr>
        <w:footnoteReference w:id="18"/>
      </w:r>
      <w:r w:rsidR="00CF5281" w:rsidRPr="00650720">
        <w:rPr>
          <w:rFonts w:ascii="Arial" w:eastAsia="Calibri" w:hAnsi="Arial" w:cs="Arial"/>
          <w:sz w:val="20"/>
          <w:szCs w:val="20"/>
          <w:lang w:val="fr-FR" w:eastAsia="fr-FR"/>
        </w:rPr>
        <w:t xml:space="preserve"> de bois vers l’Algérie et la Mauritanie.</w:t>
      </w:r>
    </w:p>
    <w:p w14:paraId="57230C3C" w14:textId="77777777" w:rsidR="00802BA9" w:rsidRPr="00514D53" w:rsidRDefault="00802BA9" w:rsidP="00514D53">
      <w:pPr>
        <w:spacing w:before="120" w:after="120" w:line="240" w:lineRule="auto"/>
        <w:rPr>
          <w:rFonts w:ascii="Arial" w:eastAsia="Times New Roman" w:hAnsi="Arial" w:cs="Arial"/>
          <w:sz w:val="20"/>
          <w:szCs w:val="20"/>
          <w:lang w:val="fr-FR" w:eastAsia="fr-FR"/>
        </w:rPr>
      </w:pPr>
      <w:r w:rsidRPr="008E7F14">
        <w:rPr>
          <w:rFonts w:ascii="Arial" w:eastAsia="Times New Roman" w:hAnsi="Arial" w:cs="Arial"/>
          <w:b/>
          <w:sz w:val="20"/>
          <w:szCs w:val="20"/>
          <w:lang w:val="fr-FR" w:eastAsia="fr-FR"/>
        </w:rPr>
        <w:t xml:space="preserve">Le secteur de l’énergie est le moteur de la déforestation et de la destruction des formations forestières naturelles. </w:t>
      </w:r>
      <w:r w:rsidRPr="008E7F14">
        <w:rPr>
          <w:rFonts w:ascii="Arial" w:eastAsia="Times New Roman" w:hAnsi="Arial" w:cs="Arial"/>
          <w:sz w:val="20"/>
          <w:szCs w:val="20"/>
          <w:lang w:val="fr-FR" w:eastAsia="fr-FR"/>
        </w:rPr>
        <w:t xml:space="preserve">La consommation de bois de la population varie entre 330 kg/personne/an en milieu rural et 459 kg/personne/an en milieu urbain avec une consommation </w:t>
      </w:r>
      <w:r w:rsidR="00F74946" w:rsidRPr="008E7F14">
        <w:rPr>
          <w:rFonts w:ascii="Arial" w:eastAsia="Times New Roman" w:hAnsi="Arial" w:cs="Arial"/>
          <w:sz w:val="20"/>
          <w:szCs w:val="20"/>
          <w:lang w:val="fr-FR" w:eastAsia="fr-FR"/>
        </w:rPr>
        <w:t>à forte croissance</w:t>
      </w:r>
      <w:r w:rsidRPr="008E7F14">
        <w:rPr>
          <w:rFonts w:ascii="Arial" w:eastAsia="Times New Roman" w:hAnsi="Arial" w:cs="Arial"/>
          <w:sz w:val="20"/>
          <w:szCs w:val="20"/>
          <w:lang w:val="fr-FR" w:eastAsia="fr-FR"/>
        </w:rPr>
        <w:t xml:space="preserve"> qui contraste avec une </w:t>
      </w:r>
      <w:r w:rsidR="0060791B" w:rsidRPr="008E7F14">
        <w:rPr>
          <w:rFonts w:ascii="Arial" w:eastAsia="Times New Roman" w:hAnsi="Arial" w:cs="Arial"/>
          <w:sz w:val="20"/>
          <w:szCs w:val="20"/>
          <w:lang w:val="fr-FR" w:eastAsia="fr-FR"/>
        </w:rPr>
        <w:t>productivité en</w:t>
      </w:r>
      <w:r w:rsidRPr="008E7F14">
        <w:rPr>
          <w:rFonts w:ascii="Arial" w:eastAsia="Times New Roman" w:hAnsi="Arial" w:cs="Arial"/>
          <w:sz w:val="20"/>
          <w:szCs w:val="20"/>
          <w:lang w:val="fr-FR" w:eastAsia="fr-FR"/>
        </w:rPr>
        <w:t xml:space="preserve"> régression suite aux dégradations profondes des formations naturelles</w:t>
      </w:r>
      <w:r w:rsidR="007F4C74" w:rsidRPr="008E7F14">
        <w:rPr>
          <w:rFonts w:ascii="Arial" w:eastAsia="Times New Roman" w:hAnsi="Arial" w:cs="Arial"/>
          <w:sz w:val="20"/>
          <w:szCs w:val="20"/>
          <w:lang w:val="fr-FR" w:eastAsia="fr-FR"/>
        </w:rPr>
        <w:t xml:space="preserve"> (§ 2.1.2.1)</w:t>
      </w:r>
      <w:r w:rsidRPr="008E7F14">
        <w:rPr>
          <w:rFonts w:ascii="Arial" w:eastAsia="Times New Roman" w:hAnsi="Arial" w:cs="Arial"/>
          <w:sz w:val="20"/>
          <w:szCs w:val="20"/>
          <w:lang w:val="fr-FR" w:eastAsia="fr-FR"/>
        </w:rPr>
        <w:t xml:space="preserve">. </w:t>
      </w:r>
      <w:r w:rsidRPr="00514D53">
        <w:rPr>
          <w:rFonts w:ascii="Arial" w:eastAsia="Times New Roman" w:hAnsi="Arial" w:cs="Arial"/>
          <w:sz w:val="20"/>
          <w:szCs w:val="20"/>
          <w:lang w:val="fr-FR" w:eastAsia="fr-FR"/>
        </w:rPr>
        <w:t xml:space="preserve">Par ailleurs, seuls 70% de la production annuelle sont accessibles à la consommation. (AEDD, 2009). Selon les estimations, les prélèvements annuels </w:t>
      </w:r>
      <w:r w:rsidR="00F70D20">
        <w:rPr>
          <w:rFonts w:ascii="Arial" w:eastAsia="Times New Roman" w:hAnsi="Arial" w:cs="Arial"/>
          <w:sz w:val="20"/>
          <w:szCs w:val="20"/>
          <w:lang w:val="fr-FR" w:eastAsia="fr-FR"/>
        </w:rPr>
        <w:t xml:space="preserve">pour l’énergie  - bois </w:t>
      </w:r>
      <w:r w:rsidRPr="00514D53">
        <w:rPr>
          <w:rFonts w:ascii="Arial" w:eastAsia="Times New Roman" w:hAnsi="Arial" w:cs="Arial"/>
          <w:sz w:val="20"/>
          <w:szCs w:val="20"/>
          <w:lang w:val="fr-FR" w:eastAsia="fr-FR"/>
        </w:rPr>
        <w:t>correspondent à un déboisement qui dépasse les 500.000 ha/an</w:t>
      </w:r>
      <w:r w:rsidR="00791877">
        <w:rPr>
          <w:rStyle w:val="Appelnotedebasdep"/>
          <w:rFonts w:ascii="Arial" w:eastAsia="Times New Roman" w:hAnsi="Arial" w:cs="Arial"/>
          <w:sz w:val="20"/>
          <w:szCs w:val="20"/>
          <w:lang w:val="fr-FR" w:eastAsia="fr-FR"/>
        </w:rPr>
        <w:footnoteReference w:id="19"/>
      </w:r>
      <w:r w:rsidRPr="00514D53">
        <w:rPr>
          <w:rFonts w:ascii="Arial" w:eastAsia="Times New Roman" w:hAnsi="Arial" w:cs="Arial"/>
          <w:sz w:val="20"/>
          <w:szCs w:val="20"/>
          <w:lang w:val="fr-FR" w:eastAsia="fr-FR"/>
        </w:rPr>
        <w:t>. Moins de 10 % de ce bois exploité provient des plantations et est contrôlé par les services forestiers (PNF, 2017).</w:t>
      </w:r>
      <w:r w:rsidRPr="00514D53">
        <w:rPr>
          <w:rFonts w:ascii="Arial" w:eastAsiaTheme="minorHAnsi" w:hAnsi="Arial" w:cs="Arial"/>
          <w:sz w:val="20"/>
          <w:szCs w:val="20"/>
          <w:lang w:val="fr-FR"/>
        </w:rPr>
        <w:t xml:space="preserve"> </w:t>
      </w:r>
      <w:r w:rsidRPr="00514D53">
        <w:rPr>
          <w:rFonts w:ascii="Arial" w:eastAsia="Times New Roman" w:hAnsi="Arial" w:cs="Arial"/>
          <w:sz w:val="20"/>
          <w:szCs w:val="20"/>
          <w:lang w:val="fr-FR" w:eastAsia="fr-FR"/>
        </w:rPr>
        <w:t xml:space="preserve">Uniquement 25 des 107 forêts classées sont dotées d’un plan d’aménagement, dont 5 </w:t>
      </w:r>
      <w:r w:rsidRPr="00514D53">
        <w:rPr>
          <w:rFonts w:ascii="Arial" w:eastAsia="Times New Roman" w:hAnsi="Arial" w:cs="Arial"/>
          <w:sz w:val="20"/>
          <w:szCs w:val="20"/>
          <w:lang w:val="fr-FR" w:eastAsia="fr-FR"/>
        </w:rPr>
        <w:lastRenderedPageBreak/>
        <w:t xml:space="preserve">à actualiser (DNEF, 2018). Le bilan de l’offre et de la demande de bois énergie apparait de plus en plus négatif. </w:t>
      </w:r>
    </w:p>
    <w:p w14:paraId="7699380E" w14:textId="77777777" w:rsidR="00802BA9" w:rsidRPr="00514D53" w:rsidRDefault="00802BA9" w:rsidP="00514D53">
      <w:pPr>
        <w:spacing w:before="120" w:after="120" w:line="240" w:lineRule="auto"/>
        <w:rPr>
          <w:rFonts w:ascii="Arial" w:eastAsia="Calibri" w:hAnsi="Arial" w:cs="Arial"/>
          <w:sz w:val="20"/>
          <w:szCs w:val="20"/>
          <w:lang w:val="fr-FR" w:eastAsia="fr-FR"/>
        </w:rPr>
      </w:pPr>
      <w:r w:rsidRPr="00514D53">
        <w:rPr>
          <w:rFonts w:ascii="Arial" w:eastAsia="Times New Roman" w:hAnsi="Arial" w:cs="Arial"/>
          <w:sz w:val="20"/>
          <w:szCs w:val="20"/>
          <w:lang w:val="fr-FR" w:eastAsia="fr-FR"/>
        </w:rPr>
        <w:t>Le Mali a élaboré en 1996 la Stratégie Energie Domestique et des Schémas Directeurs d’Approvisionnement (SDA) durables en bois énergie des principales villes du Mali. Environ 250 marchés ruraux ont été créés entre 1998 et 2002. Puis, l’AMADER a envisagé 1.000 marchés ruraux, dont une centaine de marchés s’appuyant sur des forêts associées aménagées avec un plan de gestion. En 2017, sur 305 massifs villageois, 253 disposent d’un Plan d’Aménagement et de Gestion (PAG), dont 18 à actualiser (DNEF, 2018). Ces SDA n’ont malheureusement pas été rendus opérationnels et au niveau des marchés ruraux, les problèmes sont nombreux : (i) L’exploitation selon le plan d’aménagement est peu rentable pour les bûcherons légaux. (ii) Le contrôle de l’exploitation selon le plan d’aménagement n’est pas assuré par l’administration forestière ou par les autorités coutumières et (iii) peu de collectivités territoriales s’impliquent dans la gestion des forêts. Selon les bilans des SDA, la totalité des</w:t>
      </w:r>
      <w:r w:rsidRPr="00514D53">
        <w:rPr>
          <w:rFonts w:ascii="Arial" w:eastAsiaTheme="minorHAnsi" w:hAnsi="Arial" w:cs="Arial"/>
          <w:sz w:val="20"/>
          <w:szCs w:val="20"/>
          <w:lang w:val="fr-FR"/>
        </w:rPr>
        <w:t xml:space="preserve"> </w:t>
      </w:r>
      <w:r w:rsidRPr="00514D53">
        <w:rPr>
          <w:rFonts w:ascii="Arial" w:eastAsia="Times New Roman" w:hAnsi="Arial" w:cs="Arial"/>
          <w:sz w:val="20"/>
          <w:szCs w:val="20"/>
          <w:lang w:val="fr-FR" w:eastAsia="fr-FR"/>
        </w:rPr>
        <w:t>11 bassins d’approvisionnement en bois des villes ont un bilan négatif à l’exception de celui de Bafoulabé, encore positif jusqu’en 2025 (FONABES, 2017).</w:t>
      </w:r>
      <w:r w:rsidRPr="00514D53">
        <w:rPr>
          <w:rFonts w:ascii="Arial" w:eastAsiaTheme="minorHAnsi" w:hAnsi="Arial" w:cs="Arial"/>
          <w:sz w:val="20"/>
          <w:szCs w:val="20"/>
          <w:lang w:val="fr-FR"/>
        </w:rPr>
        <w:t xml:space="preserve"> </w:t>
      </w:r>
      <w:r w:rsidRPr="00514D53">
        <w:rPr>
          <w:rFonts w:ascii="Arial" w:eastAsia="Times New Roman" w:hAnsi="Arial" w:cs="Arial"/>
          <w:sz w:val="20"/>
          <w:szCs w:val="20"/>
          <w:lang w:val="fr-FR" w:eastAsia="fr-FR"/>
        </w:rPr>
        <w:t>Dans les conditions actuelles, les charges restent trop lourdes et rendent la filière bois-énergie durable très peu rentable pour les opérateurs légaux et encore moins compétitive vis-à-vis des charbonniers informels et anarchiques, rarement sanctionnés. Finalement, les marchés ruraux mal gérés ont accéléré l’exploitation anarchique des forêts</w:t>
      </w:r>
      <w:r w:rsidRPr="00514D53">
        <w:rPr>
          <w:rFonts w:ascii="Arial" w:hAnsi="Arial" w:cs="Arial"/>
          <w:sz w:val="20"/>
          <w:szCs w:val="20"/>
          <w:lang w:val="fr-FR"/>
        </w:rPr>
        <w:t xml:space="preserve">. </w:t>
      </w:r>
      <w:r w:rsidRPr="00514D53">
        <w:rPr>
          <w:rFonts w:ascii="Arial" w:eastAsia="Times New Roman" w:hAnsi="Arial" w:cs="Arial"/>
          <w:sz w:val="20"/>
          <w:szCs w:val="20"/>
          <w:lang w:val="fr-FR" w:eastAsia="fr-FR"/>
        </w:rPr>
        <w:t xml:space="preserve">En 2015, aucun marché rural ne fonctionnait conformément à la loi de création des marchés ruraux. </w:t>
      </w:r>
      <w:r w:rsidRPr="00514D53">
        <w:rPr>
          <w:rFonts w:ascii="Arial" w:eastAsia="Calibri" w:hAnsi="Arial" w:cs="Arial"/>
          <w:sz w:val="20"/>
          <w:szCs w:val="20"/>
          <w:lang w:val="fr-FR" w:eastAsia="fr-FR"/>
        </w:rPr>
        <w:t>La superficie reboisée annuellement est passée d’environ 10.000 ha/an en moyenne pour les années 2007 à 2009 (UE, 2018) à environ 32.500 ha/an en 2017 (DNEF, 2018) et reste largement en dessous des prévisions de 100.000 ha/an du CREDD, malgré des avancées. Il s’ajoute un</w:t>
      </w:r>
      <w:r w:rsidRPr="00514D53">
        <w:rPr>
          <w:rFonts w:ascii="Arial" w:eastAsiaTheme="minorHAnsi" w:hAnsi="Arial" w:cs="Arial"/>
          <w:sz w:val="20"/>
          <w:szCs w:val="20"/>
          <w:lang w:val="fr-FR"/>
        </w:rPr>
        <w:t xml:space="preserve"> </w:t>
      </w:r>
      <w:r w:rsidRPr="00514D53">
        <w:rPr>
          <w:rFonts w:ascii="Arial" w:eastAsia="Calibri" w:hAnsi="Arial" w:cs="Arial"/>
          <w:sz w:val="20"/>
          <w:szCs w:val="20"/>
          <w:lang w:val="fr-FR" w:eastAsia="fr-FR"/>
        </w:rPr>
        <w:t>faible taux de réussite (IED, 2012) lié principalement à un manque de suivi et donc de regarnissage des surfaces boisées. Malgré la réactivation de 27 marchés ruraux en bois ces dernières années et l’élaboration des nouveaux SDA dans le cadre d’un projet régional (FONABES</w:t>
      </w:r>
      <w:r w:rsidR="00B5532C" w:rsidRPr="00514D53">
        <w:rPr>
          <w:rFonts w:ascii="Arial" w:eastAsia="Calibri" w:hAnsi="Arial" w:cs="Arial"/>
          <w:sz w:val="20"/>
          <w:szCs w:val="20"/>
          <w:lang w:val="fr-FR" w:eastAsia="fr-FR"/>
        </w:rPr>
        <w:t>, 2017</w:t>
      </w:r>
      <w:r w:rsidRPr="00514D53">
        <w:rPr>
          <w:rFonts w:ascii="Arial" w:eastAsia="Calibri" w:hAnsi="Arial" w:cs="Arial"/>
          <w:sz w:val="20"/>
          <w:szCs w:val="20"/>
          <w:lang w:val="fr-FR" w:eastAsia="fr-FR"/>
        </w:rPr>
        <w:t xml:space="preserve">), le reboisement représente moins de 10% de la superficie forestière annuellement convertie à d’autres usages ; tendance en régression (2016 : 7%, SISE 2017). </w:t>
      </w:r>
    </w:p>
    <w:p w14:paraId="6F085E41" w14:textId="77777777" w:rsidR="00802BA9" w:rsidRPr="00514D53" w:rsidRDefault="00802BA9" w:rsidP="00514D53">
      <w:pPr>
        <w:spacing w:before="120" w:after="120" w:line="240" w:lineRule="auto"/>
        <w:rPr>
          <w:rFonts w:ascii="Arial" w:eastAsia="Times New Roman" w:hAnsi="Arial" w:cs="Arial"/>
          <w:sz w:val="20"/>
          <w:szCs w:val="20"/>
          <w:lang w:val="fr-FR" w:eastAsia="fr-FR"/>
        </w:rPr>
      </w:pPr>
      <w:r w:rsidRPr="00514D53">
        <w:rPr>
          <w:rFonts w:ascii="Arial" w:eastAsia="Calibri" w:hAnsi="Arial" w:cs="Arial"/>
          <w:sz w:val="20"/>
          <w:szCs w:val="20"/>
          <w:lang w:val="fr-FR" w:eastAsia="fr-FR"/>
        </w:rPr>
        <w:t>Les statistiques concernant l’exploitation légale des ressources forestières sous contrôle des E&amp;F montrent (à l’exception du charbon du bois) une tendance régressive significative depuis 2014 pour le bois de chauffe (de 498.438 en 2014 à 328.731 stères en 2016), le bois d’œuvre (de 213.916 en 2014 à 45.870 pieds en 2016) et le bois de service (de 2.303.123 en 2014 à 270.823 pièces en 2016) (CPS, 2017). Aucune recette sur l’exploitation du bois par les E</w:t>
      </w:r>
      <w:r w:rsidR="00B5532C" w:rsidRPr="00514D53">
        <w:rPr>
          <w:rFonts w:ascii="Arial" w:eastAsia="Calibri" w:hAnsi="Arial" w:cs="Arial"/>
          <w:sz w:val="20"/>
          <w:szCs w:val="20"/>
          <w:lang w:val="fr-FR" w:eastAsia="fr-FR"/>
        </w:rPr>
        <w:t>&amp;</w:t>
      </w:r>
      <w:r w:rsidRPr="00514D53">
        <w:rPr>
          <w:rFonts w:ascii="Arial" w:eastAsia="Calibri" w:hAnsi="Arial" w:cs="Arial"/>
          <w:sz w:val="20"/>
          <w:szCs w:val="20"/>
          <w:lang w:val="fr-FR" w:eastAsia="fr-FR"/>
        </w:rPr>
        <w:t xml:space="preserve">F </w:t>
      </w:r>
      <w:r w:rsidR="007F4C74" w:rsidRPr="00514D53">
        <w:rPr>
          <w:rFonts w:ascii="Arial" w:eastAsia="Calibri" w:hAnsi="Arial" w:cs="Arial"/>
          <w:sz w:val="20"/>
          <w:szCs w:val="20"/>
          <w:lang w:val="fr-FR" w:eastAsia="fr-FR"/>
        </w:rPr>
        <w:t>n’</w:t>
      </w:r>
      <w:r w:rsidRPr="00514D53">
        <w:rPr>
          <w:rFonts w:ascii="Arial" w:eastAsia="Calibri" w:hAnsi="Arial" w:cs="Arial"/>
          <w:sz w:val="20"/>
          <w:szCs w:val="20"/>
          <w:lang w:val="fr-FR" w:eastAsia="fr-FR"/>
        </w:rPr>
        <w:t>atteint en 2</w:t>
      </w:r>
      <w:r w:rsidRPr="001445C5">
        <w:rPr>
          <w:rFonts w:ascii="Arial" w:eastAsia="Calibri" w:hAnsi="Arial" w:cs="Arial"/>
          <w:sz w:val="20"/>
          <w:szCs w:val="20"/>
          <w:lang w:val="fr-FR" w:eastAsia="fr-FR"/>
        </w:rPr>
        <w:t xml:space="preserve">017 le niveau de 2015 (DNEF, 2018), alors la demande ne cesse de s’accroître. Ceci indique une hausse considérable de l’exploitation illégale du bois, confirmée par la prédominance significative des exploitations et transports frauduleux et des mutilations du bois dans les infractions constatées malgré des contrôles largement insuffisants. </w:t>
      </w:r>
      <w:r w:rsidR="008C3454" w:rsidRPr="001445C5">
        <w:rPr>
          <w:rFonts w:ascii="Arial" w:eastAsia="Calibri" w:hAnsi="Arial" w:cs="Arial"/>
          <w:sz w:val="20"/>
          <w:szCs w:val="20"/>
          <w:lang w:val="fr-FR" w:eastAsia="fr-FR"/>
        </w:rPr>
        <w:t xml:space="preserve">L’export illégal du bois –énergie vers le Nord d’Algérie et la Mauritanie </w:t>
      </w:r>
      <w:r w:rsidR="005F7336" w:rsidRPr="001445C5">
        <w:rPr>
          <w:rFonts w:ascii="Arial" w:eastAsia="Calibri" w:hAnsi="Arial" w:cs="Arial"/>
          <w:sz w:val="20"/>
          <w:szCs w:val="20"/>
          <w:lang w:val="fr-FR" w:eastAsia="fr-FR"/>
        </w:rPr>
        <w:t>et les normes de taxation erronées à cause des sacs de charbon trop grands, pas uniformes, font partie de l’exploitation frauduleuse</w:t>
      </w:r>
      <w:r w:rsidR="008C3454" w:rsidRPr="001445C5">
        <w:rPr>
          <w:rFonts w:ascii="Arial" w:eastAsia="Calibri" w:hAnsi="Arial" w:cs="Arial"/>
          <w:sz w:val="20"/>
          <w:szCs w:val="20"/>
          <w:lang w:val="fr-FR" w:eastAsia="fr-FR"/>
        </w:rPr>
        <w:t xml:space="preserve">. </w:t>
      </w:r>
      <w:r w:rsidRPr="001445C5">
        <w:rPr>
          <w:rFonts w:ascii="Arial" w:eastAsia="Calibri" w:hAnsi="Arial" w:cs="Arial"/>
          <w:sz w:val="20"/>
          <w:szCs w:val="20"/>
          <w:lang w:val="fr-FR" w:eastAsia="fr-FR"/>
        </w:rPr>
        <w:t>Un phénomène particulier très récent depuis environ 2015 concerne les filières illégales d’exportation du bois d’œuvre</w:t>
      </w:r>
      <w:r w:rsidRPr="00514D53">
        <w:rPr>
          <w:rFonts w:ascii="Arial" w:eastAsia="Calibri" w:hAnsi="Arial" w:cs="Arial"/>
          <w:sz w:val="20"/>
          <w:szCs w:val="20"/>
          <w:lang w:val="fr-FR" w:eastAsia="fr-FR"/>
        </w:rPr>
        <w:t xml:space="preserve">, particulièrement du bois du </w:t>
      </w:r>
      <w:r w:rsidR="00992B0F" w:rsidRPr="00514D53">
        <w:rPr>
          <w:rFonts w:ascii="Arial" w:eastAsia="Calibri" w:hAnsi="Arial" w:cs="Arial"/>
          <w:sz w:val="20"/>
          <w:szCs w:val="20"/>
          <w:lang w:val="fr-FR" w:eastAsia="fr-FR"/>
        </w:rPr>
        <w:t>vène</w:t>
      </w:r>
      <w:r w:rsidRPr="00514D53">
        <w:rPr>
          <w:rFonts w:ascii="Arial" w:eastAsia="Calibri" w:hAnsi="Arial" w:cs="Arial"/>
          <w:sz w:val="20"/>
          <w:szCs w:val="20"/>
          <w:lang w:val="fr-FR" w:eastAsia="fr-FR"/>
        </w:rPr>
        <w:t xml:space="preserve"> (</w:t>
      </w:r>
      <w:r w:rsidRPr="00514D53">
        <w:rPr>
          <w:rFonts w:ascii="Arial" w:eastAsia="Calibri" w:hAnsi="Arial" w:cs="Arial"/>
          <w:i/>
          <w:sz w:val="20"/>
          <w:szCs w:val="20"/>
          <w:lang w:val="fr-FR" w:eastAsia="fr-FR"/>
        </w:rPr>
        <w:t>Pterocarpus erinaceus</w:t>
      </w:r>
      <w:r w:rsidRPr="00514D53">
        <w:rPr>
          <w:rFonts w:ascii="Arial" w:eastAsia="Calibri" w:hAnsi="Arial" w:cs="Arial"/>
          <w:sz w:val="20"/>
          <w:szCs w:val="20"/>
          <w:lang w:val="fr-FR" w:eastAsia="fr-FR"/>
        </w:rPr>
        <w:t>), vers l’Asie. Presque la totalité du bois d’œuvre consommé au Mali est importé de la Côte d’Ivoire mais l’exportation de produits forestiers ligneux sur la base FOB atteint 3,519 Milliards FCFA en 2016 (SISE, 2017). Malgré le décret N°00-505/P-RM du 16 octobre 2000 portant règlementation du commerce extérieur qui précise les produits interdits à l’export, tels que le bois non transformé et l’interdiction interministérielle N°20141856 / MC-MEF-SG-MEEA du 10 juillet 2014 émanant du Ministère du Commerce portant sur le bois, bois de construction, bois de chauffe, bambou, raphia, et charbon qui prohibe toute exportation de bois, les exportations illégales du bois en Afrique de l’Ouest par des réseaux mafieux ont pris une dimension mobilisant Interpol en 2015 pour l’opération LOG. Elle a permis de saisir, en trois mois, pour plus de 216 millions de dollars (# 127 milliards de FCFA) de grumes et de procéder à l’arrestation de 44 personnes. Néanmoins, selon les recherches d’une ONG, 10 à 15 containers de bois de vêne, en état presque brut, sont exportés chaque jour par une seule entreprise (Synergie Environnement, 2016), indiquant la continuation forte de ce type d’exportation illégale au détriment des ressources forestière et la population malienne.</w:t>
      </w:r>
    </w:p>
    <w:p w14:paraId="2F14D67B" w14:textId="77777777" w:rsidR="00802BA9" w:rsidRPr="00514D53" w:rsidRDefault="00802BA9" w:rsidP="00514D53">
      <w:pPr>
        <w:spacing w:before="120" w:after="120" w:line="240" w:lineRule="auto"/>
        <w:rPr>
          <w:rFonts w:ascii="Arial" w:eastAsia="Times New Roman" w:hAnsi="Arial" w:cs="Arial"/>
          <w:sz w:val="20"/>
          <w:szCs w:val="20"/>
          <w:lang w:val="fr-FR" w:eastAsia="fr-FR"/>
        </w:rPr>
      </w:pPr>
      <w:r w:rsidRPr="00514D53">
        <w:rPr>
          <w:rFonts w:ascii="Arial" w:eastAsia="Times New Roman" w:hAnsi="Arial" w:cs="Arial"/>
          <w:sz w:val="20"/>
          <w:szCs w:val="20"/>
          <w:lang w:val="fr-FR" w:eastAsia="fr-FR"/>
        </w:rPr>
        <w:t>Malgré son importance et son poids dans la balance énergétique nationale, force est de constater que les différentes initiatives de gestion durable n’ont pas enrayé le phénomène de déforestation. La consommation actuelle de produits ligneux a atteint un niveau tel qu’il y a lieu de se demander ce que deviendront les forêts mali</w:t>
      </w:r>
      <w:r w:rsidR="00B5532C" w:rsidRPr="00514D53">
        <w:rPr>
          <w:rFonts w:ascii="Arial" w:eastAsia="Times New Roman" w:hAnsi="Arial" w:cs="Arial"/>
          <w:sz w:val="20"/>
          <w:szCs w:val="20"/>
          <w:lang w:val="fr-FR" w:eastAsia="fr-FR"/>
        </w:rPr>
        <w:t>ennes dans un avenir proche (AEDD</w:t>
      </w:r>
      <w:r w:rsidRPr="00514D53">
        <w:rPr>
          <w:rFonts w:ascii="Arial" w:eastAsia="Times New Roman" w:hAnsi="Arial" w:cs="Arial"/>
          <w:sz w:val="20"/>
          <w:szCs w:val="20"/>
          <w:lang w:val="fr-FR" w:eastAsia="fr-FR"/>
        </w:rPr>
        <w:t>, 2018). Si la tendance actuelle se poursuit, le Mali répétera les expériences de beaucoup de pays du monde « La foresterie commence quand il n’y a plus de forêt ». Ceci joue aussi fortement sur le potentiel à mobiliser de nouveaux mécanismes de financement, tels que le marché du carbone. Selon les calculs utilisés (ILWAC, 2013), 1m³ de bois exploité représente 1 tonne de CO2 équivalent à une séquestration de 0,27 tonnes de carbone (§ 2.2.11 émission GES).</w:t>
      </w:r>
    </w:p>
    <w:p w14:paraId="4D74F1B1" w14:textId="77777777" w:rsidR="00802BA9" w:rsidRPr="00514D53" w:rsidRDefault="00802BA9" w:rsidP="00514D53">
      <w:pPr>
        <w:spacing w:before="120" w:after="120" w:line="240" w:lineRule="auto"/>
        <w:rPr>
          <w:rFonts w:ascii="Arial" w:hAnsi="Arial" w:cs="Arial"/>
          <w:sz w:val="20"/>
          <w:szCs w:val="20"/>
          <w:lang w:val="fr-FR" w:eastAsia="fr-FR"/>
        </w:rPr>
      </w:pPr>
      <w:r w:rsidRPr="00514D53">
        <w:rPr>
          <w:rFonts w:ascii="Arial" w:hAnsi="Arial" w:cs="Arial"/>
          <w:sz w:val="20"/>
          <w:szCs w:val="20"/>
          <w:lang w:val="fr-FR" w:eastAsia="fr-FR"/>
        </w:rPr>
        <w:t xml:space="preserve">Au Mali, la </w:t>
      </w:r>
      <w:r w:rsidRPr="00514D53">
        <w:rPr>
          <w:rFonts w:ascii="Arial" w:hAnsi="Arial" w:cs="Arial"/>
          <w:b/>
          <w:sz w:val="20"/>
          <w:szCs w:val="20"/>
          <w:lang w:val="fr-FR" w:eastAsia="fr-FR"/>
        </w:rPr>
        <w:t>chasse</w:t>
      </w:r>
      <w:r w:rsidRPr="00514D53">
        <w:rPr>
          <w:rFonts w:ascii="Arial" w:hAnsi="Arial" w:cs="Arial"/>
          <w:sz w:val="20"/>
          <w:szCs w:val="20"/>
          <w:lang w:val="fr-FR" w:eastAsia="fr-FR"/>
        </w:rPr>
        <w:t xml:space="preserve"> est autorisée uniquement dans les ZIC (zones d’intérêt cynégétique), gérées selon un plan d’aménagement, et les ranchs de gibier. L’amodiation est faite en faveur des sociétés de tourisme cynégétique agréées ou d’associations de chasseurs reconnues d’utilité publique conformément aux textes en </w:t>
      </w:r>
      <w:r w:rsidRPr="00514D53">
        <w:rPr>
          <w:rFonts w:ascii="Arial" w:hAnsi="Arial" w:cs="Arial"/>
          <w:sz w:val="20"/>
          <w:szCs w:val="20"/>
          <w:lang w:val="fr-FR" w:eastAsia="fr-FR"/>
        </w:rPr>
        <w:lastRenderedPageBreak/>
        <w:t xml:space="preserve">vigueur. </w:t>
      </w:r>
      <w:r w:rsidRPr="00514D53">
        <w:rPr>
          <w:rFonts w:ascii="Arial" w:eastAsiaTheme="minorHAnsi" w:hAnsi="Arial" w:cs="Arial"/>
          <w:sz w:val="20"/>
          <w:szCs w:val="20"/>
          <w:lang w:val="fr-FR"/>
        </w:rPr>
        <w:t xml:space="preserve">On estime à 40.324 le nombre de trophées de chasse issus des formations forestières par an de 2014 à 2017. La chasse rapporte annuellement près de 400 millions de FCFA au budget de l’Etat par la vente des permis et les taxes sur les trophées (CDB, 2014). Mais le nombre de permis de chasse livré a baissé entre 2014 (4.766) et 2017 (511) (CPS, 2016) et il est à craindre que l’activité se passe de plus en plus dans l’informel. </w:t>
      </w:r>
      <w:r w:rsidRPr="00514D53">
        <w:rPr>
          <w:rFonts w:ascii="Arial" w:hAnsi="Arial" w:cs="Arial"/>
          <w:sz w:val="20"/>
          <w:szCs w:val="20"/>
          <w:lang w:val="fr-FR" w:eastAsia="fr-FR"/>
        </w:rPr>
        <w:t>La chasse traditionnelle effectuée par les organisations locales de chasseurs, dont les prélèvements sur la faune obéissent à la logique d’apport protéinique, a évolué vers un braconnage, à l’abattage systématique d’animaux sauvages par des braconniers citadins commerciaux. C</w:t>
      </w:r>
      <w:r w:rsidRPr="00514D53">
        <w:rPr>
          <w:rFonts w:ascii="Arial" w:eastAsiaTheme="minorHAnsi" w:hAnsi="Arial" w:cs="Arial"/>
          <w:sz w:val="20"/>
          <w:szCs w:val="20"/>
          <w:lang w:val="fr-FR"/>
        </w:rPr>
        <w:t>es ressources avaient déjà été décimées par la chasse à grande échelle à but commercial, effectuée dans les années 1980 et 1990 par des ressortissants mauritaniens avec des moyens de chasse sophistiqués. Il n’y a pas de chiffres disponibles, mais l’insuffisance de contrôles efficaces sur la chasse/braconnage et la consommation/vente des produits font que pratiquement toute la grande faune a aujourd’hui disparu du Mali (CBD, 2014). En plus, les ressources fauniques au Nord du pays connaissent presque aucune protection du fait de l’absence de structures de protection de la faune pour raison d’insécurité</w:t>
      </w:r>
      <w:r w:rsidRPr="00514D53">
        <w:rPr>
          <w:rFonts w:ascii="Arial" w:hAnsi="Arial" w:cs="Arial"/>
          <w:sz w:val="20"/>
          <w:szCs w:val="20"/>
        </w:rPr>
        <w:t xml:space="preserve"> </w:t>
      </w:r>
      <w:r w:rsidRPr="00514D53">
        <w:rPr>
          <w:rFonts w:ascii="Arial" w:eastAsiaTheme="minorHAnsi" w:hAnsi="Arial" w:cs="Arial"/>
          <w:sz w:val="20"/>
          <w:szCs w:val="20"/>
          <w:lang w:val="fr-FR"/>
        </w:rPr>
        <w:t>depuis la crise des années 2012 et 2013. A titre d’exemple, il est difficile de se prononcer sur le sort des éléphants du Gourma. Un rapport onusien de 2015 évalue à 57 le nombre d’éléphants tués au 1</w:t>
      </w:r>
      <w:r w:rsidRPr="00514D53">
        <w:rPr>
          <w:rFonts w:ascii="Arial" w:eastAsiaTheme="minorHAnsi" w:hAnsi="Arial" w:cs="Arial"/>
          <w:sz w:val="20"/>
          <w:szCs w:val="20"/>
          <w:vertAlign w:val="superscript"/>
          <w:lang w:val="fr-FR"/>
        </w:rPr>
        <w:t>er</w:t>
      </w:r>
      <w:r w:rsidRPr="00514D53">
        <w:rPr>
          <w:rFonts w:ascii="Arial" w:eastAsiaTheme="minorHAnsi" w:hAnsi="Arial" w:cs="Arial"/>
          <w:sz w:val="20"/>
          <w:szCs w:val="20"/>
          <w:lang w:val="fr-FR"/>
        </w:rPr>
        <w:t xml:space="preserve"> semestre 2015 à Douentza et à 11 autres abattus au dernier trimestre de l’année 2015, sur une population estimée à 350 avant la crise. L’ONU estime que le trafic d’ivoire doit être considéré comme une source de financement important des extrémistes et terroristes djihadistes (SG des ONU 2015, rapport sur la situation du Mali). Les observations ponctuelles indiquent également que dans le DIN, l’avifaune est victime de braconnage ; ce dernier ayant fortement réduit les effectifs et les espèces d’oiseaux d’eau (</w:t>
      </w:r>
      <w:r w:rsidR="00105F75" w:rsidRPr="00514D53">
        <w:rPr>
          <w:rFonts w:ascii="Arial" w:eastAsiaTheme="minorHAnsi" w:hAnsi="Arial" w:cs="Arial"/>
          <w:sz w:val="20"/>
          <w:szCs w:val="20"/>
          <w:lang w:val="fr-FR"/>
        </w:rPr>
        <w:t>AEDD</w:t>
      </w:r>
      <w:r w:rsidRPr="00514D53">
        <w:rPr>
          <w:rFonts w:ascii="Arial" w:eastAsiaTheme="minorHAnsi" w:hAnsi="Arial" w:cs="Arial"/>
          <w:sz w:val="20"/>
          <w:szCs w:val="20"/>
          <w:lang w:val="fr-FR"/>
        </w:rPr>
        <w:t xml:space="preserve">, 2018). </w:t>
      </w:r>
      <w:r w:rsidRPr="00514D53">
        <w:rPr>
          <w:rFonts w:ascii="Arial" w:hAnsi="Arial" w:cs="Arial"/>
          <w:sz w:val="20"/>
          <w:szCs w:val="20"/>
          <w:lang w:val="fr-FR" w:eastAsia="fr-FR"/>
        </w:rPr>
        <w:t>Malgré une implication plus efficace des populations locales aux contrôles dans certains endroits et un engagement financier de l’Etat pour les brigades anti-braconnage, les contrôles restent largement insuffisants.</w:t>
      </w:r>
      <w:r w:rsidRPr="00514D53">
        <w:rPr>
          <w:rFonts w:ascii="Arial" w:eastAsiaTheme="minorHAnsi" w:hAnsi="Arial" w:cs="Arial"/>
          <w:sz w:val="20"/>
          <w:szCs w:val="20"/>
          <w:lang w:val="fr-FR"/>
        </w:rPr>
        <w:t xml:space="preserve"> Cette </w:t>
      </w:r>
      <w:r w:rsidRPr="00514D53">
        <w:rPr>
          <w:rFonts w:ascii="Arial" w:hAnsi="Arial" w:cs="Arial"/>
          <w:sz w:val="20"/>
          <w:szCs w:val="20"/>
          <w:lang w:val="fr-FR" w:eastAsia="fr-FR"/>
        </w:rPr>
        <w:t xml:space="preserve">absence de contrôles efficaces stimule le braconnage dans tout le pays, braconnage qui devient la pression la plus dévastatrice sur la faune. </w:t>
      </w:r>
    </w:p>
    <w:p w14:paraId="1A68F84F" w14:textId="77777777" w:rsidR="00802BA9" w:rsidRPr="001445C5" w:rsidRDefault="00802BA9" w:rsidP="00514D53">
      <w:pPr>
        <w:spacing w:before="120" w:after="120" w:line="240" w:lineRule="auto"/>
        <w:rPr>
          <w:rStyle w:val="apple-converted-space"/>
          <w:rFonts w:ascii="Arial" w:hAnsi="Arial" w:cs="Arial"/>
          <w:sz w:val="20"/>
          <w:szCs w:val="20"/>
          <w:shd w:val="clear" w:color="auto" w:fill="FFFFFF"/>
          <w:lang w:val="fr-FR"/>
        </w:rPr>
      </w:pPr>
      <w:r w:rsidRPr="00514D53">
        <w:rPr>
          <w:rFonts w:ascii="Arial" w:eastAsia="Calibri" w:hAnsi="Arial" w:cs="Arial"/>
          <w:sz w:val="20"/>
          <w:szCs w:val="20"/>
          <w:lang w:val="fr-FR" w:eastAsia="fr-FR"/>
        </w:rPr>
        <w:t xml:space="preserve">La </w:t>
      </w:r>
      <w:r w:rsidRPr="00514D53">
        <w:rPr>
          <w:rFonts w:ascii="Arial" w:eastAsia="Calibri" w:hAnsi="Arial" w:cs="Arial"/>
          <w:b/>
          <w:sz w:val="20"/>
          <w:szCs w:val="20"/>
          <w:lang w:val="fr-FR" w:eastAsia="fr-FR"/>
        </w:rPr>
        <w:t>pêche</w:t>
      </w:r>
      <w:r w:rsidRPr="00514D53">
        <w:rPr>
          <w:rFonts w:ascii="Arial" w:eastAsia="Calibri" w:hAnsi="Arial" w:cs="Arial"/>
          <w:sz w:val="20"/>
          <w:szCs w:val="20"/>
          <w:lang w:val="fr-FR" w:eastAsia="fr-FR"/>
        </w:rPr>
        <w:t xml:space="preserve"> contribue à 4,2 % du PIB national</w:t>
      </w:r>
      <w:r w:rsidRPr="00514D53">
        <w:rPr>
          <w:rStyle w:val="Appelnotedebasdep"/>
          <w:rFonts w:ascii="Arial" w:eastAsia="Calibri" w:hAnsi="Arial" w:cs="Arial"/>
          <w:sz w:val="20"/>
          <w:szCs w:val="20"/>
          <w:lang w:val="fr-FR" w:eastAsia="fr-FR"/>
        </w:rPr>
        <w:footnoteReference w:id="20"/>
      </w:r>
      <w:r w:rsidRPr="00514D53">
        <w:rPr>
          <w:rFonts w:ascii="Arial" w:eastAsia="Calibri" w:hAnsi="Arial" w:cs="Arial"/>
          <w:sz w:val="20"/>
          <w:szCs w:val="20"/>
          <w:lang w:val="fr-FR" w:eastAsia="fr-FR"/>
        </w:rPr>
        <w:t xml:space="preserve"> avec une croissance de 3,9 % en 2016 (INSTAT, 2017). La production de poissons de pêche de capture et de pisciculture s’élève à 106.220 t en 2017 (DNP, 2018) contre 95.378 en 2015 (DNP, 2016) et place le M</w:t>
      </w:r>
      <w:r w:rsidRPr="001445C5">
        <w:rPr>
          <w:rFonts w:ascii="Arial" w:eastAsia="Calibri" w:hAnsi="Arial" w:cs="Arial"/>
          <w:sz w:val="20"/>
          <w:szCs w:val="20"/>
          <w:lang w:val="fr-FR" w:eastAsia="fr-FR"/>
        </w:rPr>
        <w:t>ali parmi les premiers pays producteurs de poissons d’eau douce. Cette production dépend du débit des fleuves ; débits eux-mêmes corrélés à la pluviométrie. La production se concentre dans la zone du delta central du fleuve Niger qui couvre une superficie de 4</w:t>
      </w:r>
      <w:r w:rsidR="00BB536B" w:rsidRPr="001445C5">
        <w:rPr>
          <w:rFonts w:ascii="Arial" w:eastAsia="Calibri" w:hAnsi="Arial" w:cs="Arial"/>
          <w:sz w:val="20"/>
          <w:szCs w:val="20"/>
          <w:lang w:val="fr-FR" w:eastAsia="fr-FR"/>
        </w:rPr>
        <w:t>.</w:t>
      </w:r>
      <w:r w:rsidRPr="001445C5">
        <w:rPr>
          <w:rFonts w:ascii="Arial" w:eastAsia="Calibri" w:hAnsi="Arial" w:cs="Arial"/>
          <w:sz w:val="20"/>
          <w:szCs w:val="20"/>
          <w:lang w:val="fr-FR" w:eastAsia="fr-FR"/>
        </w:rPr>
        <w:t>0</w:t>
      </w:r>
      <w:r w:rsidR="00BB536B" w:rsidRPr="001445C5">
        <w:rPr>
          <w:rFonts w:ascii="Arial" w:eastAsia="Calibri" w:hAnsi="Arial" w:cs="Arial"/>
          <w:sz w:val="20"/>
          <w:szCs w:val="20"/>
          <w:lang w:val="fr-FR" w:eastAsia="fr-FR"/>
        </w:rPr>
        <w:t>00</w:t>
      </w:r>
      <w:r w:rsidRPr="001445C5">
        <w:rPr>
          <w:rFonts w:ascii="Arial" w:eastAsia="Calibri" w:hAnsi="Arial" w:cs="Arial"/>
          <w:sz w:val="20"/>
          <w:szCs w:val="20"/>
          <w:lang w:val="fr-FR" w:eastAsia="fr-FR"/>
        </w:rPr>
        <w:t xml:space="preserve">.000 </w:t>
      </w:r>
      <w:r w:rsidR="00BB536B" w:rsidRPr="001445C5">
        <w:rPr>
          <w:rFonts w:ascii="Arial" w:eastAsia="Calibri" w:hAnsi="Arial" w:cs="Arial"/>
          <w:sz w:val="20"/>
          <w:szCs w:val="20"/>
          <w:lang w:val="fr-FR" w:eastAsia="fr-FR"/>
        </w:rPr>
        <w:t>ha</w:t>
      </w:r>
      <w:r w:rsidRPr="001445C5">
        <w:rPr>
          <w:rFonts w:ascii="Arial" w:eastAsia="Calibri" w:hAnsi="Arial" w:cs="Arial"/>
          <w:sz w:val="20"/>
          <w:szCs w:val="20"/>
          <w:lang w:val="fr-FR" w:eastAsia="fr-FR"/>
        </w:rPr>
        <w:t xml:space="preserve"> dont 60 % environ sont inondables lors des fortes crues. Ainsi, la production (DNP, 2017) provient des régions de Mopti (34,7 %), Gao (25,1 %), Tombouctou (11,8 %) et de Ségou (11, %). Depuis une dizaine d’années, la pisciculture intégrée aux systèmes de production en milieu rural se développe, essentiellement dans les régions de Ségou (63,4 % de la production aquacole nationale) et de Koulikoro (13,5 %), et représente 3,7 % de la production de poissons totale en 2017 grâce à 511 bassins aquacoles et à 319 cages flottantes (DNP, 2018). Selon la politique nationale de développement de la pêche et de l’aquaculture de 2011, « </w:t>
      </w:r>
      <w:r w:rsidRPr="001445C5">
        <w:rPr>
          <w:rFonts w:ascii="Arial" w:eastAsia="Calibri" w:hAnsi="Arial" w:cs="Arial"/>
          <w:i/>
          <w:sz w:val="20"/>
          <w:szCs w:val="20"/>
          <w:lang w:val="fr-FR" w:eastAsia="fr-FR"/>
        </w:rPr>
        <w:t>le secteur concerne 1.285.000 personnes et les emplois générés en amont et en aval de la filière pêche sont estimés entre 285.000 et 500.000 emplois</w:t>
      </w:r>
      <w:r w:rsidRPr="001445C5">
        <w:rPr>
          <w:rFonts w:ascii="Arial" w:eastAsia="Calibri" w:hAnsi="Arial" w:cs="Arial"/>
          <w:sz w:val="20"/>
          <w:szCs w:val="20"/>
          <w:lang w:val="fr-FR" w:eastAsia="fr-FR"/>
        </w:rPr>
        <w:t xml:space="preserve"> ». </w:t>
      </w:r>
      <w:r w:rsidRPr="001445C5">
        <w:rPr>
          <w:rFonts w:ascii="Arial" w:hAnsi="Arial" w:cs="Arial"/>
          <w:sz w:val="20"/>
          <w:szCs w:val="20"/>
          <w:shd w:val="clear" w:color="auto" w:fill="FFFFFF"/>
          <w:lang w:val="fr-FR"/>
        </w:rPr>
        <w:t>Une grande proportion de ménages pêcheurs (70,4%) pratique en même temps d’autres activités du secteur primaire telles que l’agriculture ou, plus rarement, l’élevage (UEMOA, 2012).</w:t>
      </w:r>
      <w:r w:rsidRPr="001445C5">
        <w:rPr>
          <w:rStyle w:val="apple-converted-space"/>
          <w:rFonts w:ascii="Arial" w:hAnsi="Arial" w:cs="Arial"/>
          <w:sz w:val="20"/>
          <w:szCs w:val="20"/>
          <w:shd w:val="clear" w:color="auto" w:fill="FFFFFF"/>
          <w:lang w:val="fr-FR"/>
        </w:rPr>
        <w:t> </w:t>
      </w:r>
    </w:p>
    <w:p w14:paraId="480A9C7B" w14:textId="77777777" w:rsidR="00802BA9" w:rsidRDefault="00802BA9" w:rsidP="00514D53">
      <w:pPr>
        <w:spacing w:before="120" w:after="120" w:line="240" w:lineRule="auto"/>
        <w:rPr>
          <w:rFonts w:ascii="Arial" w:hAnsi="Arial" w:cs="Arial"/>
          <w:sz w:val="20"/>
          <w:szCs w:val="20"/>
          <w:shd w:val="clear" w:color="auto" w:fill="FFFFFF"/>
          <w:lang w:val="fr-FR"/>
        </w:rPr>
      </w:pPr>
      <w:r w:rsidRPr="001445C5">
        <w:rPr>
          <w:rStyle w:val="apple-converted-space"/>
          <w:rFonts w:ascii="Arial" w:hAnsi="Arial" w:cs="Arial"/>
          <w:sz w:val="20"/>
          <w:szCs w:val="20"/>
          <w:shd w:val="clear" w:color="auto" w:fill="FFFFFF"/>
          <w:lang w:val="fr-FR"/>
        </w:rPr>
        <w:t xml:space="preserve">Sur le plan environnemental, les </w:t>
      </w:r>
      <w:r w:rsidRPr="001445C5">
        <w:rPr>
          <w:rFonts w:ascii="Arial" w:eastAsia="Times New Roman" w:hAnsi="Arial" w:cs="Arial"/>
          <w:sz w:val="20"/>
          <w:szCs w:val="20"/>
          <w:lang w:val="fr-FR" w:eastAsia="fr-FR"/>
        </w:rPr>
        <w:t xml:space="preserve">activités liées à la pêche ont des impacts sur l’environnement tels que la coupe de bois pour le fumage du poisson et la fabrication des pirogues. </w:t>
      </w:r>
      <w:r w:rsidRPr="001445C5">
        <w:rPr>
          <w:rFonts w:ascii="Arial" w:hAnsi="Arial" w:cs="Arial"/>
          <w:sz w:val="20"/>
          <w:szCs w:val="20"/>
          <w:shd w:val="clear" w:color="auto" w:fill="FFFFFF"/>
          <w:lang w:val="fr-FR"/>
        </w:rPr>
        <w:t>Au cours des trente dernières années, le secteur a été confronté à des crises imputables, en grande partie, à des conditions climatiques défavorables avec la baisse des débits des cours d’eau, l’ensablement des mares piscicoles</w:t>
      </w:r>
      <w:r w:rsidR="00FC2D47" w:rsidRPr="001445C5">
        <w:rPr>
          <w:rFonts w:ascii="Arial" w:hAnsi="Arial" w:cs="Arial"/>
          <w:sz w:val="20"/>
          <w:szCs w:val="20"/>
          <w:shd w:val="clear" w:color="auto" w:fill="FFFFFF"/>
          <w:lang w:val="fr-FR"/>
        </w:rPr>
        <w:t xml:space="preserve"> et à l’impact des barrages hydroélectriques ; ces derniers affectant le cycle de reproduction des espèces halieutiques. Avec le changement climatique, un suivi de l’impact des barrages sur les ressources halieutiques est souhaitable.</w:t>
      </w:r>
      <w:r w:rsidRPr="001445C5">
        <w:rPr>
          <w:rFonts w:ascii="Arial" w:hAnsi="Arial" w:cs="Arial"/>
          <w:sz w:val="20"/>
          <w:szCs w:val="20"/>
          <w:shd w:val="clear" w:color="auto" w:fill="FFFFFF"/>
          <w:lang w:val="fr-FR"/>
        </w:rPr>
        <w:t xml:space="preserve"> Plus récemment, le secteur subit la pression foncière le long des cours d’eau et les impacts de l’exploitation aurifère par</w:t>
      </w:r>
      <w:r w:rsidR="00B517F1" w:rsidRPr="001445C5">
        <w:rPr>
          <w:rFonts w:ascii="Arial" w:hAnsi="Arial" w:cs="Arial"/>
          <w:sz w:val="20"/>
          <w:szCs w:val="20"/>
          <w:shd w:val="clear" w:color="auto" w:fill="FFFFFF"/>
          <w:lang w:val="fr-FR"/>
        </w:rPr>
        <w:t xml:space="preserve"> drag</w:t>
      </w:r>
      <w:r w:rsidRPr="001445C5">
        <w:rPr>
          <w:rFonts w:ascii="Arial" w:hAnsi="Arial" w:cs="Arial"/>
          <w:sz w:val="20"/>
          <w:szCs w:val="20"/>
          <w:shd w:val="clear" w:color="auto" w:fill="FFFFFF"/>
          <w:lang w:val="fr-FR"/>
        </w:rPr>
        <w:t>age (§ 2.2.5).</w:t>
      </w:r>
      <w:r w:rsidRPr="00514D53">
        <w:rPr>
          <w:rFonts w:ascii="Arial" w:hAnsi="Arial" w:cs="Arial"/>
          <w:sz w:val="20"/>
          <w:szCs w:val="20"/>
          <w:shd w:val="clear" w:color="auto" w:fill="FFFFFF"/>
          <w:lang w:val="fr-FR"/>
        </w:rPr>
        <w:t xml:space="preserve">  </w:t>
      </w:r>
    </w:p>
    <w:p w14:paraId="5A21F3D9" w14:textId="77777777" w:rsidR="00514D53" w:rsidRPr="00514D53" w:rsidRDefault="00514D53" w:rsidP="00514D53">
      <w:pPr>
        <w:spacing w:before="120" w:after="120" w:line="240" w:lineRule="auto"/>
        <w:rPr>
          <w:rFonts w:ascii="Arial" w:hAnsi="Arial" w:cs="Arial"/>
          <w:sz w:val="20"/>
          <w:szCs w:val="20"/>
          <w:shd w:val="clear" w:color="auto" w:fill="FFFFFF"/>
          <w:lang w:val="fr-FR"/>
        </w:rPr>
      </w:pPr>
    </w:p>
    <w:p w14:paraId="6394AB83" w14:textId="77777777" w:rsidR="00802BA9" w:rsidRPr="00514D53" w:rsidRDefault="00802BA9" w:rsidP="00525222">
      <w:pPr>
        <w:pStyle w:val="Titre3"/>
      </w:pPr>
      <w:bookmarkStart w:id="21" w:name="_Toc20505624"/>
      <w:r w:rsidRPr="00514D53">
        <w:t>2.2.5 Activités minières</w:t>
      </w:r>
      <w:bookmarkEnd w:id="21"/>
      <w:r w:rsidRPr="00514D53">
        <w:t xml:space="preserve">  </w:t>
      </w:r>
    </w:p>
    <w:p w14:paraId="5984BF11" w14:textId="77777777" w:rsidR="00802BA9" w:rsidRPr="00514D53" w:rsidRDefault="00802BA9" w:rsidP="00514D53">
      <w:pPr>
        <w:spacing w:before="120" w:after="120" w:line="240" w:lineRule="auto"/>
        <w:rPr>
          <w:rFonts w:ascii="Arial" w:eastAsia="Calibri" w:hAnsi="Arial" w:cs="Arial"/>
          <w:sz w:val="20"/>
          <w:szCs w:val="20"/>
          <w:lang w:val="fr-FR" w:eastAsia="fr-FR"/>
        </w:rPr>
      </w:pPr>
      <w:r w:rsidRPr="00514D53">
        <w:rPr>
          <w:rFonts w:ascii="Arial" w:hAnsi="Arial" w:cs="Arial"/>
          <w:sz w:val="20"/>
          <w:szCs w:val="20"/>
          <w:lang w:val="fr-FR" w:eastAsia="fr-FR"/>
        </w:rPr>
        <w:t xml:space="preserve">Le secteur des </w:t>
      </w:r>
      <w:r w:rsidRPr="00514D53">
        <w:rPr>
          <w:rFonts w:ascii="Arial" w:hAnsi="Arial" w:cs="Arial"/>
          <w:b/>
          <w:sz w:val="20"/>
          <w:szCs w:val="20"/>
          <w:lang w:val="fr-FR" w:eastAsia="fr-FR"/>
        </w:rPr>
        <w:t>mines</w:t>
      </w:r>
      <w:r w:rsidRPr="00514D53">
        <w:rPr>
          <w:rFonts w:ascii="Arial" w:hAnsi="Arial" w:cs="Arial"/>
          <w:sz w:val="20"/>
          <w:szCs w:val="20"/>
          <w:lang w:val="fr-FR" w:eastAsia="fr-FR"/>
        </w:rPr>
        <w:t xml:space="preserve"> représente environ 6,5 % du PIB du Mali, 65 % du total des exportations (l’or est le premier produit d’exportation du Mali, loin devant le coton) et concerne 5.558 emplois directs (INSTAT, 2017). Le Mali est le 3</w:t>
      </w:r>
      <w:r w:rsidRPr="00514D53">
        <w:rPr>
          <w:rFonts w:ascii="Arial" w:hAnsi="Arial" w:cs="Arial"/>
          <w:sz w:val="20"/>
          <w:szCs w:val="20"/>
          <w:vertAlign w:val="superscript"/>
          <w:lang w:val="fr-FR" w:eastAsia="fr-FR"/>
        </w:rPr>
        <w:t>ème</w:t>
      </w:r>
      <w:r w:rsidRPr="00514D53">
        <w:rPr>
          <w:rFonts w:ascii="Arial" w:hAnsi="Arial" w:cs="Arial"/>
          <w:sz w:val="20"/>
          <w:szCs w:val="20"/>
          <w:lang w:val="fr-FR" w:eastAsia="fr-FR"/>
        </w:rPr>
        <w:t xml:space="preserve"> producteur d’or d’Afrique après l’Afrique du Sud et le Ghana. En 2017, ses réserves aurifères étaient estimées à 830 tonnes (FMI, 2018). La production totale des 11 grandes mines d’or</w:t>
      </w:r>
      <w:r w:rsidRPr="00514D53">
        <w:rPr>
          <w:rStyle w:val="Appelnotedebasdep"/>
          <w:rFonts w:ascii="Arial" w:hAnsi="Arial" w:cs="Arial"/>
          <w:sz w:val="20"/>
          <w:szCs w:val="20"/>
          <w:lang w:val="fr-FR" w:eastAsia="fr-FR"/>
        </w:rPr>
        <w:footnoteReference w:id="21"/>
      </w:r>
      <w:r w:rsidRPr="00514D53">
        <w:rPr>
          <w:rFonts w:ascii="Arial" w:hAnsi="Arial" w:cs="Arial"/>
          <w:sz w:val="20"/>
          <w:szCs w:val="20"/>
          <w:lang w:val="fr-FR" w:eastAsia="fr-FR"/>
        </w:rPr>
        <w:t xml:space="preserve"> (dont 7 mines relèvent du code minier de 1991) s’élève à 49,6 tonnes en 2017 contre 7,8 tonnes en 1995 provenant des régions de Kayes, Koulikoro et de Sikasso. Grâce à deux nouveaux projets, la production d’or pourrait atteindre 60 tonnes en 2018 (FMI, 2018). Le pays compte également des exploitations à petite échelle de </w:t>
      </w:r>
      <w:r w:rsidRPr="00514D53">
        <w:rPr>
          <w:rFonts w:ascii="Arial" w:hAnsi="Arial" w:cs="Arial"/>
          <w:sz w:val="20"/>
          <w:szCs w:val="20"/>
          <w:lang w:val="fr-FR" w:eastAsia="fr-FR"/>
        </w:rPr>
        <w:lastRenderedPageBreak/>
        <w:t xml:space="preserve">manganèse, fer, matériaux de construction (6 carrières industrielles et carrières artisanales de calcaire, marbre, dolomie, dolérite et argile), pierres précieuses et semi-précieuses (une unité industrielle et de nombreux exploitants artisanaux), sel gemme, gypse et de phosphate. </w:t>
      </w:r>
      <w:r w:rsidRPr="00514D53">
        <w:rPr>
          <w:rFonts w:ascii="Arial" w:eastAsia="Calibri" w:hAnsi="Arial" w:cs="Arial"/>
          <w:sz w:val="20"/>
          <w:szCs w:val="20"/>
          <w:lang w:val="fr-FR" w:eastAsia="fr-FR"/>
        </w:rPr>
        <w:t xml:space="preserve">Le secteur se réparti entre une production industrielle et artisanale ayant des impacts environnementaux et sociaux très différents. </w:t>
      </w:r>
    </w:p>
    <w:p w14:paraId="54A2E064" w14:textId="77777777" w:rsidR="00802BA9" w:rsidRPr="00514D53" w:rsidRDefault="00802BA9" w:rsidP="00514D53">
      <w:pPr>
        <w:spacing w:before="120" w:after="120" w:line="240" w:lineRule="auto"/>
        <w:rPr>
          <w:rFonts w:ascii="Arial" w:eastAsia="Calibri" w:hAnsi="Arial" w:cs="Arial"/>
          <w:sz w:val="20"/>
          <w:szCs w:val="20"/>
          <w:lang w:val="fr-FR" w:eastAsia="fr-FR"/>
        </w:rPr>
      </w:pPr>
      <w:r w:rsidRPr="00514D53">
        <w:rPr>
          <w:rFonts w:ascii="Arial" w:eastAsia="Calibri" w:hAnsi="Arial" w:cs="Arial"/>
          <w:sz w:val="20"/>
          <w:szCs w:val="20"/>
          <w:lang w:val="fr-FR" w:eastAsia="fr-FR"/>
        </w:rPr>
        <w:t xml:space="preserve">Au cours de l’année 2017 (CPS Mines-Energie, 2018), il a été attribué 59 permis de recherche, 8 autorisations d’exploitation de carrière, 3 autorisations de petites mines, 3 couloirs d’orpaillage et 184 autorisations d’exploration. Au niveau de la </w:t>
      </w:r>
      <w:r w:rsidRPr="00514D53">
        <w:rPr>
          <w:rFonts w:ascii="Arial" w:eastAsia="Calibri" w:hAnsi="Arial" w:cs="Arial"/>
          <w:b/>
          <w:sz w:val="20"/>
          <w:szCs w:val="20"/>
          <w:lang w:val="fr-FR" w:eastAsia="fr-FR"/>
        </w:rPr>
        <w:t xml:space="preserve">production industrielle, </w:t>
      </w:r>
      <w:r w:rsidRPr="00514D53">
        <w:rPr>
          <w:rFonts w:ascii="Arial" w:eastAsia="Calibri" w:hAnsi="Arial" w:cs="Arial"/>
          <w:sz w:val="20"/>
          <w:szCs w:val="20"/>
          <w:lang w:val="fr-FR" w:eastAsia="fr-FR"/>
        </w:rPr>
        <w:t>l’exploitation est contrôlée faisant l’objet d’une EIES, sur des sites définis</w:t>
      </w:r>
      <w:r w:rsidRPr="00514D53">
        <w:rPr>
          <w:rStyle w:val="Appelnotedebasdep"/>
          <w:rFonts w:ascii="Arial" w:eastAsia="Calibri" w:hAnsi="Arial" w:cs="Arial"/>
          <w:sz w:val="20"/>
          <w:szCs w:val="20"/>
          <w:lang w:val="fr-FR" w:eastAsia="fr-FR"/>
        </w:rPr>
        <w:footnoteReference w:id="22"/>
      </w:r>
      <w:r w:rsidRPr="00514D53">
        <w:rPr>
          <w:rFonts w:ascii="Arial" w:eastAsia="Calibri" w:hAnsi="Arial" w:cs="Arial"/>
          <w:sz w:val="20"/>
          <w:szCs w:val="20"/>
          <w:lang w:val="fr-FR" w:eastAsia="fr-FR"/>
        </w:rPr>
        <w:t xml:space="preserve"> où les entrepreneurs</w:t>
      </w:r>
      <w:r w:rsidRPr="00514D53">
        <w:rPr>
          <w:rStyle w:val="Appelnotedebasdep"/>
          <w:rFonts w:ascii="Arial" w:eastAsia="Calibri" w:hAnsi="Arial" w:cs="Arial"/>
          <w:sz w:val="20"/>
          <w:szCs w:val="20"/>
          <w:lang w:val="fr-FR" w:eastAsia="fr-FR"/>
        </w:rPr>
        <w:footnoteReference w:id="23"/>
      </w:r>
      <w:r w:rsidRPr="00514D53">
        <w:rPr>
          <w:rFonts w:ascii="Arial" w:eastAsia="Calibri" w:hAnsi="Arial" w:cs="Arial"/>
          <w:sz w:val="20"/>
          <w:szCs w:val="20"/>
          <w:lang w:val="fr-FR" w:eastAsia="fr-FR"/>
        </w:rPr>
        <w:t xml:space="preserve"> appliquent un plan de gestion environnementale et sociale (PGES) avec application de mesures d’atténuation / compensation (reboisement, électrification, infrastructures sociales, etc.) / réhabilitation pour limiter les impacts environnementaux. Néanmoins, durant les phases d’implantation et d’exploitation, il y a i) émissions de poussières liées au mode d’exploitation à ciel ouvert, de fumées et de gaz (Cox, Nox, Sox et HAP) qui affectent localement la qualité de l’air, ii) défrichement du couvert végétal, iii) érosion des sols, iv) production de déchets liquides et solides (effluents des stations d’épuration, huiles usées, boues des bassins, emballages des produits toxiques de cyanure et de mercure utilisés, développement de terrils). De plus, il existe des incidents durant l’exploitation, tel celui de 2018 enregistré sur la commune rurale de Yallankoro-Soloba avec la Société des Mines de Komana (SMK) et la mort d’oiseaux (DRAPC Yonfolila, 2018).</w:t>
      </w:r>
      <w:r w:rsidRPr="00514D53">
        <w:rPr>
          <w:rStyle w:val="Appelnotedebasdep"/>
          <w:rFonts w:ascii="Arial" w:eastAsia="Calibri" w:hAnsi="Arial" w:cs="Arial"/>
          <w:sz w:val="20"/>
          <w:szCs w:val="20"/>
          <w:lang w:val="fr-FR" w:eastAsia="fr-FR"/>
        </w:rPr>
        <w:footnoteReference w:id="24"/>
      </w:r>
      <w:r w:rsidRPr="00514D53">
        <w:rPr>
          <w:rFonts w:ascii="Arial" w:eastAsia="Calibri" w:hAnsi="Arial" w:cs="Arial"/>
          <w:sz w:val="20"/>
          <w:szCs w:val="20"/>
          <w:lang w:val="fr-FR" w:eastAsia="fr-FR"/>
        </w:rPr>
        <w:t xml:space="preserve"> Le secteur est grand consommateur de cyanure (19.198 tonnes en 2017 contre 12.926 tonnes en 2016) et d’eau. En 2006, le PANGIRE indiquait une utilisation annuelle de 4 millions de m³ d’eau par 5 mines.</w:t>
      </w:r>
    </w:p>
    <w:p w14:paraId="078747C7" w14:textId="77777777" w:rsidR="00802BA9" w:rsidRPr="00514D53" w:rsidRDefault="00802BA9" w:rsidP="00514D53">
      <w:pPr>
        <w:spacing w:before="120" w:after="120" w:line="240" w:lineRule="auto"/>
        <w:rPr>
          <w:rFonts w:ascii="Arial" w:eastAsia="Calibri" w:hAnsi="Arial" w:cs="Arial"/>
          <w:sz w:val="20"/>
          <w:szCs w:val="20"/>
          <w:lang w:val="fr-FR" w:eastAsia="fr-FR"/>
        </w:rPr>
      </w:pPr>
      <w:r w:rsidRPr="00514D53">
        <w:rPr>
          <w:rFonts w:ascii="Arial" w:eastAsia="Calibri" w:hAnsi="Arial" w:cs="Arial"/>
          <w:sz w:val="20"/>
          <w:szCs w:val="20"/>
          <w:lang w:val="fr-FR" w:eastAsia="fr-FR"/>
        </w:rPr>
        <w:t xml:space="preserve">La </w:t>
      </w:r>
      <w:r w:rsidRPr="00514D53">
        <w:rPr>
          <w:rFonts w:ascii="Arial" w:eastAsia="Calibri" w:hAnsi="Arial" w:cs="Arial"/>
          <w:b/>
          <w:sz w:val="20"/>
          <w:szCs w:val="20"/>
          <w:lang w:val="fr-FR" w:eastAsia="fr-FR"/>
        </w:rPr>
        <w:t>production artisanale</w:t>
      </w:r>
      <w:r w:rsidRPr="00514D53">
        <w:rPr>
          <w:rFonts w:ascii="Arial" w:eastAsia="Calibri" w:hAnsi="Arial" w:cs="Arial"/>
          <w:sz w:val="20"/>
          <w:szCs w:val="20"/>
          <w:lang w:val="fr-FR" w:eastAsia="fr-FR"/>
        </w:rPr>
        <w:t>, devenant de plus en plus semi-industrielle, essentiellement informelle, concerne plus de 350 sites, localisés dans l’ouest et le sud du Mali. Depuis la crise de 2012, l’exploitation aurifère attire un nombre croissant de personnes de toutes les régions du Mali et des pays de la sous-région (Burkina Faso, Côte d’Ivoire, Guinée, Sénégal). Le secteur artisanal concerne plus de 200.000 travailleurs adultes et entre 20.000 et 40.000 enfants (Human Rights Watch, 2011) et produit annuellement 6 tonnes d’or (CPS-Mines Energie, 2018). La plupart des sites aurifères se situe hors des couloirs légaux d’orpaillage et parfois à l’intérieur de forêts classées ou sur des titres miniers (existence de conflits entre les orpailleurs et les détenteurs de titres miniers dans le cercle de Kangada selon KEITA</w:t>
      </w:r>
      <w:r w:rsidR="00927D73" w:rsidRPr="00514D53">
        <w:rPr>
          <w:rFonts w:ascii="Arial" w:eastAsia="Calibri" w:hAnsi="Arial" w:cs="Arial"/>
          <w:sz w:val="20"/>
          <w:szCs w:val="20"/>
          <w:lang w:val="fr-FR" w:eastAsia="fr-FR"/>
        </w:rPr>
        <w:t>,</w:t>
      </w:r>
      <w:r w:rsidRPr="00514D53">
        <w:rPr>
          <w:rFonts w:ascii="Arial" w:eastAsia="Calibri" w:hAnsi="Arial" w:cs="Arial"/>
          <w:sz w:val="20"/>
          <w:szCs w:val="20"/>
          <w:lang w:val="fr-FR" w:eastAsia="fr-FR"/>
        </w:rPr>
        <w:t xml:space="preserve"> 2017). A ceci s’ajoute l’activité semi-industrielle de dragage par pompe aspirante ou par godets, sans permis environnemental ou sans autorisation fournie par le service des mines alors qu’une drague à godets ramasse et rejette dans l’eau en moyenne 75 tonnes de graviers et de blocs rocheux en une tournée circulaire </w:t>
      </w:r>
      <w:r w:rsidR="00514D53">
        <w:rPr>
          <w:rFonts w:ascii="Arial" w:eastAsia="Calibri" w:hAnsi="Arial" w:cs="Arial"/>
          <w:sz w:val="20"/>
          <w:szCs w:val="20"/>
          <w:lang w:val="fr-FR" w:eastAsia="fr-FR"/>
        </w:rPr>
        <w:t>durant 20 minutes (MEADD, 2017).</w:t>
      </w:r>
    </w:p>
    <w:p w14:paraId="6BD962E6" w14:textId="77777777" w:rsidR="00802BA9" w:rsidRPr="00514D53" w:rsidRDefault="00802BA9" w:rsidP="00514D53">
      <w:pPr>
        <w:spacing w:before="120" w:after="120" w:line="240" w:lineRule="auto"/>
        <w:rPr>
          <w:rFonts w:ascii="Arial" w:eastAsia="Calibri" w:hAnsi="Arial" w:cs="Arial"/>
          <w:sz w:val="20"/>
          <w:szCs w:val="20"/>
          <w:lang w:val="fr-FR" w:eastAsia="fr-FR"/>
        </w:rPr>
      </w:pPr>
      <w:r w:rsidRPr="00514D53">
        <w:rPr>
          <w:rFonts w:ascii="Arial" w:eastAsia="Calibri" w:hAnsi="Arial" w:cs="Arial"/>
          <w:sz w:val="20"/>
          <w:szCs w:val="20"/>
          <w:lang w:val="fr-FR" w:eastAsia="fr-FR"/>
        </w:rPr>
        <w:t>L’orpaillage artisanal devient de plus en plus incontrôlé, hors de contrôle des services chargés du suivi environnemental, sauf à constater les agressions causées à l’environnement et l’arrêté ministériel de 2014 interdisant l’orpaillage durant l’hivernage n’est pas respecté</w:t>
      </w:r>
      <w:r w:rsidRPr="00514D53">
        <w:rPr>
          <w:rStyle w:val="Appelnotedebasdep"/>
          <w:rFonts w:ascii="Arial" w:eastAsia="Calibri" w:hAnsi="Arial" w:cs="Arial"/>
          <w:sz w:val="20"/>
          <w:szCs w:val="20"/>
          <w:lang w:val="fr-FR" w:eastAsia="fr-FR"/>
        </w:rPr>
        <w:footnoteReference w:id="25"/>
      </w:r>
      <w:r w:rsidRPr="00514D53">
        <w:rPr>
          <w:rFonts w:ascii="Arial" w:eastAsia="Calibri" w:hAnsi="Arial" w:cs="Arial"/>
          <w:sz w:val="20"/>
          <w:szCs w:val="20"/>
          <w:lang w:val="fr-FR" w:eastAsia="fr-FR"/>
        </w:rPr>
        <w:t>. Aujourd’hui, il est unanimement établi que l’orpaillage est à l’origine d’impacts sur i) les ressources forestières (coupes d’arbres pour de nombreuses utilisations), ii) le sol (les nombreux puits creusés et abandonnés soumettent le sol au ravinement et à des processus d’érosion intensive, aboutissant à une destruction totale du sol superficiel</w:t>
      </w:r>
      <w:r w:rsidRPr="00514D53">
        <w:rPr>
          <w:rStyle w:val="Appelnotedebasdep"/>
          <w:rFonts w:ascii="Arial" w:eastAsia="Calibri" w:hAnsi="Arial" w:cs="Arial"/>
          <w:sz w:val="20"/>
          <w:szCs w:val="20"/>
          <w:lang w:val="fr-FR" w:eastAsia="fr-FR"/>
        </w:rPr>
        <w:footnoteReference w:id="26"/>
      </w:r>
      <w:r w:rsidRPr="00514D53">
        <w:rPr>
          <w:rFonts w:ascii="Arial" w:eastAsia="Calibri" w:hAnsi="Arial" w:cs="Arial"/>
          <w:sz w:val="20"/>
          <w:szCs w:val="20"/>
          <w:lang w:val="fr-FR" w:eastAsia="fr-FR"/>
        </w:rPr>
        <w:t>, iii) les ressources en eau (dispersion du mercure et du cyanure dans les eaux</w:t>
      </w:r>
      <w:r w:rsidRPr="00514D53">
        <w:rPr>
          <w:rStyle w:val="Appelnotedebasdep"/>
          <w:rFonts w:ascii="Arial" w:eastAsia="Calibri" w:hAnsi="Arial" w:cs="Arial"/>
          <w:sz w:val="20"/>
          <w:szCs w:val="20"/>
          <w:lang w:val="fr-FR" w:eastAsia="fr-FR"/>
        </w:rPr>
        <w:footnoteReference w:id="27"/>
      </w:r>
      <w:r w:rsidRPr="00514D53">
        <w:rPr>
          <w:rFonts w:ascii="Arial" w:eastAsia="Calibri" w:hAnsi="Arial" w:cs="Arial"/>
          <w:sz w:val="20"/>
          <w:szCs w:val="20"/>
          <w:lang w:val="fr-FR" w:eastAsia="fr-FR"/>
        </w:rPr>
        <w:t>, déversement des huiles de vidange des moteurs, augmentation des valeurs de turbidités et du taux de matière en suspension</w:t>
      </w:r>
      <w:r w:rsidRPr="00514D53">
        <w:rPr>
          <w:rStyle w:val="Appelnotedebasdep"/>
          <w:rFonts w:ascii="Arial" w:eastAsia="Calibri" w:hAnsi="Arial" w:cs="Arial"/>
          <w:sz w:val="20"/>
          <w:szCs w:val="20"/>
          <w:lang w:val="fr-FR" w:eastAsia="fr-FR"/>
        </w:rPr>
        <w:footnoteReference w:id="28"/>
      </w:r>
      <w:r w:rsidRPr="00514D53">
        <w:rPr>
          <w:rFonts w:ascii="Arial" w:eastAsia="Calibri" w:hAnsi="Arial" w:cs="Arial"/>
          <w:sz w:val="20"/>
          <w:szCs w:val="20"/>
          <w:lang w:val="fr-FR" w:eastAsia="fr-FR"/>
        </w:rPr>
        <w:t xml:space="preserve">, diminution du taux d’oxygène dans l’eau, modification de la lithologie avec destruction des lits mineurs des cours d’eau lors des dragages et dégradation des berges due au batillage des dragues), iv) les ressources fauniques (fuite des animaux, tels les élans de Derby, face au bruit, destruction des frayères). </w:t>
      </w:r>
    </w:p>
    <w:p w14:paraId="0DB407F2" w14:textId="77777777" w:rsidR="00802BA9" w:rsidRPr="00514D53" w:rsidRDefault="00802BA9" w:rsidP="00514D53">
      <w:pPr>
        <w:spacing w:before="120" w:after="120" w:line="240" w:lineRule="auto"/>
        <w:rPr>
          <w:rFonts w:ascii="Arial" w:eastAsia="Calibri" w:hAnsi="Arial" w:cs="Arial"/>
          <w:sz w:val="20"/>
          <w:szCs w:val="20"/>
          <w:lang w:val="fr-FR" w:eastAsia="fr-FR"/>
        </w:rPr>
      </w:pPr>
      <w:r w:rsidRPr="00514D53">
        <w:rPr>
          <w:rFonts w:ascii="Arial" w:eastAsia="Calibri" w:hAnsi="Arial" w:cs="Arial"/>
          <w:sz w:val="20"/>
          <w:szCs w:val="20"/>
          <w:lang w:val="fr-FR" w:eastAsia="fr-FR"/>
        </w:rPr>
        <w:t>Sur le plan environnemental, « </w:t>
      </w:r>
      <w:r w:rsidRPr="00514D53">
        <w:rPr>
          <w:rFonts w:ascii="Arial" w:eastAsia="Calibri" w:hAnsi="Arial" w:cs="Arial"/>
          <w:i/>
          <w:sz w:val="20"/>
          <w:szCs w:val="20"/>
          <w:lang w:val="fr-FR" w:eastAsia="fr-FR"/>
        </w:rPr>
        <w:t>les impacts de l’orpaillage terrestre sur l’écosystème sont tels que l’on craint désormais une dégradation irréversible des différentes ressources et du cadre de l’habitat des populations</w:t>
      </w:r>
      <w:r w:rsidRPr="00514D53">
        <w:rPr>
          <w:rFonts w:ascii="Arial" w:eastAsia="Calibri" w:hAnsi="Arial" w:cs="Arial"/>
          <w:sz w:val="20"/>
          <w:szCs w:val="20"/>
          <w:lang w:val="fr-FR" w:eastAsia="fr-FR"/>
        </w:rPr>
        <w:t>. » (KEITA, 2017). De même, « </w:t>
      </w:r>
      <w:r w:rsidRPr="00514D53">
        <w:rPr>
          <w:rFonts w:ascii="Arial" w:eastAsia="Calibri" w:hAnsi="Arial" w:cs="Arial"/>
          <w:i/>
          <w:sz w:val="20"/>
          <w:szCs w:val="20"/>
          <w:lang w:val="fr-FR" w:eastAsia="fr-FR"/>
        </w:rPr>
        <w:t>la dégradation du fleuve Niger et celui du Baoulé a atteint son seuil limite de tolérance </w:t>
      </w:r>
      <w:r w:rsidRPr="00514D53">
        <w:rPr>
          <w:rFonts w:ascii="Arial" w:eastAsia="Calibri" w:hAnsi="Arial" w:cs="Arial"/>
          <w:sz w:val="20"/>
          <w:szCs w:val="20"/>
          <w:lang w:val="fr-FR" w:eastAsia="fr-FR"/>
        </w:rPr>
        <w:t xml:space="preserve">» (MEADD, 2017). En outre, cette exploitation incontrôlée contribue à la destruction de l’économie </w:t>
      </w:r>
      <w:r w:rsidRPr="00514D53">
        <w:rPr>
          <w:rFonts w:ascii="Arial" w:eastAsia="Calibri" w:hAnsi="Arial" w:cs="Arial"/>
          <w:sz w:val="20"/>
          <w:szCs w:val="20"/>
          <w:lang w:val="fr-FR" w:eastAsia="fr-FR"/>
        </w:rPr>
        <w:lastRenderedPageBreak/>
        <w:t>agricole (faible main d’œuvre durant la campagne agricole, obstruction des réseaux d’irrigation des périmètres irrigués suite au dragage des cours d’eau) et du tissu social, au renforcement des inégalités et des violences (camps sauvages d’orpaillage sans infrastructures d’eau et d’assainissement, violence sur les femmes, travail des enfants, criminalité), à la pollution des eaux, des sols et de l’air.</w:t>
      </w:r>
    </w:p>
    <w:p w14:paraId="4EA18217" w14:textId="77777777" w:rsidR="00802BA9" w:rsidRDefault="00802BA9" w:rsidP="00514D53">
      <w:pPr>
        <w:spacing w:before="120" w:after="120" w:line="240" w:lineRule="auto"/>
        <w:rPr>
          <w:rFonts w:ascii="Arial" w:eastAsia="Calibri" w:hAnsi="Arial" w:cs="Arial"/>
          <w:sz w:val="20"/>
          <w:szCs w:val="20"/>
          <w:lang w:val="fr-FR" w:eastAsia="fr-FR"/>
        </w:rPr>
      </w:pPr>
      <w:r w:rsidRPr="00514D53">
        <w:rPr>
          <w:rFonts w:ascii="Arial" w:eastAsia="Calibri" w:hAnsi="Arial" w:cs="Arial"/>
          <w:sz w:val="20"/>
          <w:szCs w:val="20"/>
          <w:lang w:val="fr-FR" w:eastAsia="fr-FR"/>
        </w:rPr>
        <w:t>A court terme, afin de limiter les impacts environnementaux et sociaux, il est important de formaliser l’activité à travers la détermination de couloirs d’orpaillage, l’organisation des exploitants dans des associations ou des coopératives, le renforcement du rôle des élus. La politique sur l’exploitation artisanale doit être intégrée à une politique minière nationale fondée sur une vision de durabilité à long terme.</w:t>
      </w:r>
    </w:p>
    <w:p w14:paraId="25088885" w14:textId="77777777" w:rsidR="00514D53" w:rsidRPr="00514D53" w:rsidRDefault="00514D53" w:rsidP="00514D53">
      <w:pPr>
        <w:spacing w:before="120" w:after="120" w:line="240" w:lineRule="auto"/>
        <w:rPr>
          <w:rFonts w:ascii="Arial" w:eastAsia="Calibri" w:hAnsi="Arial" w:cs="Arial"/>
          <w:sz w:val="20"/>
          <w:szCs w:val="20"/>
          <w:lang w:val="fr-FR" w:eastAsia="fr-FR"/>
        </w:rPr>
      </w:pPr>
    </w:p>
    <w:p w14:paraId="536A19D3" w14:textId="77777777" w:rsidR="00802BA9" w:rsidRPr="00514D53" w:rsidRDefault="00802BA9" w:rsidP="00525222">
      <w:pPr>
        <w:pStyle w:val="Titre3"/>
      </w:pPr>
      <w:bookmarkStart w:id="22" w:name="_Toc20505625"/>
      <w:r w:rsidRPr="00514D53">
        <w:t>2.2.6 Approvisionnement énergétique et utilisation de l’énergie</w:t>
      </w:r>
      <w:bookmarkEnd w:id="22"/>
    </w:p>
    <w:p w14:paraId="286DA6BE" w14:textId="77777777" w:rsidR="00802BA9" w:rsidRPr="00514D53" w:rsidRDefault="00802BA9" w:rsidP="00514D53">
      <w:pPr>
        <w:widowControl w:val="0"/>
        <w:autoSpaceDE w:val="0"/>
        <w:autoSpaceDN w:val="0"/>
        <w:adjustRightInd w:val="0"/>
        <w:spacing w:before="120" w:after="120" w:line="240" w:lineRule="auto"/>
        <w:textAlignment w:val="baseline"/>
        <w:rPr>
          <w:rFonts w:ascii="Arial" w:eastAsia="SimSun" w:hAnsi="Arial" w:cs="Arial"/>
          <w:sz w:val="20"/>
          <w:szCs w:val="20"/>
          <w:lang w:val="fr-FR" w:eastAsia="zh-CN"/>
        </w:rPr>
      </w:pPr>
      <w:r w:rsidRPr="00514D53">
        <w:rPr>
          <w:rFonts w:ascii="Arial" w:eastAsia="SimSun" w:hAnsi="Arial" w:cs="Arial"/>
          <w:sz w:val="20"/>
          <w:szCs w:val="20"/>
          <w:lang w:val="fr-FR" w:eastAsia="zh-CN"/>
        </w:rPr>
        <w:t xml:space="preserve">La </w:t>
      </w:r>
      <w:r w:rsidRPr="00514D53">
        <w:rPr>
          <w:rFonts w:ascii="Arial" w:eastAsia="SimSun" w:hAnsi="Arial" w:cs="Arial"/>
          <w:b/>
          <w:sz w:val="20"/>
          <w:szCs w:val="20"/>
          <w:lang w:val="fr-FR" w:eastAsia="zh-CN"/>
        </w:rPr>
        <w:t>consommation totale d’énergie</w:t>
      </w:r>
      <w:r w:rsidRPr="00514D53">
        <w:rPr>
          <w:rFonts w:ascii="Arial" w:eastAsia="SimSun" w:hAnsi="Arial" w:cs="Arial"/>
          <w:sz w:val="20"/>
          <w:szCs w:val="20"/>
          <w:lang w:val="fr-FR" w:eastAsia="zh-CN"/>
        </w:rPr>
        <w:t xml:space="preserve"> a augmenté de 3.167 ktep (millier de tonnes équivalent pétrole) e</w:t>
      </w:r>
      <w:r w:rsidR="00927D73" w:rsidRPr="00514D53">
        <w:rPr>
          <w:rFonts w:ascii="Arial" w:eastAsia="SimSun" w:hAnsi="Arial" w:cs="Arial"/>
          <w:sz w:val="20"/>
          <w:szCs w:val="20"/>
          <w:lang w:val="fr-FR" w:eastAsia="zh-CN"/>
        </w:rPr>
        <w:t>n 2012 à 5.915 ktep en 2016 (AEDD</w:t>
      </w:r>
      <w:r w:rsidRPr="00514D53">
        <w:rPr>
          <w:rFonts w:ascii="Arial" w:eastAsia="SimSun" w:hAnsi="Arial" w:cs="Arial"/>
          <w:sz w:val="20"/>
          <w:szCs w:val="20"/>
          <w:lang w:val="fr-FR" w:eastAsia="zh-CN"/>
        </w:rPr>
        <w:t>, 2018). 2014, la biomasse représente 76 % (74,4 % en 2012) de la consommation totale d’énergie suivie par les produits pétroliers 20 % (21,5% en 2012) et les énergies renouvelables 4</w:t>
      </w:r>
      <w:r w:rsidRPr="008E7F14">
        <w:rPr>
          <w:rFonts w:ascii="Arial" w:eastAsia="SimSun" w:hAnsi="Arial" w:cs="Arial"/>
          <w:sz w:val="20"/>
          <w:szCs w:val="20"/>
          <w:lang w:val="fr-FR" w:eastAsia="zh-CN"/>
        </w:rPr>
        <w:t>% (</w:t>
      </w:r>
      <w:r w:rsidR="00BD015F" w:rsidRPr="008E7F14">
        <w:rPr>
          <w:rFonts w:ascii="Arial" w:eastAsia="SimSun" w:hAnsi="Arial" w:cs="Arial"/>
          <w:sz w:val="20"/>
          <w:szCs w:val="20"/>
          <w:lang w:val="fr-FR" w:eastAsia="zh-CN"/>
        </w:rPr>
        <w:t>&gt;</w:t>
      </w:r>
      <w:r w:rsidRPr="008E7F14">
        <w:rPr>
          <w:rFonts w:ascii="Arial" w:eastAsia="SimSun" w:hAnsi="Arial" w:cs="Arial"/>
          <w:sz w:val="20"/>
          <w:szCs w:val="20"/>
          <w:lang w:val="fr-FR" w:eastAsia="zh-CN"/>
        </w:rPr>
        <w:t>1 % en 2012). Les secteurs consommateurs d’énergie sont le secteur résidentiel 72% (69,2 % en 2012), les transports 13% (20,4 % en 2012) et l’industrie 6% (2,4 % en 2012) ; les autres secteurs (primaire, tertiaire) représentant 9 % (8 % en 2012) avec moins de 1 % pour l’agriculture. Les hydrocarbures (pétrole, gaz) sont importés à 100 % et représentent 26 % des importations du pays (BM, 2017). La facture énergétique est estimée en 2014 à 444 Milliards de FCFA, dont 73 % pour les produits pétroliers importés (PNE, 2018). La consommation totale s’est accrue de 53,5 % entre 2012 et 2016 avec une progression annuelle moyenne de plus de 10 % alors que la croissance démographique annuelle moyenne est de 3,6 %. Les évolutions très récentes indiquent une augmentation inquiétante, au regard de l’environnement, de la biomasse (surtout du bois)</w:t>
      </w:r>
      <w:r w:rsidR="00BD015F" w:rsidRPr="008E7F14">
        <w:rPr>
          <w:rFonts w:ascii="Arial" w:eastAsia="SimSun" w:hAnsi="Arial" w:cs="Arial"/>
          <w:sz w:val="20"/>
          <w:szCs w:val="20"/>
          <w:lang w:val="fr-FR" w:eastAsia="zh-CN"/>
        </w:rPr>
        <w:t xml:space="preserve"> avec le retour des PME au bois (§ 2</w:t>
      </w:r>
      <w:r w:rsidR="00A92A4F" w:rsidRPr="008E7F14">
        <w:rPr>
          <w:rFonts w:ascii="Arial" w:eastAsia="SimSun" w:hAnsi="Arial" w:cs="Arial"/>
          <w:sz w:val="20"/>
          <w:szCs w:val="20"/>
          <w:lang w:val="fr-FR" w:eastAsia="zh-CN"/>
        </w:rPr>
        <w:t>.2.4)</w:t>
      </w:r>
      <w:r w:rsidRPr="008E7F14">
        <w:rPr>
          <w:rFonts w:ascii="Arial" w:eastAsia="SimSun" w:hAnsi="Arial" w:cs="Arial"/>
          <w:sz w:val="20"/>
          <w:szCs w:val="20"/>
          <w:lang w:val="fr-FR" w:eastAsia="zh-CN"/>
        </w:rPr>
        <w:t xml:space="preserve">. </w:t>
      </w:r>
      <w:r w:rsidRPr="00514D53">
        <w:rPr>
          <w:rFonts w:ascii="Arial" w:eastAsia="SimSun" w:hAnsi="Arial" w:cs="Arial"/>
          <w:sz w:val="20"/>
          <w:szCs w:val="20"/>
          <w:lang w:val="fr-FR" w:eastAsia="zh-CN"/>
        </w:rPr>
        <w:t>Les produits pétroliers ont aussi augmenté significativement passant de 574 ktep e</w:t>
      </w:r>
      <w:r w:rsidR="00927D73" w:rsidRPr="00514D53">
        <w:rPr>
          <w:rFonts w:ascii="Arial" w:eastAsia="SimSun" w:hAnsi="Arial" w:cs="Arial"/>
          <w:sz w:val="20"/>
          <w:szCs w:val="20"/>
          <w:lang w:val="fr-FR" w:eastAsia="zh-CN"/>
        </w:rPr>
        <w:t>n 2014 à 1.423 ktep en 2016 (AEDD</w:t>
      </w:r>
      <w:r w:rsidRPr="00514D53">
        <w:rPr>
          <w:rFonts w:ascii="Arial" w:eastAsia="SimSun" w:hAnsi="Arial" w:cs="Arial"/>
          <w:sz w:val="20"/>
          <w:szCs w:val="20"/>
          <w:lang w:val="fr-FR" w:eastAsia="zh-CN"/>
        </w:rPr>
        <w:t>, 2018).</w:t>
      </w:r>
    </w:p>
    <w:p w14:paraId="11A2A0DE" w14:textId="77777777" w:rsidR="00802BA9" w:rsidRPr="00514D53" w:rsidRDefault="00802BA9" w:rsidP="00514D53">
      <w:pPr>
        <w:widowControl w:val="0"/>
        <w:autoSpaceDE w:val="0"/>
        <w:autoSpaceDN w:val="0"/>
        <w:adjustRightInd w:val="0"/>
        <w:spacing w:before="120" w:after="120" w:line="240" w:lineRule="auto"/>
        <w:textAlignment w:val="baseline"/>
        <w:rPr>
          <w:rFonts w:ascii="Arial" w:eastAsia="SimSun" w:hAnsi="Arial" w:cs="Arial"/>
          <w:sz w:val="20"/>
          <w:szCs w:val="20"/>
          <w:lang w:val="fr-FR" w:eastAsia="zh-CN"/>
        </w:rPr>
      </w:pPr>
      <w:r w:rsidRPr="00514D53">
        <w:rPr>
          <w:rFonts w:ascii="Arial" w:eastAsia="SimSun" w:hAnsi="Arial" w:cs="Arial"/>
          <w:sz w:val="20"/>
          <w:szCs w:val="20"/>
          <w:lang w:val="fr-FR" w:eastAsia="zh-CN"/>
        </w:rPr>
        <w:t xml:space="preserve">La </w:t>
      </w:r>
      <w:r w:rsidRPr="00514D53">
        <w:rPr>
          <w:rFonts w:ascii="Arial" w:eastAsia="SimSun" w:hAnsi="Arial" w:cs="Arial"/>
          <w:b/>
          <w:sz w:val="20"/>
          <w:szCs w:val="20"/>
          <w:lang w:val="fr-FR" w:eastAsia="zh-CN"/>
        </w:rPr>
        <w:t>consommation d’électricité</w:t>
      </w:r>
      <w:r w:rsidRPr="00514D53">
        <w:rPr>
          <w:rFonts w:ascii="Arial" w:eastAsia="SimSun" w:hAnsi="Arial" w:cs="Arial"/>
          <w:sz w:val="20"/>
          <w:szCs w:val="20"/>
          <w:lang w:val="fr-FR" w:eastAsia="zh-CN"/>
        </w:rPr>
        <w:t xml:space="preserve"> est passé de 128 ktep en 2012 à 264 ktep en 2016, soit un doublement en 4 ans ; augmentation liée à l’amélioration de l’électrification par les mini réseaux isolés. Le taux d’accès à l’électricité en 2017 est de 94 % en milieu urbain contre 18,3 % en milieu rural (PNE, 2018). La production nationale de l’EDM-SA, le plus grand producteur national, augmente depuis 2009 en moyenne de 10 % / an avec une tendance significative vers la production d’électricité thermique, énergie plus polluante que l’hydroélectricité et non renouvelable. L’apport de l’hydroélectricité dans le mix énergétique s’est fortement amoindri passant de 81 % en 2004 à 46,6 % en 2016 (draft PNE 2018)</w:t>
      </w:r>
      <w:r w:rsidR="00F324AD">
        <w:rPr>
          <w:rFonts w:ascii="Arial" w:eastAsia="SimSun" w:hAnsi="Arial" w:cs="Arial"/>
          <w:sz w:val="20"/>
          <w:szCs w:val="20"/>
          <w:lang w:val="fr-FR" w:eastAsia="zh-CN"/>
        </w:rPr>
        <w:t xml:space="preserve"> et il est caractérisé par des multiples pannes et disfonctionnements des centrales</w:t>
      </w:r>
      <w:r w:rsidRPr="00514D53">
        <w:rPr>
          <w:rFonts w:ascii="Arial" w:eastAsia="SimSun" w:hAnsi="Arial" w:cs="Arial"/>
          <w:sz w:val="20"/>
          <w:szCs w:val="20"/>
          <w:lang w:val="fr-FR" w:eastAsia="zh-CN"/>
        </w:rPr>
        <w:t xml:space="preserve">. </w:t>
      </w:r>
    </w:p>
    <w:p w14:paraId="27020FF5" w14:textId="77777777" w:rsidR="00802BA9" w:rsidRPr="00514D53" w:rsidRDefault="00802BA9" w:rsidP="00514D53">
      <w:pPr>
        <w:widowControl w:val="0"/>
        <w:autoSpaceDE w:val="0"/>
        <w:autoSpaceDN w:val="0"/>
        <w:adjustRightInd w:val="0"/>
        <w:spacing w:before="120" w:after="120" w:line="240" w:lineRule="auto"/>
        <w:textAlignment w:val="baseline"/>
        <w:rPr>
          <w:rFonts w:ascii="Arial" w:eastAsia="SimSun" w:hAnsi="Arial" w:cs="Arial"/>
          <w:sz w:val="20"/>
          <w:szCs w:val="20"/>
          <w:lang w:val="fr-FR" w:eastAsia="zh-CN"/>
        </w:rPr>
      </w:pPr>
      <w:r w:rsidRPr="00514D53">
        <w:rPr>
          <w:rFonts w:ascii="Arial" w:eastAsia="SimSun" w:hAnsi="Arial" w:cs="Arial"/>
          <w:sz w:val="20"/>
          <w:szCs w:val="20"/>
          <w:lang w:val="fr-FR" w:eastAsia="zh-CN"/>
        </w:rPr>
        <w:t xml:space="preserve">Malgré une production d’électricité en nette augmentation, le pays doit importer de l’électricité depuis la Côte d’Ivoire (242 </w:t>
      </w:r>
      <w:r w:rsidR="00992B0F" w:rsidRPr="00514D53">
        <w:rPr>
          <w:rFonts w:ascii="Arial" w:eastAsia="SimSun" w:hAnsi="Arial" w:cs="Arial"/>
          <w:sz w:val="20"/>
          <w:szCs w:val="20"/>
          <w:lang w:val="fr-FR" w:eastAsia="zh-CN"/>
        </w:rPr>
        <w:t>GWh</w:t>
      </w:r>
      <w:r w:rsidRPr="00514D53">
        <w:rPr>
          <w:rFonts w:ascii="Arial" w:eastAsia="SimSun" w:hAnsi="Arial" w:cs="Arial"/>
          <w:sz w:val="20"/>
          <w:szCs w:val="20"/>
          <w:lang w:val="fr-FR" w:eastAsia="zh-CN"/>
        </w:rPr>
        <w:t xml:space="preserve"> en 2015 suite à la mise en service de la ligne 225 kV Ferkéssédougou-Sikasso en 2012) et faire appel à des centrales de location (225 GWh en 2015). Au final, les importations dépassent la plus grande unité de production nationale Manantali (415 </w:t>
      </w:r>
      <w:r w:rsidR="00992B0F" w:rsidRPr="00514D53">
        <w:rPr>
          <w:rFonts w:ascii="Arial" w:eastAsia="SimSun" w:hAnsi="Arial" w:cs="Arial"/>
          <w:sz w:val="20"/>
          <w:szCs w:val="20"/>
          <w:lang w:val="fr-FR" w:eastAsia="zh-CN"/>
        </w:rPr>
        <w:t>GWh</w:t>
      </w:r>
      <w:r w:rsidRPr="00514D53">
        <w:rPr>
          <w:rFonts w:ascii="Arial" w:eastAsia="SimSun" w:hAnsi="Arial" w:cs="Arial"/>
          <w:sz w:val="20"/>
          <w:szCs w:val="20"/>
          <w:lang w:val="fr-FR" w:eastAsia="zh-CN"/>
        </w:rPr>
        <w:t xml:space="preserve"> en 2015). </w:t>
      </w:r>
      <w:r w:rsidRPr="00514D53">
        <w:rPr>
          <w:rFonts w:ascii="Arial" w:eastAsiaTheme="minorHAnsi" w:hAnsi="Arial" w:cs="Arial"/>
          <w:sz w:val="20"/>
          <w:szCs w:val="20"/>
          <w:lang w:val="fr-FR"/>
        </w:rPr>
        <w:t xml:space="preserve"> </w:t>
      </w:r>
    </w:p>
    <w:p w14:paraId="152B0365" w14:textId="77777777" w:rsidR="00802BA9" w:rsidRPr="00514D53" w:rsidRDefault="00802BA9" w:rsidP="00514D53">
      <w:pPr>
        <w:widowControl w:val="0"/>
        <w:autoSpaceDE w:val="0"/>
        <w:autoSpaceDN w:val="0"/>
        <w:adjustRightInd w:val="0"/>
        <w:spacing w:before="120" w:after="120" w:line="240" w:lineRule="auto"/>
        <w:textAlignment w:val="baseline"/>
        <w:rPr>
          <w:rFonts w:ascii="Arial" w:eastAsia="SimSun" w:hAnsi="Arial" w:cs="Arial"/>
          <w:sz w:val="20"/>
          <w:szCs w:val="20"/>
          <w:lang w:val="fr-FR" w:eastAsia="zh-CN"/>
        </w:rPr>
      </w:pPr>
      <w:r w:rsidRPr="00514D53">
        <w:rPr>
          <w:rFonts w:ascii="Arial" w:eastAsia="SimSun" w:hAnsi="Arial" w:cs="Arial"/>
          <w:b/>
          <w:sz w:val="20"/>
          <w:szCs w:val="20"/>
          <w:lang w:val="fr-FR" w:eastAsia="zh-CN"/>
        </w:rPr>
        <w:t>Substitution et énergies renouvelables</w:t>
      </w:r>
      <w:r w:rsidRPr="00514D53">
        <w:rPr>
          <w:rFonts w:ascii="Arial" w:eastAsia="SimSun" w:hAnsi="Arial" w:cs="Arial"/>
          <w:sz w:val="20"/>
          <w:szCs w:val="20"/>
          <w:lang w:val="fr-FR" w:eastAsia="zh-CN"/>
        </w:rPr>
        <w:t> : Après avoir chuté à 9.450 tonnes en 2012, essentiellement du fait de la réduction des subventions et l’effet de la crise, la consommation nationale de gaz butane est remonté</w:t>
      </w:r>
      <w:r w:rsidR="00BB1D74" w:rsidRPr="00514D53">
        <w:rPr>
          <w:rFonts w:ascii="Arial" w:eastAsia="SimSun" w:hAnsi="Arial" w:cs="Arial"/>
          <w:sz w:val="20"/>
          <w:szCs w:val="20"/>
          <w:lang w:val="fr-FR" w:eastAsia="zh-CN"/>
        </w:rPr>
        <w:t>e</w:t>
      </w:r>
      <w:r w:rsidRPr="00514D53">
        <w:rPr>
          <w:rFonts w:ascii="Arial" w:eastAsia="SimSun" w:hAnsi="Arial" w:cs="Arial"/>
          <w:sz w:val="20"/>
          <w:szCs w:val="20"/>
          <w:lang w:val="fr-FR" w:eastAsia="zh-CN"/>
        </w:rPr>
        <w:t xml:space="preserve"> pour atteindre 18.263,3 tonnes en 2017 (CREDD, 6/2018).  Malgré des efforts en cours, les énergies de substitution autres que le gaz (tourbe, lignite, biocarburant) sont encore peu développées pour avoir un impact significatif sur le bilan énergétique. Les réalisations photovoltaïques ont évolué vers une diffusion massive de kits photovoltaïques au niveau des infrastructures communautaires (écoles, centres de santé, etc. notamment en milieu rural) et le développement des centrales hybrides (solaires et diesel). De 2015 à 2017, il a été installé 3.127 équipements solaires photovoltaïques et 29 centrales hybrides (programme SHER) d’une capacité de 1.408,41 kW (solaire) et de 510 kW (thermique) (DNE, 2017). Le développement des biocarburants est en hausse avec une production d’huile de 818.630 litres en 2017 (CREDD, 6/2018). Au niveau du bilan énergétique, la part des énergies renouvelables est passé</w:t>
      </w:r>
      <w:r w:rsidR="00BB1D74" w:rsidRPr="00514D53">
        <w:rPr>
          <w:rFonts w:ascii="Arial" w:eastAsia="SimSun" w:hAnsi="Arial" w:cs="Arial"/>
          <w:sz w:val="20"/>
          <w:szCs w:val="20"/>
          <w:lang w:val="fr-FR" w:eastAsia="zh-CN"/>
        </w:rPr>
        <w:t>e</w:t>
      </w:r>
      <w:r w:rsidRPr="00514D53">
        <w:rPr>
          <w:rFonts w:ascii="Arial" w:eastAsia="SimSun" w:hAnsi="Arial" w:cs="Arial"/>
          <w:sz w:val="20"/>
          <w:szCs w:val="20"/>
          <w:lang w:val="fr-FR" w:eastAsia="zh-CN"/>
        </w:rPr>
        <w:t xml:space="preserve"> de moins de 1 % en 2012 à environ 4 % en 2017. Malgré des progrès, la production reste peu significative et les biocarburants peu compétitifs. Des projets PV à grande échelle sont en cours de développement pour une puissance cumulée de 240 MW (draft PNE, 2018). Néanmoins les grands investissements restent, depuis plusieurs années, au stade de projets.</w:t>
      </w:r>
      <w:r w:rsidRPr="00514D53">
        <w:rPr>
          <w:rFonts w:ascii="Arial" w:hAnsi="Arial" w:cs="Arial"/>
          <w:sz w:val="20"/>
          <w:szCs w:val="20"/>
          <w:lang w:val="fr-FR"/>
        </w:rPr>
        <w:t xml:space="preserve"> </w:t>
      </w:r>
      <w:r w:rsidRPr="00514D53">
        <w:rPr>
          <w:rFonts w:ascii="Arial" w:eastAsia="SimSun" w:hAnsi="Arial" w:cs="Arial"/>
          <w:sz w:val="20"/>
          <w:szCs w:val="20"/>
          <w:lang w:val="fr-FR" w:eastAsia="zh-CN"/>
        </w:rPr>
        <w:t xml:space="preserve">Le développement de l’éolien est encore embryonnaire au Mali.  </w:t>
      </w:r>
    </w:p>
    <w:p w14:paraId="2E2E07EB" w14:textId="77777777" w:rsidR="00802BA9" w:rsidRDefault="00802BA9" w:rsidP="00514D53">
      <w:pPr>
        <w:widowControl w:val="0"/>
        <w:autoSpaceDE w:val="0"/>
        <w:autoSpaceDN w:val="0"/>
        <w:adjustRightInd w:val="0"/>
        <w:spacing w:before="120" w:after="120" w:line="240" w:lineRule="auto"/>
        <w:textAlignment w:val="baseline"/>
        <w:rPr>
          <w:rFonts w:ascii="Arial" w:eastAsia="SimSun" w:hAnsi="Arial" w:cs="Arial"/>
          <w:sz w:val="20"/>
          <w:szCs w:val="20"/>
          <w:lang w:val="fr-FR" w:eastAsia="zh-CN"/>
        </w:rPr>
      </w:pPr>
      <w:r w:rsidRPr="00514D53">
        <w:rPr>
          <w:rFonts w:ascii="Arial" w:eastAsia="SimSun" w:hAnsi="Arial" w:cs="Arial"/>
          <w:sz w:val="20"/>
          <w:szCs w:val="20"/>
          <w:lang w:val="fr-FR" w:eastAsia="zh-CN"/>
        </w:rPr>
        <w:t xml:space="preserve">Le </w:t>
      </w:r>
      <w:r w:rsidRPr="00514D53">
        <w:rPr>
          <w:rFonts w:ascii="Arial" w:eastAsia="SimSun" w:hAnsi="Arial" w:cs="Arial"/>
          <w:b/>
          <w:sz w:val="20"/>
          <w:szCs w:val="20"/>
          <w:lang w:val="fr-FR" w:eastAsia="zh-CN"/>
        </w:rPr>
        <w:t>secteur énergétique</w:t>
      </w:r>
      <w:r w:rsidRPr="00514D53">
        <w:rPr>
          <w:rFonts w:ascii="Arial" w:eastAsia="SimSun" w:hAnsi="Arial" w:cs="Arial"/>
          <w:sz w:val="20"/>
          <w:szCs w:val="20"/>
          <w:lang w:val="fr-FR" w:eastAsia="zh-CN"/>
        </w:rPr>
        <w:t xml:space="preserve"> reste caractérisé par une énergie domestique, dominée (et non-changée depuis 2012 malgré de multiples efforts) par des combustibles traditionnels d’origine forestière (bois – énergie 83,8 %, charbon de bois 12,8 %). Ces combustibles, utilisés pour la cuisson en milieux rural et urbain, représentent 96,6 % de la consommation finale énergétique du secteur résidentiel contre 0,5 % pour le gaz butane (consommé principalement en milieu urbain), 2,3 % pour l’électricité, 0,6 % pour le pétrole lampant (2014). Les exploitations forestières contrôlées à des fins énergétiques montrent, depuis 2014, une évolution significative vers le charbon du bois (7 kg de bois pour produire 1 kg de charbon du bois). Ceci pèse </w:t>
      </w:r>
      <w:r w:rsidRPr="00514D53">
        <w:rPr>
          <w:rFonts w:ascii="Arial" w:eastAsia="SimSun" w:hAnsi="Arial" w:cs="Arial"/>
          <w:sz w:val="20"/>
          <w:szCs w:val="20"/>
          <w:lang w:val="fr-FR" w:eastAsia="zh-CN"/>
        </w:rPr>
        <w:lastRenderedPageBreak/>
        <w:t xml:space="preserve">lourdement sur les ressources forestières du pays (§ </w:t>
      </w:r>
      <w:r w:rsidR="00BB1D74" w:rsidRPr="00514D53">
        <w:rPr>
          <w:rFonts w:ascii="Arial" w:eastAsia="SimSun" w:hAnsi="Arial" w:cs="Arial"/>
          <w:sz w:val="20"/>
          <w:szCs w:val="20"/>
          <w:lang w:val="fr-FR" w:eastAsia="zh-CN"/>
        </w:rPr>
        <w:t>2</w:t>
      </w:r>
      <w:r w:rsidRPr="00514D53">
        <w:rPr>
          <w:rFonts w:ascii="Arial" w:eastAsia="SimSun" w:hAnsi="Arial" w:cs="Arial"/>
          <w:sz w:val="20"/>
          <w:szCs w:val="20"/>
          <w:lang w:val="fr-FR" w:eastAsia="zh-CN"/>
        </w:rPr>
        <w:t>.2.4 exploitation forestière) ainsi que sur les émissions de GES. Entre 2007 et 2015, les émissions de GES dues à la production et à la consommation d’énergie ont évolué de 3.434 kTéq CO2 à 5.478 kTéq CO2 (MEADD, 2017), soit un accroissement de 62,7 % en 8 ans. Le secteur de l’énergie, incluant l’utilisation pour le transport, représente 94 % du total des émissions de GES du Mali en équivalent carbone (MEADD, 2017). Tous les efforts réalisés jusqu’ici n’ont pas eu encore d’impact sur la réduction de la demande en combustibles forestiers, ni sur le renouvellement durable de la ressource (protection, reboisement). La substitution des combustibles forestiers pour amoindrir les problèmes environnementaux, l’utilisation plus rationnelle de l’énergie pour protéger l’environnement, la redynamisation de la production de l’énergie hydroélectrique, l’amélioration des conditions de vie (surtout des femmes et enfants exposés aux émissions pendant la cuisson des repas) et le développement d’énergies renouvelables constituent les principaux enjeux énergétiques actuels et futurs du Mali, pas uniquement dans une perspective environnementale mais également au niveau de la santé publique  et macro-économique. Des projets ambitieux sont envisagés, mais la tendance jusqu’à aujourd’hui est plutôt inquiétante et un problème environnemental principal du Mali.</w:t>
      </w:r>
    </w:p>
    <w:p w14:paraId="36F28E20" w14:textId="77777777" w:rsidR="00514D53" w:rsidRPr="00514D53" w:rsidRDefault="00514D53" w:rsidP="00514D53">
      <w:pPr>
        <w:widowControl w:val="0"/>
        <w:autoSpaceDE w:val="0"/>
        <w:autoSpaceDN w:val="0"/>
        <w:adjustRightInd w:val="0"/>
        <w:spacing w:before="120" w:after="120" w:line="240" w:lineRule="auto"/>
        <w:textAlignment w:val="baseline"/>
        <w:rPr>
          <w:rFonts w:ascii="Arial" w:eastAsia="SimSun" w:hAnsi="Arial" w:cs="Arial"/>
          <w:sz w:val="20"/>
          <w:szCs w:val="20"/>
          <w:lang w:val="fr-FR" w:eastAsia="zh-CN"/>
        </w:rPr>
      </w:pPr>
    </w:p>
    <w:p w14:paraId="12432D9B" w14:textId="77777777" w:rsidR="00802BA9" w:rsidRPr="00514D53" w:rsidRDefault="00802BA9" w:rsidP="00525222">
      <w:pPr>
        <w:pStyle w:val="Titre3"/>
      </w:pPr>
      <w:bookmarkStart w:id="23" w:name="_Toc20505626"/>
      <w:r w:rsidRPr="00514D53">
        <w:t>2.2.7 Urbanisation, infrastructures et industries</w:t>
      </w:r>
      <w:bookmarkEnd w:id="23"/>
      <w:r w:rsidRPr="00514D53">
        <w:t xml:space="preserve"> </w:t>
      </w:r>
    </w:p>
    <w:p w14:paraId="36394DD4" w14:textId="77777777" w:rsidR="00802BA9" w:rsidRPr="00514D53" w:rsidRDefault="00802BA9" w:rsidP="00514D53">
      <w:pPr>
        <w:autoSpaceDE w:val="0"/>
        <w:autoSpaceDN w:val="0"/>
        <w:adjustRightInd w:val="0"/>
        <w:spacing w:before="120" w:after="120" w:line="240" w:lineRule="auto"/>
        <w:rPr>
          <w:rFonts w:ascii="Arial" w:hAnsi="Arial" w:cs="Arial"/>
          <w:sz w:val="20"/>
          <w:szCs w:val="20"/>
          <w:lang w:val="fr-FR"/>
        </w:rPr>
      </w:pPr>
      <w:r w:rsidRPr="00A70080">
        <w:rPr>
          <w:rFonts w:ascii="Arial" w:hAnsi="Arial" w:cs="Arial"/>
          <w:sz w:val="20"/>
          <w:szCs w:val="20"/>
          <w:lang w:val="fr-FR"/>
        </w:rPr>
        <w:t xml:space="preserve">La </w:t>
      </w:r>
      <w:r w:rsidRPr="00514D53">
        <w:rPr>
          <w:rFonts w:ascii="Arial" w:hAnsi="Arial" w:cs="Arial"/>
          <w:sz w:val="20"/>
          <w:szCs w:val="20"/>
          <w:lang w:val="fr-FR"/>
        </w:rPr>
        <w:t xml:space="preserve">population urbaine a </w:t>
      </w:r>
      <w:r w:rsidRPr="008E7F14">
        <w:rPr>
          <w:rFonts w:ascii="Arial" w:hAnsi="Arial" w:cs="Arial"/>
          <w:sz w:val="20"/>
          <w:szCs w:val="20"/>
          <w:lang w:val="fr-FR"/>
        </w:rPr>
        <w:t xml:space="preserve">triplé en 30 ans </w:t>
      </w:r>
      <w:r w:rsidR="002B192A" w:rsidRPr="008E7F14">
        <w:rPr>
          <w:rFonts w:ascii="Arial" w:hAnsi="Arial" w:cs="Arial"/>
          <w:sz w:val="20"/>
          <w:szCs w:val="20"/>
          <w:lang w:val="fr-FR"/>
        </w:rPr>
        <w:t xml:space="preserve">(5,1 millions en 2009 contre 2,8 millions en 1998 et 1,26 millions en 1979 selon </w:t>
      </w:r>
      <w:hyperlink r:id="rId16" w:history="1">
        <w:r w:rsidR="002B192A" w:rsidRPr="008E7F14">
          <w:rPr>
            <w:rFonts w:ascii="Arial" w:hAnsi="Arial" w:cs="Arial"/>
            <w:sz w:val="20"/>
            <w:szCs w:val="20"/>
            <w:lang w:val="fr-FR"/>
          </w:rPr>
          <w:t>http ://perspective.usherbrooke.ca/</w:t>
        </w:r>
      </w:hyperlink>
      <w:r w:rsidR="002B192A" w:rsidRPr="008E7F14">
        <w:rPr>
          <w:rFonts w:ascii="Arial" w:hAnsi="Arial" w:cs="Arial"/>
          <w:sz w:val="20"/>
          <w:szCs w:val="20"/>
          <w:lang w:val="fr-FR"/>
        </w:rPr>
        <w:t xml:space="preserve">). Le taux de la population urbaine par rapport à la population totale est passée de 18,1 % en 1979 à 26,8% en 1998 puis à 35% en 2009 lors du dernier recensement (RGPH 1998 et 2009) et serait de 41,4 % en </w:t>
      </w:r>
      <w:r w:rsidR="0060791B" w:rsidRPr="008E7F14">
        <w:rPr>
          <w:rFonts w:ascii="Arial" w:hAnsi="Arial" w:cs="Arial"/>
          <w:sz w:val="20"/>
          <w:szCs w:val="20"/>
          <w:lang w:val="fr-FR"/>
        </w:rPr>
        <w:t>2017 selon</w:t>
      </w:r>
      <w:r w:rsidRPr="008E7F14">
        <w:rPr>
          <w:rFonts w:ascii="Arial" w:hAnsi="Arial" w:cs="Arial"/>
          <w:sz w:val="20"/>
          <w:szCs w:val="20"/>
          <w:lang w:val="fr-FR"/>
        </w:rPr>
        <w:t xml:space="preserve"> les critères appliqués par la BM. L’</w:t>
      </w:r>
      <w:r w:rsidRPr="008E7F14">
        <w:rPr>
          <w:rFonts w:ascii="Arial" w:hAnsi="Arial" w:cs="Arial"/>
          <w:b/>
          <w:sz w:val="20"/>
          <w:szCs w:val="20"/>
          <w:lang w:val="fr-FR"/>
        </w:rPr>
        <w:t>urbanisation</w:t>
      </w:r>
      <w:r w:rsidRPr="008E7F14">
        <w:rPr>
          <w:rFonts w:ascii="Arial" w:hAnsi="Arial" w:cs="Arial"/>
          <w:sz w:val="20"/>
          <w:szCs w:val="20"/>
          <w:lang w:val="fr-FR"/>
        </w:rPr>
        <w:t xml:space="preserve"> connait une croissance de l’ordre de 5% et constitue un enjeu majeur du point de vue de la qualité de vie, de la pauvreté et des inégalités (FAO, 2013). La population urbaine, estimée à 3,3 millions d’habitants en 2006, soit moins d’un tiers de la population totale, devrait atteindre 12 millions en 2025, soit environ la moitié de la population du Mali.</w:t>
      </w:r>
      <w:r w:rsidRPr="008E7F14">
        <w:rPr>
          <w:rFonts w:ascii="Arial" w:eastAsiaTheme="minorHAnsi" w:hAnsi="Arial" w:cs="Arial"/>
          <w:sz w:val="20"/>
          <w:szCs w:val="20"/>
          <w:lang w:val="fr-FR"/>
        </w:rPr>
        <w:t xml:space="preserve"> </w:t>
      </w:r>
      <w:r w:rsidRPr="008E7F14">
        <w:rPr>
          <w:rFonts w:ascii="Arial" w:hAnsi="Arial" w:cs="Arial"/>
          <w:sz w:val="20"/>
          <w:szCs w:val="20"/>
          <w:lang w:val="fr-FR"/>
        </w:rPr>
        <w:t xml:space="preserve">Le District de Bamako abrite </w:t>
      </w:r>
      <w:r w:rsidR="000C75B2" w:rsidRPr="008E7F14">
        <w:rPr>
          <w:rFonts w:ascii="Arial" w:hAnsi="Arial" w:cs="Arial"/>
          <w:sz w:val="20"/>
          <w:szCs w:val="20"/>
          <w:lang w:val="fr-FR"/>
        </w:rPr>
        <w:t xml:space="preserve">aujourd’hui </w:t>
      </w:r>
      <w:r w:rsidRPr="008E7F14">
        <w:rPr>
          <w:rFonts w:ascii="Arial" w:hAnsi="Arial" w:cs="Arial"/>
          <w:sz w:val="20"/>
          <w:szCs w:val="20"/>
          <w:lang w:val="fr-FR"/>
        </w:rPr>
        <w:t>plu</w:t>
      </w:r>
      <w:r w:rsidRPr="00514D53">
        <w:rPr>
          <w:rFonts w:ascii="Arial" w:hAnsi="Arial" w:cs="Arial"/>
          <w:sz w:val="20"/>
          <w:szCs w:val="20"/>
          <w:lang w:val="fr-FR"/>
        </w:rPr>
        <w:t xml:space="preserve">s de la moitié (55,3%) de cette population urbaine, suivi des villes de Sikasso, Kayes, Ségou et de Mopti. </w:t>
      </w:r>
    </w:p>
    <w:p w14:paraId="4F6B9289" w14:textId="77777777" w:rsidR="00802BA9" w:rsidRPr="00514D53" w:rsidRDefault="00802BA9" w:rsidP="00514D53">
      <w:pPr>
        <w:spacing w:before="120" w:after="120" w:line="240" w:lineRule="auto"/>
        <w:rPr>
          <w:rFonts w:ascii="Arial" w:eastAsiaTheme="minorHAnsi" w:hAnsi="Arial" w:cs="Arial"/>
          <w:color w:val="C00000"/>
          <w:sz w:val="20"/>
          <w:szCs w:val="20"/>
          <w:lang w:val="fr-FR"/>
        </w:rPr>
      </w:pPr>
      <w:r w:rsidRPr="00514D53">
        <w:rPr>
          <w:rFonts w:ascii="Arial" w:eastAsiaTheme="minorHAnsi" w:hAnsi="Arial" w:cs="Arial"/>
          <w:sz w:val="20"/>
          <w:szCs w:val="20"/>
          <w:lang w:val="fr-FR"/>
        </w:rPr>
        <w:t xml:space="preserve">L’accroissement rapide de la population urbaine apparait comme un défi économique et social de grande ampleur pour les décideurs publics au niveau de l’Etat et des collectivités territoriales urbaines.  Les villes maliennes sont confrontées à une détérioration croissante de la qualité du cadre de vie suite aux problèmes environnementaux avec : l’inadéquation des infrastructures d’approvisionnement en eau de qualité et d’assainissement, la pollution de l’air, des sources d’eau, et des terres, l’accroissement de la vulnérabilité des populations aux catastrophes naturelles (notamment les inondations) et l’impact des pressions que les villes exercent sur le milieu physique et les écosystèmes environnants (empreinte écologique). A ces catégories, on peut ajouter les risques potentiels associés aux prédictions du changement climatique (BM, 2011). Notamment à Bamako, pôle de développement </w:t>
      </w:r>
      <w:r w:rsidRPr="00514D53">
        <w:rPr>
          <w:rFonts w:ascii="Arial" w:hAnsi="Arial" w:cs="Arial"/>
          <w:sz w:val="20"/>
          <w:szCs w:val="20"/>
          <w:lang w:val="fr-FR"/>
        </w:rPr>
        <w:t>qui rassemble plus de 12 % de la population malienne (1.809.106 des 3.608.713 citadins recensés selon le RGPH en  2009), sont constatés : un développement anarchique de l’habitat (apparition de « quartiers spontanés » et des occupations illégales des berges du fleuve et des espaces publiques), des problèmes sérieux de gestion foncière et une pollution importante de l’air liée au transport routier (§ 2.1.1.1), qui souffre d’une densité de circulation lié à un seul pôle d’attraction. L’estimation de la population actuelle de Bamako</w:t>
      </w:r>
      <w:r w:rsidRPr="00514D53">
        <w:rPr>
          <w:rFonts w:ascii="Arial" w:eastAsiaTheme="minorHAnsi" w:hAnsi="Arial" w:cs="Arial"/>
          <w:sz w:val="20"/>
          <w:szCs w:val="20"/>
          <w:lang w:val="fr-FR"/>
        </w:rPr>
        <w:t xml:space="preserve"> est de 2.351.948 personnes sur une population urbaine totale de 4.732.209 citadins (EMOP, 2017).</w:t>
      </w:r>
    </w:p>
    <w:p w14:paraId="6CE16769" w14:textId="77777777" w:rsidR="00802BA9" w:rsidRPr="00514D53" w:rsidRDefault="00802BA9" w:rsidP="00514D53">
      <w:pPr>
        <w:autoSpaceDE w:val="0"/>
        <w:autoSpaceDN w:val="0"/>
        <w:adjustRightInd w:val="0"/>
        <w:spacing w:before="120" w:after="120" w:line="240" w:lineRule="auto"/>
        <w:rPr>
          <w:rFonts w:ascii="Arial" w:eastAsia="Calibri" w:hAnsi="Arial" w:cs="Arial"/>
          <w:sz w:val="20"/>
          <w:szCs w:val="20"/>
          <w:lang w:val="fr-FR" w:eastAsia="fr-FR"/>
        </w:rPr>
      </w:pPr>
      <w:r w:rsidRPr="00514D53">
        <w:rPr>
          <w:rFonts w:ascii="Arial" w:eastAsia="Calibri" w:hAnsi="Arial" w:cs="Arial"/>
          <w:sz w:val="20"/>
          <w:szCs w:val="20"/>
          <w:lang w:val="fr-FR" w:eastAsia="fr-FR"/>
        </w:rPr>
        <w:t xml:space="preserve">Les schémas directeurs d’urbanisme existent et sont en partie actualisés pour 98 localités et les plans d’urbanisme sectoriels pour 30 localités (INSTAT, 2017), Ces documents constituent d’excellents outils d’aide à la décision mais sont peu utilisés faute de ressources et de capacités au niveau local pour la mise en œuvre. Paradoxalement, le Schéma d’aménagement de </w:t>
      </w:r>
      <w:r w:rsidR="00C62EAC" w:rsidRPr="00514D53">
        <w:rPr>
          <w:rFonts w:ascii="Arial" w:eastAsia="Calibri" w:hAnsi="Arial" w:cs="Arial"/>
          <w:sz w:val="20"/>
          <w:szCs w:val="20"/>
          <w:lang w:val="fr-FR" w:eastAsia="fr-FR"/>
        </w:rPr>
        <w:t>1988</w:t>
      </w:r>
      <w:r w:rsidRPr="00514D53">
        <w:rPr>
          <w:rFonts w:ascii="Arial" w:eastAsia="Calibri" w:hAnsi="Arial" w:cs="Arial"/>
          <w:sz w:val="20"/>
          <w:szCs w:val="20"/>
          <w:lang w:val="fr-FR" w:eastAsia="fr-FR"/>
        </w:rPr>
        <w:t xml:space="preserve"> et les autres instruments de la planification spatiale</w:t>
      </w:r>
      <w:r w:rsidR="00CF4D6C" w:rsidRPr="00514D53">
        <w:rPr>
          <w:rFonts w:ascii="Arial" w:eastAsia="Calibri" w:hAnsi="Arial" w:cs="Arial"/>
          <w:sz w:val="20"/>
          <w:szCs w:val="20"/>
          <w:lang w:val="fr-FR" w:eastAsia="fr-FR"/>
        </w:rPr>
        <w:t xml:space="preserve"> (p.ex. le plan de circulation</w:t>
      </w:r>
      <w:r w:rsidR="00992B0F" w:rsidRPr="00514D53">
        <w:rPr>
          <w:rFonts w:ascii="Arial" w:eastAsia="Calibri" w:hAnsi="Arial" w:cs="Arial"/>
          <w:sz w:val="20"/>
          <w:szCs w:val="20"/>
          <w:lang w:val="fr-FR" w:eastAsia="fr-FR"/>
        </w:rPr>
        <w:t xml:space="preserve"> de </w:t>
      </w:r>
      <w:r w:rsidR="00CF4D6C" w:rsidRPr="00514D53">
        <w:rPr>
          <w:rFonts w:ascii="Arial" w:eastAsia="Calibri" w:hAnsi="Arial" w:cs="Arial"/>
          <w:sz w:val="20"/>
          <w:szCs w:val="20"/>
          <w:lang w:val="fr-FR" w:eastAsia="fr-FR"/>
        </w:rPr>
        <w:t>1989)</w:t>
      </w:r>
      <w:r w:rsidRPr="00514D53">
        <w:rPr>
          <w:rFonts w:ascii="Arial" w:eastAsia="Calibri" w:hAnsi="Arial" w:cs="Arial"/>
          <w:sz w:val="20"/>
          <w:szCs w:val="20"/>
          <w:lang w:val="fr-FR" w:eastAsia="fr-FR"/>
        </w:rPr>
        <w:t xml:space="preserve"> existant</w:t>
      </w:r>
      <w:r w:rsidR="00992B0F" w:rsidRPr="00514D53">
        <w:rPr>
          <w:rFonts w:ascii="Arial" w:eastAsia="Calibri" w:hAnsi="Arial" w:cs="Arial"/>
          <w:sz w:val="20"/>
          <w:szCs w:val="20"/>
          <w:lang w:val="fr-FR" w:eastAsia="fr-FR"/>
        </w:rPr>
        <w:t>s</w:t>
      </w:r>
      <w:r w:rsidRPr="00514D53">
        <w:rPr>
          <w:rFonts w:ascii="Arial" w:eastAsia="Calibri" w:hAnsi="Arial" w:cs="Arial"/>
          <w:sz w:val="20"/>
          <w:szCs w:val="20"/>
          <w:lang w:val="fr-FR" w:eastAsia="fr-FR"/>
        </w:rPr>
        <w:t xml:space="preserve"> de Bamako </w:t>
      </w:r>
      <w:r w:rsidR="00CF4D6C" w:rsidRPr="00514D53">
        <w:rPr>
          <w:rFonts w:ascii="Arial" w:eastAsia="Calibri" w:hAnsi="Arial" w:cs="Arial"/>
          <w:sz w:val="20"/>
          <w:szCs w:val="20"/>
          <w:lang w:val="fr-FR" w:eastAsia="fr-FR"/>
        </w:rPr>
        <w:t xml:space="preserve">sont </w:t>
      </w:r>
      <w:r w:rsidR="00992B0F" w:rsidRPr="00514D53">
        <w:rPr>
          <w:rFonts w:ascii="Arial" w:eastAsia="Calibri" w:hAnsi="Arial" w:cs="Arial"/>
          <w:sz w:val="20"/>
          <w:szCs w:val="20"/>
          <w:lang w:val="fr-FR" w:eastAsia="fr-FR"/>
        </w:rPr>
        <w:t xml:space="preserve">anciens </w:t>
      </w:r>
      <w:r w:rsidR="00CF4D6C" w:rsidRPr="00514D53">
        <w:rPr>
          <w:rFonts w:ascii="Arial" w:eastAsia="Calibri" w:hAnsi="Arial" w:cs="Arial"/>
          <w:sz w:val="20"/>
          <w:szCs w:val="20"/>
          <w:lang w:val="fr-FR" w:eastAsia="fr-FR"/>
        </w:rPr>
        <w:t xml:space="preserve">et, </w:t>
      </w:r>
      <w:r w:rsidR="00992B0F" w:rsidRPr="00514D53">
        <w:rPr>
          <w:rFonts w:ascii="Arial" w:eastAsia="Calibri" w:hAnsi="Arial" w:cs="Arial"/>
          <w:sz w:val="20"/>
          <w:szCs w:val="20"/>
          <w:lang w:val="fr-FR" w:eastAsia="fr-FR"/>
        </w:rPr>
        <w:t>surtout, n’ont</w:t>
      </w:r>
      <w:r w:rsidRPr="00514D53">
        <w:rPr>
          <w:rFonts w:ascii="Arial" w:eastAsia="Calibri" w:hAnsi="Arial" w:cs="Arial"/>
          <w:sz w:val="20"/>
          <w:szCs w:val="20"/>
          <w:lang w:val="fr-FR" w:eastAsia="fr-FR"/>
        </w:rPr>
        <w:t xml:space="preserve"> jamais été mis en œuvre ni révisés et les villes secondaires sont passées devant la capitale en ce qui concerne la planification urbaine. La répartition de la population et l’évolution du tissu urbain tramé ou non, indiquent une urbanisation galopante et un changement notable dans la structuration urbaine actuelle de la ville de Bamako. Malgré des efforts considérables notamment pour les logements sociaux ces dernières années (plus de 5.000 logements depuis 2016) (Gouv, 2018), l</w:t>
      </w:r>
      <w:r w:rsidRPr="00514D53">
        <w:rPr>
          <w:rFonts w:ascii="Arial" w:hAnsi="Arial" w:cs="Arial"/>
          <w:sz w:val="20"/>
          <w:szCs w:val="20"/>
          <w:lang w:val="fr-FR"/>
        </w:rPr>
        <w:t xml:space="preserve">’extension des infrastructures d’approvisionnement en eau potable, d’assainissement et d’hygiène ainsi que les infrastructures publiques (notamment les routes, les centres de santé, écoles et les marchés) ne peut pas suivre le rythme accéléré de la pression démographique dans les villes. Cette lenteur de développement des infrastructures entraîne de fortes pollutions et nuisances dans les agglomérations du pays, notamment à Bamako. </w:t>
      </w:r>
      <w:r w:rsidR="00C62EAC" w:rsidRPr="00514D53">
        <w:rPr>
          <w:rFonts w:ascii="Arial" w:hAnsi="Arial" w:cs="Arial"/>
          <w:sz w:val="20"/>
          <w:szCs w:val="20"/>
          <w:lang w:val="fr-FR"/>
        </w:rPr>
        <w:t>Malgré l’existence de financements disponibles, la gestion environnementale de Bamako est fortement handicapée par les spéculations foncières, les intérêts politiques de certains dirigeants, les enjeux de pouvoir des multiples institutions concernées au lieu de traiter les problèmes de façon pragmatique. L’élaboration de contrats PPP et l’association des autres acteurs PME restent très insuffisantes, la lenteur des procédures complique la mise en œuvre des grands investissements (exemple du projet Kabala)</w:t>
      </w:r>
      <w:r w:rsidR="00992B0F" w:rsidRPr="00514D53">
        <w:rPr>
          <w:rFonts w:ascii="Arial" w:hAnsi="Arial" w:cs="Arial"/>
          <w:sz w:val="20"/>
          <w:szCs w:val="20"/>
          <w:lang w:val="fr-FR"/>
        </w:rPr>
        <w:t xml:space="preserve"> et </w:t>
      </w:r>
      <w:r w:rsidR="00C62EAC" w:rsidRPr="00514D53">
        <w:rPr>
          <w:rFonts w:ascii="Arial" w:hAnsi="Arial" w:cs="Arial"/>
          <w:sz w:val="20"/>
          <w:szCs w:val="20"/>
          <w:lang w:val="fr-FR"/>
        </w:rPr>
        <w:t xml:space="preserve">la conception technique des ouvrages ne prend pas en compte tous les aspects </w:t>
      </w:r>
      <w:r w:rsidR="00C62EAC" w:rsidRPr="00514D53">
        <w:rPr>
          <w:rFonts w:ascii="Arial" w:hAnsi="Arial" w:cs="Arial"/>
          <w:sz w:val="20"/>
          <w:szCs w:val="20"/>
          <w:lang w:val="fr-FR"/>
        </w:rPr>
        <w:lastRenderedPageBreak/>
        <w:t xml:space="preserve">environnementaux ou les assistances techniques des projets d’appui des PTF sont </w:t>
      </w:r>
      <w:r w:rsidR="00CF4D6C" w:rsidRPr="00514D53">
        <w:rPr>
          <w:rFonts w:ascii="Arial" w:hAnsi="Arial" w:cs="Arial"/>
          <w:sz w:val="20"/>
          <w:szCs w:val="20"/>
          <w:lang w:val="fr-FR"/>
        </w:rPr>
        <w:t xml:space="preserve">parfois </w:t>
      </w:r>
      <w:r w:rsidR="00C62EAC" w:rsidRPr="00514D53">
        <w:rPr>
          <w:rFonts w:ascii="Arial" w:hAnsi="Arial" w:cs="Arial"/>
          <w:sz w:val="20"/>
          <w:szCs w:val="20"/>
          <w:lang w:val="fr-FR"/>
        </w:rPr>
        <w:t>incomplètes</w:t>
      </w:r>
      <w:r w:rsidR="00CF4D6C" w:rsidRPr="00514D53">
        <w:rPr>
          <w:rFonts w:ascii="Arial" w:hAnsi="Arial" w:cs="Arial"/>
          <w:sz w:val="20"/>
          <w:szCs w:val="20"/>
          <w:lang w:val="fr-FR"/>
        </w:rPr>
        <w:t xml:space="preserve"> (p.ex. formation insuffisante pour l’utilisation de l’équipement de suivi de la qualité de l’air)</w:t>
      </w:r>
      <w:r w:rsidR="00C62EAC" w:rsidRPr="00514D53">
        <w:rPr>
          <w:rFonts w:ascii="Arial" w:hAnsi="Arial" w:cs="Arial"/>
          <w:sz w:val="20"/>
          <w:szCs w:val="20"/>
          <w:lang w:val="fr-FR"/>
        </w:rPr>
        <w:t xml:space="preserve">. </w:t>
      </w:r>
      <w:r w:rsidRPr="00514D53">
        <w:rPr>
          <w:rFonts w:ascii="Arial" w:hAnsi="Arial" w:cs="Arial"/>
          <w:sz w:val="20"/>
          <w:szCs w:val="20"/>
          <w:lang w:val="fr-FR"/>
        </w:rPr>
        <w:t>La dimension verticale est peu développée, l’urbanisation se fait au détriment des espaces naturels et la « métropolisation »</w:t>
      </w:r>
      <w:r w:rsidRPr="00514D53">
        <w:rPr>
          <w:rFonts w:ascii="Arial" w:hAnsi="Arial" w:cs="Arial"/>
          <w:sz w:val="20"/>
          <w:szCs w:val="20"/>
          <w:vertAlign w:val="superscript"/>
          <w:lang w:val="fr-FR"/>
        </w:rPr>
        <w:footnoteReference w:id="29"/>
      </w:r>
      <w:r w:rsidRPr="00514D53">
        <w:rPr>
          <w:rFonts w:ascii="Arial" w:hAnsi="Arial" w:cs="Arial"/>
          <w:sz w:val="20"/>
          <w:szCs w:val="20"/>
          <w:lang w:val="fr-FR"/>
        </w:rPr>
        <w:t xml:space="preserve"> concerne plusieurs villages et villes environnants (cercle de Kati). Aujourd’hui, les réserves foncières du District de Bamako sont toutes utilisées et l’empreinte urbaine dépasse les frontières administratives et physiques du District de Bamako. Vue l’étalement de la capitale, l’élaboration et la mise en œuvre d’un Schéma d’aménagement de l’agglomération de Bamako et la réalisation des grands investissements envisagés sont cruciaux pour réduire les pressions environnementales de l’expansion surtou</w:t>
      </w:r>
      <w:r w:rsidR="00514D53">
        <w:rPr>
          <w:rFonts w:ascii="Arial" w:hAnsi="Arial" w:cs="Arial"/>
          <w:sz w:val="20"/>
          <w:szCs w:val="20"/>
          <w:lang w:val="fr-FR"/>
        </w:rPr>
        <w:t>t non contrôlée de la capitale.</w:t>
      </w:r>
    </w:p>
    <w:p w14:paraId="1E491897" w14:textId="77777777" w:rsidR="00802BA9" w:rsidRPr="00500D2D" w:rsidRDefault="00802BA9" w:rsidP="00514D53">
      <w:pPr>
        <w:autoSpaceDE w:val="0"/>
        <w:autoSpaceDN w:val="0"/>
        <w:adjustRightInd w:val="0"/>
        <w:spacing w:before="120" w:after="120" w:line="240" w:lineRule="auto"/>
        <w:rPr>
          <w:rFonts w:ascii="Arial" w:eastAsiaTheme="minorHAnsi" w:hAnsi="Arial" w:cs="Arial"/>
          <w:sz w:val="20"/>
          <w:szCs w:val="20"/>
          <w:lang w:val="fr-FR"/>
        </w:rPr>
      </w:pPr>
      <w:r w:rsidRPr="00514D53">
        <w:rPr>
          <w:rFonts w:ascii="Arial" w:eastAsia="Calibri" w:hAnsi="Arial" w:cs="Arial"/>
          <w:sz w:val="20"/>
          <w:szCs w:val="20"/>
          <w:lang w:val="fr-FR" w:eastAsia="fr-FR"/>
        </w:rPr>
        <w:t xml:space="preserve">Les </w:t>
      </w:r>
      <w:r w:rsidRPr="00514D53">
        <w:rPr>
          <w:rFonts w:ascii="Arial" w:eastAsia="Calibri" w:hAnsi="Arial" w:cs="Arial"/>
          <w:b/>
          <w:sz w:val="20"/>
          <w:szCs w:val="20"/>
          <w:lang w:val="fr-FR" w:eastAsia="fr-FR"/>
        </w:rPr>
        <w:t>industries</w:t>
      </w:r>
      <w:r w:rsidRPr="00514D53">
        <w:rPr>
          <w:rFonts w:ascii="Arial" w:eastAsia="Calibri" w:hAnsi="Arial" w:cs="Arial"/>
          <w:sz w:val="20"/>
          <w:szCs w:val="20"/>
          <w:lang w:val="fr-FR" w:eastAsia="fr-FR"/>
        </w:rPr>
        <w:t xml:space="preserve"> restent faiblement développées au Mali et contribuent à 4</w:t>
      </w:r>
      <w:r w:rsidR="00893BDA">
        <w:rPr>
          <w:rFonts w:ascii="Arial" w:eastAsia="Calibri" w:hAnsi="Arial" w:cs="Arial"/>
          <w:sz w:val="20"/>
          <w:szCs w:val="20"/>
          <w:lang w:val="fr-FR" w:eastAsia="fr-FR"/>
        </w:rPr>
        <w:t xml:space="preserve"> </w:t>
      </w:r>
      <w:r w:rsidRPr="00514D53">
        <w:rPr>
          <w:rFonts w:ascii="Arial" w:eastAsia="Calibri" w:hAnsi="Arial" w:cs="Arial"/>
          <w:sz w:val="20"/>
          <w:szCs w:val="20"/>
          <w:lang w:val="fr-FR" w:eastAsia="fr-FR"/>
        </w:rPr>
        <w:t xml:space="preserve">% du PIB nominal de 2016 (FMI, 2018). </w:t>
      </w:r>
      <w:r w:rsidRPr="00514D53">
        <w:rPr>
          <w:rFonts w:ascii="Arial" w:eastAsiaTheme="minorHAnsi" w:hAnsi="Arial" w:cs="Arial"/>
          <w:sz w:val="20"/>
          <w:szCs w:val="20"/>
          <w:lang w:val="fr-FR"/>
        </w:rPr>
        <w:t>Le recensement industriel réalisé en 2015 dénombre 829 entreprises industrielles dont 765 en activité. La plupart (52,7 %), sont installées dans le district de Bamako. Ensuite suivent les régions de Koulikoro (15,6 %), Sikasso (15,3 %), Ségou (6,1 %), Kayes (4,7 %) et Mopti (3</w:t>
      </w:r>
      <w:r w:rsidR="00893BDA">
        <w:rPr>
          <w:rFonts w:ascii="Arial" w:eastAsiaTheme="minorHAnsi" w:hAnsi="Arial" w:cs="Arial"/>
          <w:sz w:val="20"/>
          <w:szCs w:val="20"/>
          <w:lang w:val="fr-FR"/>
        </w:rPr>
        <w:t xml:space="preserve"> </w:t>
      </w:r>
      <w:r w:rsidRPr="00514D53">
        <w:rPr>
          <w:rFonts w:ascii="Arial" w:eastAsiaTheme="minorHAnsi" w:hAnsi="Arial" w:cs="Arial"/>
          <w:sz w:val="20"/>
          <w:szCs w:val="20"/>
          <w:lang w:val="fr-FR"/>
        </w:rPr>
        <w:t>%) (AEDD, 2018). Les entreprises industrielles emploient 30.438 personnes en 2015 contre 13.127 personnes en 2002. La valeur ajoutée créée par le secteur industriel est passé de 398,1 milliards de FCFA en 2010 à 1.465,6 milliards de FCFA en 2013 et 782,5 milliards en 2014 (DNI, 2015). Il s’agit essentiellement d’industrie de transformation de la production agricole : biscuiterie, pâtes alimentaires, confiseries, conserverie, brasserie, boulangerie, huilerie</w:t>
      </w:r>
      <w:r w:rsidR="00893BDA">
        <w:rPr>
          <w:rFonts w:ascii="Arial" w:eastAsiaTheme="minorHAnsi" w:hAnsi="Arial" w:cs="Arial"/>
          <w:sz w:val="20"/>
          <w:szCs w:val="20"/>
          <w:lang w:val="fr-FR"/>
        </w:rPr>
        <w:t xml:space="preserve"> </w:t>
      </w:r>
      <w:r w:rsidR="00893BDA" w:rsidRPr="00603729">
        <w:rPr>
          <w:rFonts w:ascii="Arial" w:eastAsiaTheme="minorHAnsi" w:hAnsi="Arial" w:cs="Arial"/>
          <w:sz w:val="20"/>
          <w:szCs w:val="20"/>
          <w:lang w:val="fr-FR"/>
        </w:rPr>
        <w:t>(une dizaine grandes consommatrices de bois dans la ville de Koutiala)</w:t>
      </w:r>
      <w:r w:rsidRPr="00514D53">
        <w:rPr>
          <w:rFonts w:ascii="Arial" w:eastAsiaTheme="minorHAnsi" w:hAnsi="Arial" w:cs="Arial"/>
          <w:sz w:val="20"/>
          <w:szCs w:val="20"/>
          <w:lang w:val="fr-FR"/>
        </w:rPr>
        <w:t xml:space="preserve">, sucrerie, laiterie, usine textile et de tabac. </w:t>
      </w:r>
    </w:p>
    <w:p w14:paraId="75410CA1" w14:textId="77777777" w:rsidR="00802BA9" w:rsidRPr="00514D53" w:rsidRDefault="00802BA9" w:rsidP="00514D53">
      <w:pPr>
        <w:autoSpaceDE w:val="0"/>
        <w:autoSpaceDN w:val="0"/>
        <w:adjustRightInd w:val="0"/>
        <w:spacing w:before="120" w:after="120" w:line="240" w:lineRule="auto"/>
        <w:rPr>
          <w:rFonts w:ascii="Arial" w:hAnsi="Arial" w:cs="Arial"/>
          <w:sz w:val="20"/>
          <w:szCs w:val="20"/>
          <w:lang w:val="fr-FR"/>
        </w:rPr>
      </w:pPr>
      <w:r w:rsidRPr="00514D53">
        <w:rPr>
          <w:rFonts w:ascii="Arial" w:eastAsia="Calibri" w:hAnsi="Arial" w:cs="Arial"/>
          <w:sz w:val="20"/>
          <w:szCs w:val="20"/>
          <w:lang w:val="fr-FR" w:eastAsia="fr-FR"/>
        </w:rPr>
        <w:t xml:space="preserve">Certaines, telles que </w:t>
      </w:r>
      <w:r w:rsidRPr="00514D53">
        <w:rPr>
          <w:rFonts w:ascii="Arial" w:hAnsi="Arial" w:cs="Arial"/>
          <w:sz w:val="20"/>
          <w:szCs w:val="20"/>
          <w:lang w:val="fr-FR"/>
        </w:rPr>
        <w:t>l’industrie du textile, de la tannerie, des produits pharmaceutiques et la production de piles et de détergents sont très polluantes. Le fleuve Niger reçoit par jour à Bamako plus de 2.200 m³ d'eaux usées industrielles (abattoir, tannerie, textile, savonnerie et huilerie et des industries chimiques) et 16.000 m</w:t>
      </w:r>
      <w:r w:rsidRPr="00514D53">
        <w:rPr>
          <w:rFonts w:ascii="Arial" w:hAnsi="Arial" w:cs="Arial"/>
          <w:sz w:val="20"/>
          <w:szCs w:val="20"/>
          <w:vertAlign w:val="superscript"/>
          <w:lang w:val="fr-FR"/>
        </w:rPr>
        <w:t>3</w:t>
      </w:r>
      <w:r w:rsidRPr="00514D53">
        <w:rPr>
          <w:rFonts w:ascii="Arial" w:eastAsiaTheme="minorHAnsi" w:hAnsi="Arial" w:cs="Arial"/>
          <w:sz w:val="20"/>
          <w:szCs w:val="20"/>
          <w:lang w:val="fr-FR"/>
        </w:rPr>
        <w:t xml:space="preserve"> </w:t>
      </w:r>
      <w:r w:rsidRPr="00514D53">
        <w:rPr>
          <w:rFonts w:ascii="Arial" w:hAnsi="Arial" w:cs="Arial"/>
          <w:sz w:val="20"/>
          <w:szCs w:val="20"/>
          <w:lang w:val="fr-FR"/>
        </w:rPr>
        <w:t>d'eaux usées des teintureries contenant des colorants, des polluants chimiques et des métaux lourds (AEDD, 2018). LESPINAY (2008) indique un volume produit de 124 litres/jour/teinturière d’une eau chargée en arsenic, cadmium, chrome, cuivre, mercure, nickel, plomb (1,5 mg/l), zinc. Au total, ils existent plus de 1.800 dans le pays. Les 4 grandes tanneries ont un impact environnemental important. D’après SAMAKE (2008), une tonne de cuir brut (qui produirait un cuir fini de 200 à 250 kg) nécessite entre 15 et 50 m³ d’eau et 300 kg de produits chimiques dont 5-6 kg de chrome et 10 kg de sulfures.</w:t>
      </w:r>
    </w:p>
    <w:p w14:paraId="5B8E6A08" w14:textId="77777777" w:rsidR="00802BA9" w:rsidRPr="00514D53" w:rsidRDefault="00802BA9" w:rsidP="00514D53">
      <w:pPr>
        <w:autoSpaceDE w:val="0"/>
        <w:autoSpaceDN w:val="0"/>
        <w:adjustRightInd w:val="0"/>
        <w:spacing w:before="120" w:after="120" w:line="240" w:lineRule="auto"/>
        <w:rPr>
          <w:rFonts w:ascii="Arial" w:eastAsiaTheme="minorHAnsi" w:hAnsi="Arial" w:cs="Arial"/>
          <w:sz w:val="20"/>
          <w:szCs w:val="20"/>
          <w:lang w:val="fr-FR"/>
        </w:rPr>
      </w:pPr>
      <w:r w:rsidRPr="00514D53">
        <w:rPr>
          <w:rFonts w:ascii="Arial" w:eastAsiaTheme="minorHAnsi" w:hAnsi="Arial" w:cs="Arial"/>
          <w:sz w:val="20"/>
          <w:szCs w:val="20"/>
          <w:lang w:val="fr-FR"/>
        </w:rPr>
        <w:t xml:space="preserve">La première zone industrielle Sotuba à Bamako est équipée d’une station d’épuration d’eaux usées industrielles mais cette station rencontre des problèmes de fonctionnement à cause de la non–adaptation technique de la partie croissante des rejets chimiques (EGIS, 2015). En plus, toutes les entreprises ne sont pas branchées ou ne font pas un traitement autonome préliminaire de leurs effluents liquides ; effluents directement rejetés </w:t>
      </w:r>
      <w:r w:rsidRPr="00514D53">
        <w:rPr>
          <w:rFonts w:ascii="Arial" w:hAnsi="Arial" w:cs="Arial"/>
          <w:sz w:val="20"/>
          <w:szCs w:val="20"/>
          <w:lang w:val="fr-FR"/>
        </w:rPr>
        <w:t>dans les collecteurs ou dans les cours d’eau.</w:t>
      </w:r>
      <w:r w:rsidRPr="00514D53">
        <w:rPr>
          <w:rFonts w:ascii="Arial" w:eastAsiaTheme="minorHAnsi" w:hAnsi="Arial" w:cs="Arial"/>
          <w:sz w:val="20"/>
          <w:szCs w:val="20"/>
          <w:lang w:val="fr-FR"/>
        </w:rPr>
        <w:t xml:space="preserve"> La population se plaint de plus en plus des pollutions des eaux et de l’air (maliactu 2017 et 2018).</w:t>
      </w:r>
    </w:p>
    <w:p w14:paraId="0186A454" w14:textId="77777777" w:rsidR="00264FC1" w:rsidRDefault="00802BA9" w:rsidP="00514D53">
      <w:pPr>
        <w:autoSpaceDE w:val="0"/>
        <w:autoSpaceDN w:val="0"/>
        <w:adjustRightInd w:val="0"/>
        <w:spacing w:before="120" w:after="120" w:line="240" w:lineRule="auto"/>
        <w:rPr>
          <w:rFonts w:ascii="Arial" w:eastAsiaTheme="minorHAnsi" w:hAnsi="Arial" w:cs="Arial"/>
          <w:sz w:val="20"/>
          <w:szCs w:val="20"/>
          <w:lang w:val="fr-FR"/>
        </w:rPr>
      </w:pPr>
      <w:r w:rsidRPr="00514D53">
        <w:rPr>
          <w:rFonts w:ascii="Arial" w:eastAsiaTheme="minorHAnsi" w:hAnsi="Arial" w:cs="Arial"/>
          <w:sz w:val="20"/>
          <w:szCs w:val="20"/>
          <w:lang w:val="fr-FR"/>
        </w:rPr>
        <w:t xml:space="preserve">Le développement du secteur privé et de l’industrie, via notamment l’agro-industrie, passe par la création d'un environnement favorable à la promotion des industries et du secteur privé. La plupart des indicateurs de l’industrie ont connu une augmentation de 2016 à 2017. Le gouvernement fait la promotion de nouvelles zones industrielles. En dehors d’une nouvelle zone proche de Bamako, sur la route de Ségou, les principales nouvelles unités industrielles réalisées en 2017 sont : les unités de fabrique de bonbons et de récupération de plomb de batterie du Groupe ALCOMA à Kita, la Société Carrières et Chaux du Mali (CCM) à Sélinkeny (Kayes), l’Huilerie IREBANE AGRO INDUSTRIE et l’Huilerie de la Société West Africa Logistic &amp; Industrie à Sanankoroba, l’Huilerie Cotonnière du Djitoumou (HUICODJI) à Ouéléssebougou (CREDD, 2018). Néanmoins, aucune nouvelle zone industrielle n’est équipée d’une station d’épuration adéquate aux rejets et des investissements importants sont à prévoir pour éviter des pollutions. </w:t>
      </w:r>
    </w:p>
    <w:p w14:paraId="255AE1D1" w14:textId="77777777" w:rsidR="00893BDA" w:rsidRPr="00514D53" w:rsidRDefault="00893BDA" w:rsidP="00514D53">
      <w:pPr>
        <w:autoSpaceDE w:val="0"/>
        <w:autoSpaceDN w:val="0"/>
        <w:adjustRightInd w:val="0"/>
        <w:spacing w:before="120" w:after="120" w:line="240" w:lineRule="auto"/>
        <w:rPr>
          <w:rFonts w:ascii="Arial" w:eastAsiaTheme="minorHAnsi" w:hAnsi="Arial" w:cs="Arial"/>
          <w:sz w:val="20"/>
          <w:szCs w:val="20"/>
          <w:lang w:val="fr-FR"/>
        </w:rPr>
      </w:pPr>
    </w:p>
    <w:p w14:paraId="2A95C45A" w14:textId="77777777" w:rsidR="00802BA9" w:rsidRPr="00514D53" w:rsidRDefault="00802BA9" w:rsidP="00525222">
      <w:pPr>
        <w:pStyle w:val="Titre3"/>
      </w:pPr>
      <w:bookmarkStart w:id="24" w:name="_Toc20505627"/>
      <w:r w:rsidRPr="00514D53">
        <w:t>2.2.8 Transport</w:t>
      </w:r>
      <w:bookmarkEnd w:id="24"/>
    </w:p>
    <w:p w14:paraId="4E9A833A" w14:textId="77777777" w:rsidR="00802BA9" w:rsidRPr="00514D53" w:rsidRDefault="00802BA9" w:rsidP="00514D53">
      <w:pPr>
        <w:spacing w:before="120" w:after="120" w:line="240" w:lineRule="auto"/>
        <w:rPr>
          <w:rFonts w:ascii="Arial" w:eastAsia="Calibri" w:hAnsi="Arial" w:cs="Arial"/>
          <w:sz w:val="20"/>
          <w:szCs w:val="20"/>
          <w:lang w:val="fr-FR" w:eastAsia="fr-FR"/>
        </w:rPr>
      </w:pPr>
      <w:r w:rsidRPr="00514D53">
        <w:rPr>
          <w:rFonts w:ascii="Arial" w:eastAsia="Calibri" w:hAnsi="Arial" w:cs="Arial"/>
          <w:sz w:val="20"/>
          <w:szCs w:val="20"/>
          <w:lang w:val="fr-FR" w:eastAsia="fr-FR"/>
        </w:rPr>
        <w:t>Le bien-être des hommes est subordonné au secteur des transports. Au Mali, celui-ci s’articule autour de 4 modes à savoir i) le transport routier, ii) le transport ferroviaire, iii) le transport fluvial et le transport aérien.</w:t>
      </w:r>
    </w:p>
    <w:p w14:paraId="18A9380E" w14:textId="77777777" w:rsidR="00802BA9" w:rsidRPr="00514D53" w:rsidRDefault="00802BA9" w:rsidP="00514D53">
      <w:pPr>
        <w:spacing w:before="120" w:after="120" w:line="240" w:lineRule="auto"/>
        <w:rPr>
          <w:rFonts w:ascii="Arial" w:eastAsia="Calibri" w:hAnsi="Arial" w:cs="Arial"/>
          <w:sz w:val="20"/>
          <w:szCs w:val="20"/>
          <w:lang w:val="fr-FR" w:eastAsia="fr-FR"/>
        </w:rPr>
      </w:pPr>
      <w:r w:rsidRPr="00514D53">
        <w:rPr>
          <w:rFonts w:ascii="Arial" w:eastAsia="Calibri" w:hAnsi="Arial" w:cs="Arial"/>
          <w:sz w:val="20"/>
          <w:szCs w:val="20"/>
          <w:lang w:val="fr-FR" w:eastAsia="fr-FR"/>
        </w:rPr>
        <w:t xml:space="preserve">Le </w:t>
      </w:r>
      <w:r w:rsidRPr="00514D53">
        <w:rPr>
          <w:rFonts w:ascii="Arial" w:eastAsia="Calibri" w:hAnsi="Arial" w:cs="Arial"/>
          <w:b/>
          <w:sz w:val="20"/>
          <w:szCs w:val="20"/>
          <w:lang w:val="fr-FR" w:eastAsia="fr-FR"/>
        </w:rPr>
        <w:t xml:space="preserve">transport routier </w:t>
      </w:r>
      <w:r w:rsidRPr="00514D53">
        <w:rPr>
          <w:rFonts w:ascii="Arial" w:eastAsia="Calibri" w:hAnsi="Arial" w:cs="Arial"/>
          <w:sz w:val="20"/>
          <w:szCs w:val="20"/>
          <w:lang w:val="fr-FR" w:eastAsia="fr-FR"/>
        </w:rPr>
        <w:t>s’appuie sur un réseau routier de 89.024 km, soit une densité de 7,17 km/100 km², inférieur à celui de la Mauritanie mais supérieur à celui du Niger. Le réseau s’articule entre 14.102 km de Routes d’intérêt National (RN), 7.052 km de Routes d’intérêt Régional (RR), 28.929 km de Routes d’intérêt Local (RL) et 38.941 km de Routes d’intérêt Communal (RC) ou pistes rurales cotonnières ou pastorales (METD, 2015). Le parc roulant est vétuste mais a rajeuni avec 52,8 % de véhicules de plus de 16 ans</w:t>
      </w:r>
      <w:r w:rsidRPr="00514D53">
        <w:rPr>
          <w:rStyle w:val="Appelnotedebasdep"/>
          <w:rFonts w:ascii="Arial" w:eastAsia="Calibri" w:hAnsi="Arial" w:cs="Arial"/>
          <w:sz w:val="20"/>
          <w:szCs w:val="20"/>
          <w:lang w:val="fr-FR" w:eastAsia="fr-FR"/>
        </w:rPr>
        <w:footnoteReference w:id="30"/>
      </w:r>
      <w:r w:rsidRPr="00514D53">
        <w:rPr>
          <w:rFonts w:ascii="Arial" w:eastAsia="Calibri" w:hAnsi="Arial" w:cs="Arial"/>
          <w:sz w:val="20"/>
          <w:szCs w:val="20"/>
          <w:lang w:val="fr-FR" w:eastAsia="fr-FR"/>
        </w:rPr>
        <w:t xml:space="preserve"> (CPS/ETC, 2017) contre 71 % en 2008 (CPS/ETC, 2010). De même, la proportion de véhicules utilisant le </w:t>
      </w:r>
      <w:r w:rsidRPr="00514D53">
        <w:rPr>
          <w:rFonts w:ascii="Arial" w:eastAsia="Calibri" w:hAnsi="Arial" w:cs="Arial"/>
          <w:sz w:val="20"/>
          <w:szCs w:val="20"/>
          <w:lang w:val="fr-FR" w:eastAsia="fr-FR"/>
        </w:rPr>
        <w:lastRenderedPageBreak/>
        <w:t>gasoil a baissé avec 48,9 % en 2016 (CPS/ETC, 2017) contre 55 % en 2008 (CPS/ETC, 2010). En revanche, le parc automobile a augmenté annuellement de 16 % (CS/ETC, 2010) avec 382.458 en 2016 contre 167.245 en 2007. Selon l’EMOP de 2018, le taux de possession de motos a été multiplié par 3,4</w:t>
      </w:r>
      <w:r w:rsidR="00BB1D74" w:rsidRPr="00514D53">
        <w:rPr>
          <w:rFonts w:ascii="Arial" w:eastAsia="Calibri" w:hAnsi="Arial" w:cs="Arial"/>
          <w:sz w:val="20"/>
          <w:szCs w:val="20"/>
          <w:lang w:val="fr-FR" w:eastAsia="fr-FR"/>
        </w:rPr>
        <w:t>,</w:t>
      </w:r>
      <w:r w:rsidRPr="00514D53">
        <w:rPr>
          <w:rFonts w:ascii="Arial" w:eastAsia="Calibri" w:hAnsi="Arial" w:cs="Arial"/>
          <w:sz w:val="20"/>
          <w:szCs w:val="20"/>
          <w:lang w:val="fr-FR" w:eastAsia="fr-FR"/>
        </w:rPr>
        <w:t xml:space="preserve"> passant de 17 % en 2001 à 57,9 % en 2017 avec les taux les plus élevés dans la région de Sikasso (75,0 %) et à Bamako (66,2 %) (EMOP, 2018).</w:t>
      </w:r>
      <w:r w:rsidR="008830B4">
        <w:rPr>
          <w:rFonts w:ascii="Arial" w:eastAsia="Calibri" w:hAnsi="Arial" w:cs="Arial"/>
          <w:sz w:val="20"/>
          <w:szCs w:val="20"/>
          <w:lang w:val="fr-FR" w:eastAsia="fr-FR"/>
        </w:rPr>
        <w:t xml:space="preserve"> Il faut noter, qu’une grande partie des motos n’est pas enregistrée.</w:t>
      </w:r>
      <w:r w:rsidR="008830B4">
        <w:rPr>
          <w:rStyle w:val="Appelnotedebasdep"/>
          <w:rFonts w:ascii="Arial" w:eastAsia="Calibri" w:hAnsi="Arial" w:cs="Arial"/>
          <w:sz w:val="20"/>
          <w:szCs w:val="20"/>
          <w:lang w:val="fr-FR" w:eastAsia="fr-FR"/>
        </w:rPr>
        <w:footnoteReference w:id="31"/>
      </w:r>
      <w:r w:rsidR="008830B4">
        <w:rPr>
          <w:rFonts w:ascii="Arial" w:eastAsia="Calibri" w:hAnsi="Arial" w:cs="Arial"/>
          <w:sz w:val="20"/>
          <w:szCs w:val="20"/>
          <w:lang w:val="fr-FR" w:eastAsia="fr-FR"/>
        </w:rPr>
        <w:t xml:space="preserve"> </w:t>
      </w:r>
    </w:p>
    <w:p w14:paraId="2ED82324" w14:textId="77777777" w:rsidR="00802BA9" w:rsidRPr="00514D53" w:rsidRDefault="00802BA9" w:rsidP="00514D53">
      <w:pPr>
        <w:spacing w:before="120" w:after="120" w:line="240" w:lineRule="auto"/>
        <w:rPr>
          <w:rFonts w:ascii="Arial" w:eastAsia="Calibri" w:hAnsi="Arial" w:cs="Arial"/>
          <w:color w:val="7030A0"/>
          <w:sz w:val="20"/>
          <w:szCs w:val="20"/>
          <w:lang w:val="fr-FR" w:eastAsia="fr-FR"/>
        </w:rPr>
      </w:pPr>
      <w:r w:rsidRPr="00514D53">
        <w:rPr>
          <w:rFonts w:ascii="Arial" w:eastAsia="Calibri" w:hAnsi="Arial" w:cs="Arial"/>
          <w:sz w:val="20"/>
          <w:szCs w:val="20"/>
          <w:lang w:val="fr-FR" w:eastAsia="fr-FR"/>
        </w:rPr>
        <w:t>Cette croissance fulgurante des véhicules, notamment à Bamako (80 % des immatriculations), a pour corollaires une augmentation significative du nombre d’accidents (2735 en 2016 à Bamako</w:t>
      </w:r>
      <w:r w:rsidRPr="00514D53">
        <w:rPr>
          <w:rStyle w:val="Appelnotedebasdep"/>
          <w:rFonts w:ascii="Arial" w:eastAsia="Calibri" w:hAnsi="Arial" w:cs="Arial"/>
          <w:sz w:val="20"/>
          <w:szCs w:val="20"/>
          <w:lang w:val="fr-FR" w:eastAsia="fr-FR"/>
        </w:rPr>
        <w:footnoteReference w:id="32"/>
      </w:r>
      <w:r w:rsidRPr="00514D53">
        <w:rPr>
          <w:rFonts w:ascii="Arial" w:eastAsia="Calibri" w:hAnsi="Arial" w:cs="Arial"/>
          <w:sz w:val="20"/>
          <w:szCs w:val="20"/>
          <w:lang w:val="fr-FR" w:eastAsia="fr-FR"/>
        </w:rPr>
        <w:t xml:space="preserve">) d’une part et d’une dégradation de la qualité de l’air d’autre part (§ 2.1.1). En 2009 (MEA/BM, 2010), le transport routier dans le District de Bamako (MEA/BM, 2010), émettait annuellement 757 tonnes de PM10, 1.293 kg de SO2, 12.695 tonnes de particules volatiles, 31.741 tonnes de poussières remises en suspension dans les voies urbaines de Bamako. </w:t>
      </w:r>
    </w:p>
    <w:p w14:paraId="34C8DC71" w14:textId="77777777" w:rsidR="00802BA9" w:rsidRPr="00500D2D" w:rsidRDefault="00802BA9" w:rsidP="00514D53">
      <w:pPr>
        <w:spacing w:before="120" w:after="120" w:line="240" w:lineRule="auto"/>
        <w:rPr>
          <w:rFonts w:ascii="Arial" w:hAnsi="Arial" w:cs="Arial"/>
          <w:sz w:val="20"/>
          <w:szCs w:val="20"/>
        </w:rPr>
      </w:pPr>
      <w:r w:rsidRPr="00514D53">
        <w:rPr>
          <w:rFonts w:ascii="Arial" w:eastAsia="Calibri" w:hAnsi="Arial" w:cs="Arial"/>
          <w:sz w:val="20"/>
          <w:szCs w:val="20"/>
          <w:lang w:val="fr-FR" w:eastAsia="fr-FR"/>
        </w:rPr>
        <w:t xml:space="preserve">Le </w:t>
      </w:r>
      <w:r w:rsidRPr="00514D53">
        <w:rPr>
          <w:rFonts w:ascii="Arial" w:eastAsia="Calibri" w:hAnsi="Arial" w:cs="Arial"/>
          <w:b/>
          <w:sz w:val="20"/>
          <w:szCs w:val="20"/>
          <w:lang w:val="fr-FR" w:eastAsia="fr-FR"/>
        </w:rPr>
        <w:t>transport ferroviaire</w:t>
      </w:r>
      <w:r w:rsidRPr="00514D53">
        <w:rPr>
          <w:rFonts w:ascii="Arial" w:eastAsia="Calibri" w:hAnsi="Arial" w:cs="Arial"/>
          <w:sz w:val="20"/>
          <w:szCs w:val="20"/>
          <w:lang w:val="fr-FR" w:eastAsia="fr-FR"/>
        </w:rPr>
        <w:t xml:space="preserve"> </w:t>
      </w:r>
      <w:r w:rsidRPr="00514D53">
        <w:rPr>
          <w:rFonts w:ascii="Arial" w:hAnsi="Arial" w:cs="Arial"/>
          <w:sz w:val="20"/>
          <w:szCs w:val="20"/>
        </w:rPr>
        <w:t>repose sur une ligne à écartement métrique unique qui relie Dakar à Bamako sur 1.286 km dont 642 km au Mali et dessert 24 gares dans le pays. La ligne est en mauvais état sur tout le linéaire. La réhabilitation de la ligne Dakar- Bamako, les projets d’interconnexions régionales étudiés par la CEDEAO et l’UEMOA ainsi que la construction de lignes pour l’exploitation de gisements miniers constituent les perspectives de développement du transport ferroviaire (MEATD, 2015).</w:t>
      </w:r>
    </w:p>
    <w:p w14:paraId="18BDB604" w14:textId="77777777" w:rsidR="00802BA9" w:rsidRPr="00514D53" w:rsidRDefault="00802BA9" w:rsidP="00514D53">
      <w:pPr>
        <w:spacing w:before="120" w:after="120" w:line="240" w:lineRule="auto"/>
        <w:rPr>
          <w:rFonts w:ascii="Arial" w:eastAsia="Calibri" w:hAnsi="Arial" w:cs="Arial"/>
          <w:sz w:val="20"/>
          <w:szCs w:val="20"/>
          <w:lang w:val="fr-FR" w:eastAsia="fr-FR"/>
        </w:rPr>
      </w:pPr>
      <w:r w:rsidRPr="00514D53">
        <w:rPr>
          <w:rFonts w:ascii="Arial" w:eastAsia="Calibri" w:hAnsi="Arial" w:cs="Arial"/>
          <w:sz w:val="20"/>
          <w:szCs w:val="20"/>
          <w:lang w:val="fr-FR" w:eastAsia="fr-FR"/>
        </w:rPr>
        <w:t xml:space="preserve">Le </w:t>
      </w:r>
      <w:r w:rsidRPr="00514D53">
        <w:rPr>
          <w:rFonts w:ascii="Arial" w:eastAsia="Calibri" w:hAnsi="Arial" w:cs="Arial"/>
          <w:b/>
          <w:sz w:val="20"/>
          <w:szCs w:val="20"/>
          <w:lang w:val="fr-FR" w:eastAsia="fr-FR"/>
        </w:rPr>
        <w:t>transport fluvial</w:t>
      </w:r>
      <w:r w:rsidRPr="00514D53">
        <w:rPr>
          <w:rFonts w:ascii="Arial" w:eastAsia="Calibri" w:hAnsi="Arial" w:cs="Arial"/>
          <w:sz w:val="20"/>
          <w:szCs w:val="20"/>
          <w:lang w:val="fr-FR" w:eastAsia="fr-FR"/>
        </w:rPr>
        <w:t xml:space="preserve"> dispose de nombreux biefs navigables sur les fleuves Sénégal et Niger totalisant 2.334 Km de voies mais qui ne sont navigables que sur 4 à 7,5 mois par an ; navigabilité dépendant de la hauteur des fleuves, du niveau d’ensablement. Les trafics sont assurés principalement par les artisans piroguiers (100.000 tonnes de marchandises et 100.000 passagers en 2013) et secondairement par la COMANAV (7.095 tonnes de marchandise et 6.767 passagers en 2013) -MEATD, 2015). Actuellement, il n’existe pas de Code fluvial du fleuve Niger.</w:t>
      </w:r>
    </w:p>
    <w:p w14:paraId="40FC7E8F" w14:textId="77777777" w:rsidR="00802BA9" w:rsidRPr="00514D53" w:rsidRDefault="00802BA9" w:rsidP="00514D53">
      <w:pPr>
        <w:spacing w:before="120" w:after="120" w:line="240" w:lineRule="auto"/>
        <w:rPr>
          <w:rFonts w:ascii="Arial" w:eastAsia="Calibri" w:hAnsi="Arial" w:cs="Arial"/>
          <w:sz w:val="20"/>
          <w:szCs w:val="20"/>
          <w:lang w:val="fr-FR" w:eastAsia="fr-FR"/>
        </w:rPr>
      </w:pPr>
      <w:r w:rsidRPr="00514D53">
        <w:rPr>
          <w:rFonts w:ascii="Arial" w:eastAsia="Calibri" w:hAnsi="Arial" w:cs="Arial"/>
          <w:sz w:val="20"/>
          <w:szCs w:val="20"/>
          <w:lang w:val="fr-FR" w:eastAsia="fr-FR"/>
        </w:rPr>
        <w:t xml:space="preserve">Le </w:t>
      </w:r>
      <w:r w:rsidRPr="00514D53">
        <w:rPr>
          <w:rFonts w:ascii="Arial" w:eastAsia="Calibri" w:hAnsi="Arial" w:cs="Arial"/>
          <w:b/>
          <w:sz w:val="20"/>
          <w:szCs w:val="20"/>
          <w:lang w:val="fr-FR" w:eastAsia="fr-FR"/>
        </w:rPr>
        <w:t>transport aérien</w:t>
      </w:r>
      <w:r w:rsidRPr="00514D53">
        <w:rPr>
          <w:rFonts w:ascii="Arial" w:eastAsia="Calibri" w:hAnsi="Arial" w:cs="Arial"/>
          <w:sz w:val="20"/>
          <w:szCs w:val="20"/>
          <w:lang w:val="fr-FR" w:eastAsia="fr-FR"/>
        </w:rPr>
        <w:t xml:space="preserve"> s’appuie sur 26 aéroports et aérodromes ouverts à la circulation aérienne publique dont 6 sont ouverts au trafic international (Bamako Sénou, Kayes, Sikasso, Mopti, Gao et Tombouctou). Après une baisse en 2012 (- 19 % de départs et de fret, INSTAT, 2012), le trafic de passagers augmente régulièrement (+ 37 % pour les passagers et + 43 % pour le fret en 5 ans) pour atteindre 329.514 pour les départs et 287.677 pour les arrivées en 2016 (INSTAT, 2016).</w:t>
      </w:r>
    </w:p>
    <w:p w14:paraId="31901C40" w14:textId="77777777" w:rsidR="00802BA9" w:rsidRDefault="00802BA9" w:rsidP="00514D53">
      <w:pPr>
        <w:spacing w:before="120" w:after="120" w:line="240" w:lineRule="auto"/>
        <w:rPr>
          <w:rFonts w:ascii="Arial" w:eastAsia="Calibri" w:hAnsi="Arial" w:cs="Arial"/>
          <w:sz w:val="20"/>
          <w:szCs w:val="20"/>
          <w:lang w:val="fr-FR" w:eastAsia="fr-FR"/>
        </w:rPr>
      </w:pPr>
      <w:r w:rsidRPr="00514D53">
        <w:rPr>
          <w:rFonts w:ascii="Arial" w:eastAsia="Calibri" w:hAnsi="Arial" w:cs="Arial"/>
          <w:sz w:val="20"/>
          <w:szCs w:val="20"/>
          <w:lang w:val="fr-FR" w:eastAsia="fr-FR"/>
        </w:rPr>
        <w:t>De façon générale, le secteur des transports a un impact environnemental important. En 2012, celui-ci consommait 644,37 ktep soit 20,4 % de la consommation finale d’énergie contre 386,84 ktep en 2007, soit une progression de 66 % et représentait 12 % des émissions de CO2 (MEADD, 2017). En outre, le transport routier participe à la fragmentation des habitats naturels et à l’accès aux ressources naturelles « relativement » protégées grâce à leur isolement.</w:t>
      </w:r>
      <w:r w:rsidRPr="00514D53">
        <w:rPr>
          <w:rFonts w:ascii="Arial" w:hAnsi="Arial" w:cs="Arial"/>
          <w:sz w:val="20"/>
          <w:szCs w:val="20"/>
        </w:rPr>
        <w:t xml:space="preserve"> </w:t>
      </w:r>
      <w:r w:rsidRPr="00514D53">
        <w:rPr>
          <w:rFonts w:ascii="Arial" w:eastAsia="Calibri" w:hAnsi="Arial" w:cs="Arial"/>
          <w:sz w:val="20"/>
          <w:szCs w:val="20"/>
          <w:lang w:val="fr-FR" w:eastAsia="fr-FR"/>
        </w:rPr>
        <w:t>Toutefois, pour ce secteur, les compensations mentionnées dans les PGES sont effectuées</w:t>
      </w:r>
      <w:r w:rsidR="008862DD">
        <w:rPr>
          <w:rFonts w:ascii="Arial" w:eastAsia="Calibri" w:hAnsi="Arial" w:cs="Arial"/>
          <w:sz w:val="20"/>
          <w:szCs w:val="20"/>
          <w:lang w:val="fr-FR" w:eastAsia="fr-FR"/>
        </w:rPr>
        <w:t xml:space="preserve">, </w:t>
      </w:r>
      <w:r w:rsidR="008862DD" w:rsidRPr="00603729">
        <w:rPr>
          <w:rFonts w:ascii="Arial" w:eastAsia="Calibri" w:hAnsi="Arial" w:cs="Arial"/>
          <w:sz w:val="20"/>
          <w:szCs w:val="20"/>
          <w:lang w:val="fr-FR" w:eastAsia="fr-FR"/>
        </w:rPr>
        <w:t>mais parfois douteuses</w:t>
      </w:r>
      <w:r w:rsidRPr="00767C25">
        <w:rPr>
          <w:rFonts w:ascii="Arial" w:eastAsia="Calibri" w:hAnsi="Arial" w:cs="Arial"/>
          <w:sz w:val="20"/>
          <w:szCs w:val="20"/>
          <w:lang w:val="fr-FR" w:eastAsia="fr-FR"/>
        </w:rPr>
        <w:t>.</w:t>
      </w:r>
      <w:r w:rsidRPr="00514D53">
        <w:rPr>
          <w:rFonts w:ascii="Arial" w:eastAsia="Calibri" w:hAnsi="Arial" w:cs="Arial"/>
          <w:sz w:val="20"/>
          <w:szCs w:val="20"/>
          <w:lang w:val="fr-FR" w:eastAsia="fr-FR"/>
        </w:rPr>
        <w:t xml:space="preserve"> A l’avenir, le pays doit se doter d’une réglementation environnementale plus contraignante, se rapprochant de standards mondiaux « propres » avec : i) la mise en œuvre de schéma de circulation urbaine (celui de Bamako date de 1989, ii) un meilleur contrôle de l’état de fonctionnement des véhicules (mise en place du contrôle technique en février 2001), iii) la promotion de pratiques de conduite moins polluantes et la réglementation de l’âge des véhicules en circulation, iv) la limitation des nuisances sonores et atmosphériques générés par les véhicules âgés, v) le développement de transports multimodaux (route / rail / fleuve), vi) la révision de la distribution de carburants plus propres (rapport gasoil / essence)</w:t>
      </w:r>
      <w:r w:rsidR="00CB4B25">
        <w:rPr>
          <w:rStyle w:val="Appelnotedebasdep"/>
          <w:rFonts w:ascii="Arial" w:eastAsia="Calibri" w:hAnsi="Arial" w:cs="Arial"/>
          <w:sz w:val="20"/>
          <w:szCs w:val="20"/>
          <w:lang w:val="fr-FR" w:eastAsia="fr-FR"/>
        </w:rPr>
        <w:footnoteReference w:id="33"/>
      </w:r>
      <w:r w:rsidRPr="00514D53">
        <w:rPr>
          <w:rFonts w:ascii="Arial" w:eastAsia="Calibri" w:hAnsi="Arial" w:cs="Arial"/>
          <w:sz w:val="20"/>
          <w:szCs w:val="20"/>
          <w:lang w:val="fr-FR" w:eastAsia="fr-FR"/>
        </w:rPr>
        <w:t>.</w:t>
      </w:r>
    </w:p>
    <w:p w14:paraId="00989719" w14:textId="77777777" w:rsidR="004B58D4" w:rsidRDefault="004B58D4" w:rsidP="005155BB"/>
    <w:p w14:paraId="78E9575F" w14:textId="77777777" w:rsidR="00802BA9" w:rsidRPr="00514D53" w:rsidRDefault="00802BA9" w:rsidP="00525222">
      <w:pPr>
        <w:pStyle w:val="Titre3"/>
      </w:pPr>
      <w:bookmarkStart w:id="25" w:name="_Toc20505628"/>
      <w:r w:rsidRPr="00514D53">
        <w:t>2.2.9 Tourisme</w:t>
      </w:r>
      <w:bookmarkEnd w:id="25"/>
    </w:p>
    <w:p w14:paraId="2AC9C7AF" w14:textId="77777777" w:rsidR="00802BA9" w:rsidRPr="00514D53" w:rsidRDefault="00802BA9" w:rsidP="00514D53">
      <w:pPr>
        <w:spacing w:before="120" w:after="120" w:line="240" w:lineRule="auto"/>
        <w:rPr>
          <w:rFonts w:ascii="Arial" w:eastAsia="Calibri" w:hAnsi="Arial" w:cs="Arial"/>
          <w:sz w:val="20"/>
          <w:szCs w:val="20"/>
          <w:lang w:val="fr-FR" w:eastAsia="fr-FR"/>
        </w:rPr>
      </w:pPr>
      <w:r w:rsidRPr="00514D53">
        <w:rPr>
          <w:rFonts w:ascii="Arial" w:eastAsia="Calibri" w:hAnsi="Arial" w:cs="Arial"/>
          <w:sz w:val="20"/>
          <w:szCs w:val="20"/>
          <w:lang w:val="fr-FR" w:eastAsia="fr-FR"/>
        </w:rPr>
        <w:t>A côté d’une grande diversité naturelle (§ 2.1</w:t>
      </w:r>
      <w:r w:rsidR="00105F75" w:rsidRPr="00514D53">
        <w:rPr>
          <w:rFonts w:ascii="Arial" w:eastAsia="Calibri" w:hAnsi="Arial" w:cs="Arial"/>
          <w:sz w:val="20"/>
          <w:szCs w:val="20"/>
          <w:lang w:val="fr-FR" w:eastAsia="fr-FR"/>
        </w:rPr>
        <w:t>.2</w:t>
      </w:r>
      <w:r w:rsidRPr="00514D53">
        <w:rPr>
          <w:rFonts w:ascii="Arial" w:eastAsia="Calibri" w:hAnsi="Arial" w:cs="Arial"/>
          <w:sz w:val="20"/>
          <w:szCs w:val="20"/>
          <w:lang w:val="fr-FR" w:eastAsia="fr-FR"/>
        </w:rPr>
        <w:t>), le Mali présente un patrimoine culturel très riche avec 4 sites inscrits sur la liste du Patrimoine Mondial de l’UNESCO</w:t>
      </w:r>
      <w:r w:rsidRPr="00514D53">
        <w:rPr>
          <w:rStyle w:val="Appelnotedebasdep"/>
          <w:rFonts w:ascii="Arial" w:eastAsia="Calibri" w:hAnsi="Arial" w:cs="Arial"/>
          <w:sz w:val="20"/>
          <w:szCs w:val="20"/>
          <w:lang w:val="fr-FR" w:eastAsia="fr-FR"/>
        </w:rPr>
        <w:footnoteReference w:id="34"/>
      </w:r>
      <w:r w:rsidRPr="00514D53">
        <w:rPr>
          <w:rFonts w:ascii="Arial" w:eastAsia="Calibri" w:hAnsi="Arial" w:cs="Arial"/>
          <w:sz w:val="20"/>
          <w:szCs w:val="20"/>
          <w:lang w:val="fr-FR" w:eastAsia="fr-FR"/>
        </w:rPr>
        <w:t>, 2 sur la liste de sauvegarde urgente du Patrimoine Culturel de l’Humanité</w:t>
      </w:r>
      <w:r w:rsidRPr="00514D53">
        <w:rPr>
          <w:rStyle w:val="Appelnotedebasdep"/>
          <w:rFonts w:ascii="Arial" w:eastAsia="Calibri" w:hAnsi="Arial" w:cs="Arial"/>
          <w:sz w:val="20"/>
          <w:szCs w:val="20"/>
          <w:lang w:val="fr-FR" w:eastAsia="fr-FR"/>
        </w:rPr>
        <w:footnoteReference w:id="35"/>
      </w:r>
      <w:r w:rsidRPr="00514D53">
        <w:rPr>
          <w:rFonts w:ascii="Arial" w:eastAsia="Calibri" w:hAnsi="Arial" w:cs="Arial"/>
          <w:sz w:val="20"/>
          <w:szCs w:val="20"/>
          <w:lang w:val="fr-FR" w:eastAsia="fr-FR"/>
        </w:rPr>
        <w:t xml:space="preserve"> et 6 éléments sur la liste du Patrimoine culturel immatériel</w:t>
      </w:r>
      <w:r w:rsidRPr="00514D53">
        <w:rPr>
          <w:rStyle w:val="Appelnotedebasdep"/>
          <w:rFonts w:ascii="Arial" w:eastAsia="Calibri" w:hAnsi="Arial" w:cs="Arial"/>
          <w:sz w:val="20"/>
          <w:szCs w:val="20"/>
          <w:lang w:val="fr-FR" w:eastAsia="fr-FR"/>
        </w:rPr>
        <w:footnoteReference w:id="36"/>
      </w:r>
      <w:r w:rsidRPr="00514D53">
        <w:rPr>
          <w:rFonts w:ascii="Arial" w:eastAsia="Calibri" w:hAnsi="Arial" w:cs="Arial"/>
          <w:sz w:val="20"/>
          <w:szCs w:val="20"/>
          <w:lang w:val="fr-FR" w:eastAsia="fr-FR"/>
        </w:rPr>
        <w:t xml:space="preserve">. Jusqu’en 2012, le tourisme contribuait aux environs de 2 à 3 % du PIB. Depuis, face à la crise politico sécuritaire, le secteur </w:t>
      </w:r>
      <w:r w:rsidRPr="00514D53">
        <w:rPr>
          <w:rFonts w:ascii="Arial" w:eastAsia="Calibri" w:hAnsi="Arial" w:cs="Arial"/>
          <w:sz w:val="20"/>
          <w:szCs w:val="20"/>
          <w:lang w:val="fr-FR" w:eastAsia="fr-FR"/>
        </w:rPr>
        <w:lastRenderedPageBreak/>
        <w:t>s’est effondré suite à l’abandon de la destination, la fermeture de certains établissements de tourisme, la destruction d’autres, le licenciement ou la mise en chômage technique des agents. En 2016, le nombre de visiteurs internationaux atteignait 173.246 (DNTH in : INSTAT, 2016) mais il est probable que peu venaient pour admirer le patrimoine culturel. Les efforts internationaux sont en cours pour sauver et restaurer les bibliothèques, mausolées et scripts de Tombouctou et de Gao, pour lutter contre la vente illicite des manuscrits et d’autres objets culturels.</w:t>
      </w:r>
    </w:p>
    <w:p w14:paraId="19FE4072" w14:textId="77777777" w:rsidR="00802BA9" w:rsidRDefault="00802BA9" w:rsidP="00514D53">
      <w:pPr>
        <w:spacing w:before="120" w:after="120" w:line="240" w:lineRule="auto"/>
        <w:rPr>
          <w:rFonts w:ascii="Arial" w:eastAsia="Calibri" w:hAnsi="Arial" w:cs="Arial"/>
          <w:sz w:val="20"/>
          <w:szCs w:val="20"/>
          <w:lang w:val="fr-FR" w:eastAsia="fr-FR"/>
        </w:rPr>
      </w:pPr>
      <w:r w:rsidRPr="00514D53">
        <w:rPr>
          <w:rFonts w:ascii="Arial" w:eastAsia="Calibri" w:hAnsi="Arial" w:cs="Arial"/>
          <w:sz w:val="20"/>
          <w:szCs w:val="20"/>
          <w:lang w:val="fr-FR" w:eastAsia="fr-FR"/>
        </w:rPr>
        <w:t>Le tourisme est un catalyseur de l’artisanat mais a des impacts environnementaux négatifs suite à la consommation élevée d’eau potable, d’énergie et à la production de déchets. Lors de la reprise de ce secteur, il sera important d’encourager l’écotourisme/ tourisme durable (forme de tourisme très faible avant la crise de 2012), de développer des partenariats entre les collectivités territoriales et les acteurs privés de tourisme à travers la mise en place de syndicats d’initiatives et la réalisation de programmes et projets d’intérêts touristiques.</w:t>
      </w:r>
    </w:p>
    <w:p w14:paraId="49FB0DE9" w14:textId="77777777" w:rsidR="00514D53" w:rsidRPr="00514D53" w:rsidRDefault="00514D53" w:rsidP="00514D53">
      <w:pPr>
        <w:spacing w:before="120" w:after="120" w:line="240" w:lineRule="auto"/>
        <w:rPr>
          <w:rFonts w:ascii="Arial" w:eastAsia="Calibri" w:hAnsi="Arial" w:cs="Arial"/>
          <w:sz w:val="20"/>
          <w:szCs w:val="20"/>
          <w:lang w:val="fr-FR" w:eastAsia="fr-FR"/>
        </w:rPr>
      </w:pPr>
    </w:p>
    <w:p w14:paraId="3F517BD6" w14:textId="77777777" w:rsidR="00802BA9" w:rsidRPr="00514D53" w:rsidRDefault="00802BA9" w:rsidP="00525222">
      <w:pPr>
        <w:pStyle w:val="Titre3"/>
      </w:pPr>
      <w:bookmarkStart w:id="26" w:name="_Toc20505629"/>
      <w:r w:rsidRPr="00514D53">
        <w:t>2.2.10 La gestion des déchets</w:t>
      </w:r>
      <w:bookmarkEnd w:id="26"/>
    </w:p>
    <w:p w14:paraId="34089291" w14:textId="77777777" w:rsidR="00802BA9" w:rsidRPr="00514D53" w:rsidRDefault="00802BA9" w:rsidP="00514D53">
      <w:pPr>
        <w:spacing w:before="120" w:after="120" w:line="240" w:lineRule="auto"/>
        <w:rPr>
          <w:rFonts w:ascii="Arial" w:hAnsi="Arial" w:cs="Arial"/>
          <w:sz w:val="20"/>
          <w:szCs w:val="20"/>
          <w:lang w:val="fr-FR"/>
        </w:rPr>
      </w:pPr>
      <w:r w:rsidRPr="00514D53">
        <w:rPr>
          <w:rFonts w:ascii="Arial" w:hAnsi="Arial" w:cs="Arial"/>
          <w:sz w:val="20"/>
          <w:szCs w:val="20"/>
          <w:lang w:val="fr-FR"/>
        </w:rPr>
        <w:t xml:space="preserve">La progression dans la gestion des déchets ne suit pas la croissance démographique et l’urbanisation croissante du Mali et la situation diffère selon les déchets à traiter. </w:t>
      </w:r>
    </w:p>
    <w:p w14:paraId="47EB85A3" w14:textId="77777777" w:rsidR="00802BA9" w:rsidRPr="00514D53" w:rsidRDefault="00802BA9" w:rsidP="00514D53">
      <w:pPr>
        <w:autoSpaceDE w:val="0"/>
        <w:autoSpaceDN w:val="0"/>
        <w:adjustRightInd w:val="0"/>
        <w:spacing w:before="120" w:after="120" w:line="240" w:lineRule="auto"/>
        <w:rPr>
          <w:rFonts w:ascii="Arial" w:eastAsia="Calibri" w:hAnsi="Arial" w:cs="Arial"/>
          <w:sz w:val="20"/>
          <w:szCs w:val="20"/>
          <w:lang w:val="fr-FR" w:eastAsia="fr-FR"/>
        </w:rPr>
      </w:pPr>
      <w:r w:rsidRPr="00514D53">
        <w:rPr>
          <w:rFonts w:ascii="Arial" w:hAnsi="Arial" w:cs="Arial"/>
          <w:sz w:val="20"/>
          <w:szCs w:val="20"/>
          <w:lang w:val="fr-FR"/>
        </w:rPr>
        <w:t xml:space="preserve">Au niveau des </w:t>
      </w:r>
      <w:r w:rsidRPr="00514D53">
        <w:rPr>
          <w:rFonts w:ascii="Arial" w:hAnsi="Arial" w:cs="Arial"/>
          <w:b/>
          <w:sz w:val="20"/>
          <w:szCs w:val="20"/>
          <w:lang w:val="fr-FR"/>
        </w:rPr>
        <w:t>déchets liquides</w:t>
      </w:r>
      <w:r w:rsidRPr="00514D53">
        <w:rPr>
          <w:rFonts w:ascii="Arial" w:hAnsi="Arial" w:cs="Arial"/>
          <w:sz w:val="20"/>
          <w:szCs w:val="20"/>
          <w:lang w:val="fr-FR"/>
        </w:rPr>
        <w:t xml:space="preserve">, l’accès à un service d’assainissement amélioré et durable est de 27 % en 2016 contre 24% en 2015 (Mali, 2018) avec un taux d’accès plus élevé en milieu urbain (35 %) qu’en milieu rural (14 %) </w:t>
      </w:r>
      <w:r w:rsidR="00105F75" w:rsidRPr="00514D53">
        <w:rPr>
          <w:rFonts w:ascii="Arial" w:hAnsi="Arial" w:cs="Arial"/>
          <w:sz w:val="20"/>
          <w:szCs w:val="20"/>
          <w:lang w:val="fr-FR"/>
        </w:rPr>
        <w:t>(</w:t>
      </w:r>
      <w:r w:rsidRPr="00514D53">
        <w:rPr>
          <w:rFonts w:ascii="Arial" w:hAnsi="Arial" w:cs="Arial"/>
          <w:sz w:val="20"/>
          <w:szCs w:val="20"/>
          <w:lang w:val="fr-FR"/>
        </w:rPr>
        <w:t>CT-CSLP, 2016</w:t>
      </w:r>
      <w:r w:rsidR="00105F75" w:rsidRPr="00514D53">
        <w:rPr>
          <w:rFonts w:ascii="Arial" w:hAnsi="Arial" w:cs="Arial"/>
          <w:sz w:val="20"/>
          <w:szCs w:val="20"/>
          <w:lang w:val="fr-FR"/>
        </w:rPr>
        <w:t>)</w:t>
      </w:r>
      <w:r w:rsidRPr="00514D53">
        <w:rPr>
          <w:rFonts w:ascii="Arial" w:hAnsi="Arial" w:cs="Arial"/>
          <w:sz w:val="20"/>
          <w:szCs w:val="20"/>
          <w:lang w:val="fr-FR"/>
        </w:rPr>
        <w:t>. Les populations utilisent majoritairement des ouvrages d’assainissement autonomes ; l’assainissement collectif ou semi collectif ne concernant que quelques quartiers de Bamako et certaines capitales régionales. Le tout à l’égout existe uniquement dans la capitale et dessert moins de 1% des habitants de Bamako. Actuellement, le pays dispose de stations de traitement des eaux résiduaires urbaine</w:t>
      </w:r>
      <w:r w:rsidR="00767C25">
        <w:rPr>
          <w:rFonts w:ascii="Arial" w:hAnsi="Arial" w:cs="Arial"/>
          <w:sz w:val="20"/>
          <w:szCs w:val="20"/>
          <w:lang w:val="fr-FR"/>
        </w:rPr>
        <w:t>s</w:t>
      </w:r>
      <w:r w:rsidRPr="00514D53">
        <w:rPr>
          <w:rFonts w:ascii="Arial" w:hAnsi="Arial" w:cs="Arial"/>
          <w:sz w:val="20"/>
          <w:szCs w:val="20"/>
          <w:lang w:val="fr-FR"/>
        </w:rPr>
        <w:t xml:space="preserve"> (STEU) dans la ZI de Sotuba</w:t>
      </w:r>
      <w:r w:rsidRPr="00514D53">
        <w:rPr>
          <w:rStyle w:val="Appelnotedebasdep"/>
          <w:rFonts w:ascii="Arial" w:hAnsi="Arial" w:cs="Arial"/>
          <w:sz w:val="20"/>
          <w:szCs w:val="20"/>
          <w:lang w:val="fr-FR"/>
        </w:rPr>
        <w:footnoteReference w:id="37"/>
      </w:r>
      <w:r w:rsidRPr="00514D53">
        <w:rPr>
          <w:rFonts w:ascii="Arial" w:hAnsi="Arial" w:cs="Arial"/>
          <w:sz w:val="20"/>
          <w:szCs w:val="20"/>
          <w:lang w:val="fr-FR"/>
        </w:rPr>
        <w:t xml:space="preserve">, l’hôpital du Point G, la cité administrative et trois STEU dans 3 villes de régions (hôpital de Sikasso, Mopti, et Tombouctou). En 2016, les stations existantes ont traité 504.000 m3 d’eaux usées industrielles, 272.250 m3 d’eaux usées des hôpitaux et 162.000 m3 d’eaux usées domestiques (ANGESEM, 2016 in : AEDD 2018). La situation des latrines a grandement progressé grâce à l’Assainissement Total Piloté par les Communautés (ATPC) et 30 % des ménages disposent de latrines améliorées contre 25 % en 2015 (Mali, 2018). Les quelques stations de traitement des boues (Satinébougou et Samanko II pour la ville de Bamako, stations de Mopti et de Tombouctou) ne sont pas suffisantes et/ou souffrent de problèmes de fonctionnement (2 stations additionnelles sont prévues) pour traiter les boues des camions vidangeurs (environ 200 pour la ville de Bamako) ; camions qui rejettent principalement dans la NATURE.  Enfin, le drainage des eaux pluviales reste faible ; le réseau collecteurs-caniveaux, par exemple à Bamako fait environ 400 km (PRRE, 2013). </w:t>
      </w:r>
    </w:p>
    <w:p w14:paraId="3172AA90" w14:textId="77777777" w:rsidR="00802BA9" w:rsidRPr="00514D53" w:rsidRDefault="00802BA9" w:rsidP="00514D53">
      <w:pPr>
        <w:spacing w:before="120" w:after="120" w:line="240" w:lineRule="auto"/>
        <w:rPr>
          <w:rFonts w:ascii="Arial" w:hAnsi="Arial" w:cs="Arial"/>
          <w:sz w:val="20"/>
          <w:szCs w:val="20"/>
          <w:lang w:val="fr-FR"/>
        </w:rPr>
      </w:pPr>
      <w:r w:rsidRPr="00514D53">
        <w:rPr>
          <w:rFonts w:ascii="Arial" w:hAnsi="Arial" w:cs="Arial"/>
          <w:sz w:val="20"/>
          <w:szCs w:val="20"/>
          <w:lang w:val="fr-FR"/>
        </w:rPr>
        <w:t xml:space="preserve">Sur le plan des </w:t>
      </w:r>
      <w:r w:rsidRPr="00514D53">
        <w:rPr>
          <w:rFonts w:ascii="Arial" w:hAnsi="Arial" w:cs="Arial"/>
          <w:b/>
          <w:sz w:val="20"/>
          <w:szCs w:val="20"/>
          <w:lang w:val="fr-FR"/>
        </w:rPr>
        <w:t>déchets solides</w:t>
      </w:r>
      <w:r w:rsidRPr="00514D53">
        <w:rPr>
          <w:rStyle w:val="Appelnotedebasdep"/>
          <w:rFonts w:ascii="Arial" w:hAnsi="Arial" w:cs="Arial"/>
          <w:b/>
          <w:sz w:val="20"/>
          <w:szCs w:val="20"/>
          <w:lang w:val="fr-FR"/>
        </w:rPr>
        <w:footnoteReference w:id="38"/>
      </w:r>
      <w:r w:rsidRPr="00514D53">
        <w:rPr>
          <w:rFonts w:ascii="Arial" w:hAnsi="Arial" w:cs="Arial"/>
          <w:sz w:val="20"/>
          <w:szCs w:val="20"/>
          <w:lang w:val="fr-FR"/>
        </w:rPr>
        <w:t>, seuls 40% à 60% selon les villes sont évacués vers les dépôts finaux. La gestion des dépôts de transit est très mauvaise</w:t>
      </w:r>
      <w:r w:rsidRPr="00514D53">
        <w:rPr>
          <w:rStyle w:val="Appelnotedebasdep"/>
          <w:rFonts w:ascii="Arial" w:hAnsi="Arial" w:cs="Arial"/>
          <w:sz w:val="20"/>
          <w:szCs w:val="20"/>
          <w:lang w:val="fr-FR"/>
        </w:rPr>
        <w:footnoteReference w:id="39"/>
      </w:r>
      <w:r w:rsidRPr="00514D53">
        <w:rPr>
          <w:rFonts w:ascii="Arial" w:hAnsi="Arial" w:cs="Arial"/>
          <w:sz w:val="20"/>
          <w:szCs w:val="20"/>
          <w:lang w:val="fr-FR"/>
        </w:rPr>
        <w:t>, ce qui entraîne de nombreux dépôts anarchiques. Durant la saison des pluies, les lixiviats des dépôts de transit, riches en bactéries et en substances minérales, peuvent se mélanger aux eaux de surface comme aux eaux souterraines et donc constituer un élément polluant tant par leur aspect quantitatif que qualitatif. De façon générale, les villes, et notamment Bamako, rencontrent d’importants problèmes au niveau des dépôts de transit (diminution du nombre suite au développement de l’urbanisation, évacuation partielle des déchets). Très souvent les déchets biomédicaux (provenant surtout du secteur privé), les déchets industriels sont ajoutés aux déchets ménagers. La pré-collecte des déchets ménagers semble majoritairement confiée au secteur privé, incombant pour partie aux GIE et pour partie aux entreprises disposant de moyens mécanisés (OZONE MALI, MACROWASTE) ; le secteur privé s’occupant aussi de la propreté urbaine et de l’aménagement de certaines infrastructures pour le traitement des déchets.</w:t>
      </w:r>
    </w:p>
    <w:p w14:paraId="170622D1" w14:textId="77777777" w:rsidR="00802BA9" w:rsidRPr="00514D53" w:rsidRDefault="00802BA9" w:rsidP="00514D53">
      <w:pPr>
        <w:spacing w:before="120" w:after="120" w:line="240" w:lineRule="auto"/>
        <w:rPr>
          <w:rFonts w:ascii="Arial" w:hAnsi="Arial" w:cs="Arial"/>
          <w:sz w:val="20"/>
          <w:szCs w:val="20"/>
          <w:lang w:val="fr-FR"/>
        </w:rPr>
      </w:pPr>
      <w:r w:rsidRPr="00514D53">
        <w:rPr>
          <w:rFonts w:ascii="Arial" w:hAnsi="Arial" w:cs="Arial"/>
          <w:sz w:val="20"/>
          <w:szCs w:val="20"/>
          <w:lang w:val="fr-FR"/>
        </w:rPr>
        <w:t>Le pays possède une décharge finale à Sikasso, une à Tombouctou (peu aménagée) et une à Bamako</w:t>
      </w:r>
      <w:r w:rsidR="00E37688" w:rsidRPr="00E37688">
        <w:t xml:space="preserve"> </w:t>
      </w:r>
      <w:r w:rsidR="00E37688" w:rsidRPr="00E37688">
        <w:rPr>
          <w:rFonts w:ascii="Arial" w:hAnsi="Arial" w:cs="Arial"/>
          <w:sz w:val="20"/>
          <w:szCs w:val="20"/>
          <w:lang w:val="fr-FR"/>
        </w:rPr>
        <w:t>qui est devenue non fonctionnelle</w:t>
      </w:r>
      <w:r w:rsidRPr="00514D53">
        <w:rPr>
          <w:rFonts w:ascii="Arial" w:hAnsi="Arial" w:cs="Arial"/>
          <w:sz w:val="20"/>
          <w:szCs w:val="20"/>
          <w:lang w:val="fr-FR"/>
        </w:rPr>
        <w:t xml:space="preserve">. Les décharges finales des deux premières villes manquent de moyens et celle du district de Bamako, Décharge Compactée et Contrôlée (DCC) de Noumoubougou dans la Commune Rurale de Tienfala, présente des vices de forme. Le recueil des lixiviats est mal conçu, la rampe d’accès de la première cellule ne peut pas être utilisée par les camions et le compactage ne peut pas être effectué. </w:t>
      </w:r>
    </w:p>
    <w:p w14:paraId="617270DC" w14:textId="77777777" w:rsidR="00802BA9" w:rsidRDefault="00802BA9" w:rsidP="00514D53">
      <w:pPr>
        <w:spacing w:before="120" w:after="120" w:line="240" w:lineRule="auto"/>
        <w:rPr>
          <w:rFonts w:ascii="Arial" w:hAnsi="Arial" w:cs="Arial"/>
          <w:sz w:val="20"/>
          <w:szCs w:val="20"/>
          <w:lang w:val="fr-FR"/>
        </w:rPr>
      </w:pPr>
      <w:r w:rsidRPr="00514D53">
        <w:rPr>
          <w:rFonts w:ascii="Arial" w:hAnsi="Arial" w:cs="Arial"/>
          <w:sz w:val="20"/>
          <w:szCs w:val="20"/>
          <w:lang w:val="fr-FR"/>
        </w:rPr>
        <w:t xml:space="preserve">Dans le cadre du projet AEP de Kabala, le Schéma directeur d’assainissement de Bamako est en cours d’actualisation intégrant les communes de Kalabancoro, Tiébani et Tabala. Au stade actuel, il apparait une </w:t>
      </w:r>
      <w:r w:rsidRPr="00514D53">
        <w:rPr>
          <w:rFonts w:ascii="Arial" w:hAnsi="Arial" w:cs="Arial"/>
          <w:sz w:val="20"/>
          <w:szCs w:val="20"/>
          <w:lang w:val="fr-FR"/>
        </w:rPr>
        <w:lastRenderedPageBreak/>
        <w:t>faible valorisation des déchets organiques en compost, une insuffisance de contenants appropriés pour la pré-collecte et le conditionnement des déchets biomédicaux, notamment, au niveau des structures de santé du privé, un faible recyclage des métaux et des plastiques et aucune unité de traitement des déchets électriques et électronique.</w:t>
      </w:r>
      <w:r w:rsidR="004B58D4">
        <w:rPr>
          <w:rFonts w:ascii="Arial" w:hAnsi="Arial" w:cs="Arial"/>
          <w:sz w:val="20"/>
          <w:szCs w:val="20"/>
          <w:lang w:val="fr-FR"/>
        </w:rPr>
        <w:t xml:space="preserve"> </w:t>
      </w:r>
      <w:r w:rsidR="004B58D4" w:rsidRPr="00603729">
        <w:rPr>
          <w:rFonts w:ascii="Arial" w:hAnsi="Arial" w:cs="Arial"/>
          <w:sz w:val="20"/>
          <w:szCs w:val="20"/>
          <w:lang w:val="fr-FR"/>
        </w:rPr>
        <w:t>En outre, il existe</w:t>
      </w:r>
      <w:r w:rsidR="00592452" w:rsidRPr="00603729">
        <w:rPr>
          <w:rFonts w:ascii="Arial" w:hAnsi="Arial" w:cs="Arial"/>
          <w:sz w:val="20"/>
          <w:szCs w:val="20"/>
          <w:lang w:val="fr-FR"/>
        </w:rPr>
        <w:t xml:space="preserve">, pour certains, </w:t>
      </w:r>
      <w:r w:rsidR="004B58D4" w:rsidRPr="00603729">
        <w:rPr>
          <w:rFonts w:ascii="Arial" w:hAnsi="Arial" w:cs="Arial"/>
          <w:sz w:val="20"/>
          <w:szCs w:val="20"/>
          <w:lang w:val="fr-FR"/>
        </w:rPr>
        <w:t xml:space="preserve">une méconnaissance de la dangerosité des déchets </w:t>
      </w:r>
      <w:r w:rsidR="00592452" w:rsidRPr="00603729">
        <w:rPr>
          <w:rFonts w:ascii="Arial" w:hAnsi="Arial" w:cs="Arial"/>
          <w:sz w:val="20"/>
          <w:szCs w:val="20"/>
          <w:lang w:val="fr-FR"/>
        </w:rPr>
        <w:t>et de l’incivisme.</w:t>
      </w:r>
    </w:p>
    <w:p w14:paraId="7E6085F4" w14:textId="77777777" w:rsidR="00514D53" w:rsidRPr="004B58D4" w:rsidRDefault="00514D53" w:rsidP="00514D53">
      <w:pPr>
        <w:spacing w:before="120" w:after="120" w:line="240" w:lineRule="auto"/>
        <w:rPr>
          <w:rFonts w:ascii="Arial" w:hAnsi="Arial" w:cs="Arial"/>
          <w:color w:val="FF0000"/>
          <w:sz w:val="20"/>
          <w:szCs w:val="20"/>
          <w:lang w:val="fr-FR"/>
        </w:rPr>
      </w:pPr>
    </w:p>
    <w:p w14:paraId="57FFE045" w14:textId="77777777" w:rsidR="00802BA9" w:rsidRPr="00514D53" w:rsidRDefault="00802BA9" w:rsidP="00525222">
      <w:pPr>
        <w:pStyle w:val="Titre3"/>
      </w:pPr>
      <w:bookmarkStart w:id="27" w:name="_Toc20505630"/>
      <w:r w:rsidRPr="00514D53">
        <w:t>2.2.11 Emissions de Gaz à Effet de Serre (GES) et leurs sources</w:t>
      </w:r>
      <w:bookmarkEnd w:id="27"/>
    </w:p>
    <w:p w14:paraId="0E4B9002" w14:textId="77777777" w:rsidR="002B192A" w:rsidRPr="00514D53" w:rsidRDefault="00802BA9" w:rsidP="00514D53">
      <w:pPr>
        <w:spacing w:before="120" w:after="120" w:line="240" w:lineRule="auto"/>
        <w:rPr>
          <w:rFonts w:ascii="Arial" w:eastAsia="Calibri" w:hAnsi="Arial" w:cs="Arial"/>
          <w:sz w:val="20"/>
          <w:szCs w:val="20"/>
          <w:lang w:val="fr-FR" w:eastAsia="fr-FR"/>
        </w:rPr>
      </w:pPr>
      <w:r w:rsidRPr="00514D53">
        <w:rPr>
          <w:rFonts w:ascii="Arial" w:eastAsia="Calibri" w:hAnsi="Arial" w:cs="Arial"/>
          <w:sz w:val="20"/>
          <w:szCs w:val="20"/>
          <w:lang w:val="fr-FR" w:eastAsia="fr-FR"/>
        </w:rPr>
        <w:t>Selon la Troisième Communication Nationale ou TCN (MEADD, 2017), les émissions de Gaz à Effet de Serre (GES) pour l’année de référence 2010 au Mali, selon les secteurs, sont les suivantes avec :</w:t>
      </w:r>
    </w:p>
    <w:p w14:paraId="03E06782" w14:textId="77777777" w:rsidR="002B192A" w:rsidRPr="00514D53" w:rsidRDefault="002B192A" w:rsidP="00514D53">
      <w:pPr>
        <w:pStyle w:val="Pardeliste"/>
        <w:numPr>
          <w:ilvl w:val="0"/>
          <w:numId w:val="36"/>
        </w:numPr>
        <w:spacing w:before="120" w:after="120" w:line="240" w:lineRule="auto"/>
        <w:rPr>
          <w:rFonts w:ascii="Arial" w:eastAsia="Calibri" w:hAnsi="Arial" w:cs="Arial"/>
          <w:sz w:val="20"/>
          <w:szCs w:val="20"/>
          <w:lang w:val="fr-FR" w:eastAsia="fr-FR"/>
        </w:rPr>
      </w:pPr>
      <w:r w:rsidRPr="00514D53">
        <w:rPr>
          <w:rFonts w:ascii="Arial" w:eastAsia="Calibri" w:hAnsi="Arial" w:cs="Arial"/>
          <w:b/>
          <w:sz w:val="20"/>
          <w:szCs w:val="20"/>
          <w:lang w:val="fr-FR" w:eastAsia="fr-FR"/>
        </w:rPr>
        <w:t>Changement d’Affectation des Terres </w:t>
      </w:r>
      <w:r w:rsidRPr="00514D53">
        <w:rPr>
          <w:rFonts w:ascii="Arial" w:eastAsia="Calibri" w:hAnsi="Arial" w:cs="Arial"/>
          <w:sz w:val="20"/>
          <w:szCs w:val="20"/>
          <w:lang w:val="fr-FR" w:eastAsia="fr-FR"/>
        </w:rPr>
        <w:t xml:space="preserve">: Absorption de </w:t>
      </w:r>
      <w:r w:rsidRPr="00514D53">
        <w:rPr>
          <w:rFonts w:ascii="Arial" w:eastAsia="Calibri" w:hAnsi="Arial" w:cs="Arial"/>
          <w:b/>
          <w:sz w:val="20"/>
          <w:szCs w:val="20"/>
          <w:lang w:val="fr-FR" w:eastAsia="fr-FR"/>
        </w:rPr>
        <w:t>244.799 kTE-CO2</w:t>
      </w:r>
      <w:r w:rsidRPr="00514D53">
        <w:rPr>
          <w:rStyle w:val="Appelnotedebasdep"/>
          <w:rFonts w:ascii="Arial" w:eastAsia="Calibri" w:hAnsi="Arial" w:cs="Arial"/>
          <w:b/>
          <w:sz w:val="20"/>
          <w:szCs w:val="20"/>
          <w:lang w:val="fr-FR" w:eastAsia="fr-FR"/>
        </w:rPr>
        <w:footnoteReference w:id="40"/>
      </w:r>
      <w:r w:rsidRPr="00514D53">
        <w:rPr>
          <w:rFonts w:ascii="Arial" w:eastAsia="Calibri" w:hAnsi="Arial" w:cs="Arial"/>
          <w:sz w:val="20"/>
          <w:szCs w:val="20"/>
          <w:lang w:val="fr-FR" w:eastAsia="fr-FR"/>
        </w:rPr>
        <w:t xml:space="preserve"> répartis entre une absorption des </w:t>
      </w:r>
      <w:r w:rsidRPr="008E7F14">
        <w:rPr>
          <w:rFonts w:ascii="Arial" w:eastAsia="Calibri" w:hAnsi="Arial" w:cs="Arial"/>
          <w:sz w:val="20"/>
          <w:szCs w:val="20"/>
          <w:lang w:val="fr-FR" w:eastAsia="fr-FR"/>
        </w:rPr>
        <w:t>forêts (779.906 kTE-CO2 moins leurs émissions 17.972 kTE-CO2 dont 378 kTE-CO2 pour le méthane) et les émissions liées aux variations de carbone lors de l’utilisation agricole des sols (517.135 kTE CO2).</w:t>
      </w:r>
    </w:p>
    <w:p w14:paraId="52EFA457" w14:textId="77777777" w:rsidR="002B192A" w:rsidRPr="001D0C63" w:rsidRDefault="002B192A" w:rsidP="00514D53">
      <w:pPr>
        <w:pStyle w:val="Pardeliste"/>
        <w:numPr>
          <w:ilvl w:val="0"/>
          <w:numId w:val="36"/>
        </w:numPr>
        <w:spacing w:before="120" w:after="120" w:line="240" w:lineRule="auto"/>
        <w:rPr>
          <w:rFonts w:ascii="Arial" w:eastAsia="Calibri" w:hAnsi="Arial" w:cs="Arial"/>
          <w:sz w:val="20"/>
          <w:szCs w:val="20"/>
          <w:lang w:val="fr-FR" w:eastAsia="fr-FR"/>
        </w:rPr>
      </w:pPr>
      <w:r w:rsidRPr="00514D53">
        <w:rPr>
          <w:rFonts w:ascii="Arial" w:eastAsia="Calibri" w:hAnsi="Arial" w:cs="Arial"/>
          <w:b/>
          <w:sz w:val="20"/>
          <w:szCs w:val="20"/>
          <w:lang w:val="fr-FR" w:eastAsia="fr-FR"/>
        </w:rPr>
        <w:t>Agriculture </w:t>
      </w:r>
      <w:r w:rsidRPr="00514D53">
        <w:rPr>
          <w:rFonts w:ascii="Arial" w:eastAsia="Calibri" w:hAnsi="Arial" w:cs="Arial"/>
          <w:sz w:val="20"/>
          <w:szCs w:val="20"/>
          <w:lang w:val="fr-FR" w:eastAsia="fr-FR"/>
        </w:rPr>
        <w:t xml:space="preserve">: Emissions de </w:t>
      </w:r>
      <w:r w:rsidRPr="00514D53">
        <w:rPr>
          <w:rFonts w:ascii="Arial" w:eastAsia="Calibri" w:hAnsi="Arial" w:cs="Arial"/>
          <w:b/>
          <w:sz w:val="20"/>
          <w:szCs w:val="20"/>
          <w:lang w:val="fr-FR" w:eastAsia="fr-FR"/>
        </w:rPr>
        <w:t>48.402,5 kTE-CO2</w:t>
      </w:r>
      <w:r w:rsidRPr="00514D53">
        <w:rPr>
          <w:rFonts w:ascii="Arial" w:eastAsia="Calibri" w:hAnsi="Arial" w:cs="Arial"/>
          <w:sz w:val="20"/>
          <w:szCs w:val="20"/>
          <w:lang w:val="fr-FR" w:eastAsia="fr-FR"/>
        </w:rPr>
        <w:t xml:space="preserve"> (total des émissions de méthane -74 % du total des </w:t>
      </w:r>
      <w:r w:rsidRPr="001D0C63">
        <w:rPr>
          <w:rFonts w:ascii="Arial" w:eastAsia="Calibri" w:hAnsi="Arial" w:cs="Arial"/>
          <w:sz w:val="20"/>
          <w:szCs w:val="20"/>
          <w:lang w:val="fr-FR" w:eastAsia="fr-FR"/>
        </w:rPr>
        <w:t>émissions- et des oxydes nitreux ou NO2)</w:t>
      </w:r>
    </w:p>
    <w:p w14:paraId="4E808DB3" w14:textId="77777777" w:rsidR="002B192A" w:rsidRPr="001D0C63" w:rsidRDefault="002B192A" w:rsidP="00514D53">
      <w:pPr>
        <w:pStyle w:val="Pardeliste"/>
        <w:numPr>
          <w:ilvl w:val="0"/>
          <w:numId w:val="36"/>
        </w:numPr>
        <w:spacing w:before="120" w:after="120" w:line="240" w:lineRule="auto"/>
        <w:rPr>
          <w:rFonts w:ascii="Arial" w:eastAsia="Calibri" w:hAnsi="Arial" w:cs="Arial"/>
          <w:sz w:val="20"/>
          <w:szCs w:val="20"/>
          <w:lang w:val="fr-FR" w:eastAsia="fr-FR"/>
        </w:rPr>
      </w:pPr>
      <w:r w:rsidRPr="001D0C63">
        <w:rPr>
          <w:rFonts w:ascii="Arial" w:eastAsia="Calibri" w:hAnsi="Arial" w:cs="Arial"/>
          <w:b/>
          <w:sz w:val="20"/>
          <w:szCs w:val="20"/>
          <w:lang w:val="fr-FR" w:eastAsia="fr-FR"/>
        </w:rPr>
        <w:t>Energie</w:t>
      </w:r>
      <w:r w:rsidRPr="001D0C63">
        <w:rPr>
          <w:rFonts w:ascii="Arial" w:eastAsia="Calibri" w:hAnsi="Arial" w:cs="Arial"/>
          <w:sz w:val="20"/>
          <w:szCs w:val="20"/>
          <w:lang w:val="fr-FR" w:eastAsia="fr-FR"/>
        </w:rPr>
        <w:t xml:space="preserve"> : Emissions de </w:t>
      </w:r>
      <w:r w:rsidRPr="001D0C63">
        <w:rPr>
          <w:rFonts w:ascii="Arial" w:eastAsia="Calibri" w:hAnsi="Arial" w:cs="Arial"/>
          <w:b/>
          <w:sz w:val="20"/>
          <w:szCs w:val="20"/>
          <w:lang w:val="fr-FR" w:eastAsia="fr-FR"/>
        </w:rPr>
        <w:t>4.287,946 kTE-CO2</w:t>
      </w:r>
      <w:r w:rsidRPr="001D0C63">
        <w:rPr>
          <w:rFonts w:ascii="Arial" w:eastAsia="Calibri" w:hAnsi="Arial" w:cs="Arial"/>
          <w:sz w:val="20"/>
          <w:szCs w:val="20"/>
          <w:lang w:val="fr-FR" w:eastAsia="fr-FR"/>
        </w:rPr>
        <w:t xml:space="preserve"> (total des émissions de dioxyde de carbone ou CO2, du méthane ou CH4 et des oxydes azoteux ou NO2)</w:t>
      </w:r>
    </w:p>
    <w:p w14:paraId="34C8DBAD" w14:textId="77777777" w:rsidR="002B192A" w:rsidRPr="001D0C63" w:rsidRDefault="002B192A" w:rsidP="00514D53">
      <w:pPr>
        <w:pStyle w:val="Pardeliste"/>
        <w:numPr>
          <w:ilvl w:val="0"/>
          <w:numId w:val="36"/>
        </w:numPr>
        <w:spacing w:before="120" w:after="120" w:line="240" w:lineRule="auto"/>
        <w:rPr>
          <w:rFonts w:ascii="Arial" w:eastAsia="Calibri" w:hAnsi="Arial" w:cs="Arial"/>
          <w:sz w:val="20"/>
          <w:szCs w:val="20"/>
          <w:lang w:val="fr-FR" w:eastAsia="fr-FR"/>
        </w:rPr>
      </w:pPr>
      <w:r w:rsidRPr="001D0C63">
        <w:rPr>
          <w:rFonts w:ascii="Arial" w:eastAsia="Calibri" w:hAnsi="Arial" w:cs="Arial"/>
          <w:b/>
          <w:sz w:val="20"/>
          <w:szCs w:val="20"/>
          <w:lang w:val="fr-FR" w:eastAsia="fr-FR"/>
        </w:rPr>
        <w:t>Procédés industriels</w:t>
      </w:r>
      <w:r w:rsidRPr="001D0C63">
        <w:rPr>
          <w:rFonts w:ascii="Arial" w:eastAsia="Calibri" w:hAnsi="Arial" w:cs="Arial"/>
          <w:sz w:val="20"/>
          <w:szCs w:val="20"/>
          <w:lang w:val="fr-FR" w:eastAsia="fr-FR"/>
        </w:rPr>
        <w:t xml:space="preserve"> : Emissions de : </w:t>
      </w:r>
      <w:r w:rsidRPr="001D0C63">
        <w:rPr>
          <w:rFonts w:ascii="Arial" w:eastAsia="Calibri" w:hAnsi="Arial" w:cs="Arial"/>
          <w:b/>
          <w:sz w:val="20"/>
          <w:szCs w:val="20"/>
          <w:lang w:val="fr-FR" w:eastAsia="fr-FR"/>
        </w:rPr>
        <w:t xml:space="preserve">67,5 kTE-CO2 </w:t>
      </w:r>
      <w:r w:rsidRPr="001D0C63">
        <w:rPr>
          <w:rFonts w:ascii="Arial" w:eastAsia="Calibri" w:hAnsi="Arial" w:cs="Arial"/>
          <w:sz w:val="20"/>
          <w:szCs w:val="20"/>
          <w:lang w:val="fr-FR" w:eastAsia="fr-FR"/>
        </w:rPr>
        <w:t>pour la production d’or.</w:t>
      </w:r>
    </w:p>
    <w:p w14:paraId="18A058E9" w14:textId="77777777" w:rsidR="00802BA9" w:rsidRPr="001D0C63" w:rsidRDefault="002B192A" w:rsidP="00514D53">
      <w:pPr>
        <w:pStyle w:val="Pardeliste"/>
        <w:numPr>
          <w:ilvl w:val="0"/>
          <w:numId w:val="36"/>
        </w:numPr>
        <w:spacing w:before="120" w:after="120" w:line="240" w:lineRule="auto"/>
        <w:rPr>
          <w:rFonts w:ascii="Arial" w:eastAsia="Calibri" w:hAnsi="Arial" w:cs="Arial"/>
          <w:sz w:val="20"/>
          <w:szCs w:val="20"/>
          <w:lang w:val="fr-FR" w:eastAsia="fr-FR"/>
        </w:rPr>
      </w:pPr>
      <w:r w:rsidRPr="001D0C63">
        <w:rPr>
          <w:rFonts w:ascii="Arial" w:eastAsia="Calibri" w:hAnsi="Arial" w:cs="Arial"/>
          <w:b/>
          <w:sz w:val="20"/>
          <w:szCs w:val="20"/>
          <w:lang w:val="fr-FR" w:eastAsia="fr-FR"/>
        </w:rPr>
        <w:t>Déchets </w:t>
      </w:r>
      <w:r w:rsidRPr="001D0C63">
        <w:rPr>
          <w:rFonts w:ascii="Arial" w:eastAsia="Calibri" w:hAnsi="Arial" w:cs="Arial"/>
          <w:sz w:val="20"/>
          <w:szCs w:val="20"/>
          <w:lang w:val="fr-FR" w:eastAsia="fr-FR"/>
        </w:rPr>
        <w:t xml:space="preserve">: Emissions de </w:t>
      </w:r>
      <w:r w:rsidRPr="001D0C63">
        <w:rPr>
          <w:rFonts w:ascii="Arial" w:eastAsia="Calibri" w:hAnsi="Arial" w:cs="Arial"/>
          <w:b/>
          <w:sz w:val="20"/>
          <w:szCs w:val="20"/>
          <w:lang w:val="fr-FR" w:eastAsia="fr-FR"/>
        </w:rPr>
        <w:t>304,9 kTE-CO2</w:t>
      </w:r>
      <w:r w:rsidRPr="001D0C63">
        <w:rPr>
          <w:rFonts w:ascii="Arial" w:eastAsia="Calibri" w:hAnsi="Arial" w:cs="Arial"/>
          <w:sz w:val="20"/>
          <w:szCs w:val="20"/>
          <w:lang w:val="fr-FR" w:eastAsia="fr-FR"/>
        </w:rPr>
        <w:t xml:space="preserve"> (émissions composées uniquement de méthane)</w:t>
      </w:r>
    </w:p>
    <w:p w14:paraId="5A7FAD0C" w14:textId="77777777" w:rsidR="00802BA9" w:rsidRPr="00514D53" w:rsidRDefault="00802BA9" w:rsidP="00514D53">
      <w:pPr>
        <w:spacing w:before="120" w:after="120" w:line="240" w:lineRule="auto"/>
        <w:rPr>
          <w:rFonts w:ascii="Arial" w:eastAsia="Calibri" w:hAnsi="Arial" w:cs="Arial"/>
          <w:sz w:val="20"/>
          <w:szCs w:val="20"/>
          <w:lang w:val="fr-FR" w:eastAsia="fr-FR"/>
        </w:rPr>
      </w:pPr>
      <w:r w:rsidRPr="001D0C63">
        <w:rPr>
          <w:rFonts w:ascii="Arial" w:eastAsia="Calibri" w:hAnsi="Arial" w:cs="Arial"/>
          <w:sz w:val="20"/>
          <w:szCs w:val="20"/>
          <w:lang w:val="fr-FR" w:eastAsia="fr-FR"/>
        </w:rPr>
        <w:t xml:space="preserve">Ainsi le Mali en 2010 peut absorber environ </w:t>
      </w:r>
      <w:r w:rsidRPr="001D0C63">
        <w:rPr>
          <w:rFonts w:ascii="Arial" w:eastAsia="Calibri" w:hAnsi="Arial" w:cs="Arial"/>
          <w:b/>
          <w:sz w:val="20"/>
          <w:szCs w:val="20"/>
          <w:lang w:val="fr-FR" w:eastAsia="fr-FR"/>
        </w:rPr>
        <w:t>190.000 kTE-CO2</w:t>
      </w:r>
      <w:r w:rsidRPr="001D0C63">
        <w:rPr>
          <w:rFonts w:ascii="Arial" w:eastAsia="Calibri" w:hAnsi="Arial" w:cs="Arial"/>
          <w:sz w:val="20"/>
          <w:szCs w:val="20"/>
          <w:lang w:val="fr-FR" w:eastAsia="fr-FR"/>
        </w:rPr>
        <w:t xml:space="preserve"> et représente un puit de carbone pour la planète. Selon la troisième communication sur les changements climatiques du Mali, le secteur du changement d’affectation des terres et foresterie représente 8</w:t>
      </w:r>
      <w:r w:rsidR="00E95CA1" w:rsidRPr="001D0C63">
        <w:rPr>
          <w:rFonts w:ascii="Arial" w:eastAsia="Calibri" w:hAnsi="Arial" w:cs="Arial"/>
          <w:sz w:val="20"/>
          <w:szCs w:val="20"/>
          <w:lang w:val="fr-FR" w:eastAsia="fr-FR"/>
        </w:rPr>
        <w:t>8,8</w:t>
      </w:r>
      <w:r w:rsidRPr="001D0C63">
        <w:rPr>
          <w:rFonts w:ascii="Arial" w:eastAsia="Calibri" w:hAnsi="Arial" w:cs="Arial"/>
          <w:sz w:val="20"/>
          <w:szCs w:val="20"/>
          <w:lang w:val="fr-FR" w:eastAsia="fr-FR"/>
        </w:rPr>
        <w:t xml:space="preserve"> % du tota</w:t>
      </w:r>
      <w:r w:rsidRPr="00514D53">
        <w:rPr>
          <w:rFonts w:ascii="Arial" w:eastAsia="Calibri" w:hAnsi="Arial" w:cs="Arial"/>
          <w:sz w:val="20"/>
          <w:szCs w:val="20"/>
          <w:lang w:val="fr-FR" w:eastAsia="fr-FR"/>
        </w:rPr>
        <w:t>l des émissions, l’agriculture 8 %, l’énergie 2,6 %, les déchets 0,</w:t>
      </w:r>
      <w:r w:rsidR="00E95CA1" w:rsidRPr="00514D53">
        <w:rPr>
          <w:rFonts w:ascii="Arial" w:eastAsia="Calibri" w:hAnsi="Arial" w:cs="Arial"/>
          <w:sz w:val="20"/>
          <w:szCs w:val="20"/>
          <w:lang w:val="fr-FR" w:eastAsia="fr-FR"/>
        </w:rPr>
        <w:t>5</w:t>
      </w:r>
      <w:r w:rsidRPr="00514D53">
        <w:rPr>
          <w:rFonts w:ascii="Arial" w:eastAsia="Calibri" w:hAnsi="Arial" w:cs="Arial"/>
          <w:sz w:val="20"/>
          <w:szCs w:val="20"/>
          <w:lang w:val="fr-FR" w:eastAsia="fr-FR"/>
        </w:rPr>
        <w:t xml:space="preserve"> % et les procédés industriels 0,1 % (MEADD, 2017).</w:t>
      </w:r>
    </w:p>
    <w:p w14:paraId="6F1E8D5B" w14:textId="77777777" w:rsidR="00802BA9" w:rsidRPr="00514D53" w:rsidRDefault="00802BA9" w:rsidP="00514D53">
      <w:pPr>
        <w:spacing w:before="120" w:after="120" w:line="240" w:lineRule="auto"/>
        <w:rPr>
          <w:rFonts w:ascii="Arial" w:eastAsia="Calibri" w:hAnsi="Arial" w:cs="Arial"/>
          <w:color w:val="7030A0"/>
          <w:sz w:val="20"/>
          <w:szCs w:val="20"/>
          <w:lang w:val="fr-FR" w:eastAsia="fr-FR"/>
        </w:rPr>
      </w:pPr>
      <w:r w:rsidRPr="00514D53">
        <w:rPr>
          <w:rFonts w:ascii="Arial" w:eastAsia="Calibri" w:hAnsi="Arial" w:cs="Arial"/>
          <w:sz w:val="20"/>
          <w:szCs w:val="20"/>
          <w:lang w:val="fr-FR" w:eastAsia="fr-FR"/>
        </w:rPr>
        <w:t>Au vu du poids du changement des terr</w:t>
      </w:r>
      <w:r w:rsidRPr="001445C5">
        <w:rPr>
          <w:rFonts w:ascii="Arial" w:eastAsia="Calibri" w:hAnsi="Arial" w:cs="Arial"/>
          <w:sz w:val="20"/>
          <w:szCs w:val="20"/>
          <w:lang w:val="fr-FR" w:eastAsia="fr-FR"/>
        </w:rPr>
        <w:t>es dans le bilan des GES du Mali, le suivi du patrimoine forestier (superficie des forêts, de la déforestation et des boisements), des défrichements agricoles apparaissent primordiaux. De même, il est important d’être vigilant vis-à-vis du secteur de l’énergie qui a connu une augmentation des GES de 190 % entre 2007 et 2014.</w:t>
      </w:r>
      <w:r w:rsidR="0024395F" w:rsidRPr="001445C5">
        <w:rPr>
          <w:rFonts w:ascii="Arial" w:eastAsia="Calibri" w:hAnsi="Arial" w:cs="Arial"/>
          <w:sz w:val="20"/>
          <w:szCs w:val="20"/>
          <w:lang w:val="fr-FR" w:eastAsia="fr-FR"/>
        </w:rPr>
        <w:t xml:space="preserve"> </w:t>
      </w:r>
      <w:r w:rsidR="00E940C0" w:rsidRPr="001445C5">
        <w:rPr>
          <w:rFonts w:ascii="Arial" w:eastAsia="Calibri" w:hAnsi="Arial" w:cs="Arial"/>
          <w:sz w:val="20"/>
          <w:szCs w:val="20"/>
          <w:lang w:val="fr-FR" w:eastAsia="fr-FR"/>
        </w:rPr>
        <w:t>Si le défrichement se poursuit au même rythme (déforestation de 500.000 ha/an), le pays ne sera plus un puits de carbone d’ici quelques années.</w:t>
      </w:r>
    </w:p>
    <w:p w14:paraId="0221E0C3" w14:textId="77777777" w:rsidR="00802BA9" w:rsidRPr="00514D53" w:rsidRDefault="00802BA9" w:rsidP="00514D53">
      <w:pPr>
        <w:spacing w:before="120" w:after="120" w:line="240" w:lineRule="auto"/>
        <w:rPr>
          <w:rFonts w:ascii="Arial" w:eastAsia="Calibri" w:hAnsi="Arial" w:cs="Arial"/>
          <w:sz w:val="20"/>
          <w:szCs w:val="20"/>
          <w:lang w:val="fr-FR" w:eastAsia="fr-FR"/>
        </w:rPr>
      </w:pPr>
    </w:p>
    <w:p w14:paraId="68B84053" w14:textId="77777777" w:rsidR="00802BA9" w:rsidRPr="00F15A62" w:rsidRDefault="00802BA9" w:rsidP="00802BA9">
      <w:pPr>
        <w:pStyle w:val="Titre2"/>
        <w:rPr>
          <w:lang w:eastAsia="fr-FR"/>
        </w:rPr>
      </w:pPr>
      <w:bookmarkStart w:id="28" w:name="_Toc20505631"/>
      <w:r>
        <w:rPr>
          <w:lang w:eastAsia="fr-FR"/>
        </w:rPr>
        <w:t>2</w:t>
      </w:r>
      <w:r w:rsidRPr="00F15A62">
        <w:rPr>
          <w:lang w:eastAsia="fr-FR"/>
        </w:rPr>
        <w:t>.3. L’impact socioéconomique de l’état de l’environnement</w:t>
      </w:r>
      <w:bookmarkEnd w:id="28"/>
    </w:p>
    <w:p w14:paraId="7F88A5CA" w14:textId="77777777" w:rsidR="00802BA9" w:rsidRPr="00500D2D" w:rsidRDefault="00802BA9" w:rsidP="00525222">
      <w:pPr>
        <w:pStyle w:val="Titre3"/>
      </w:pPr>
      <w:bookmarkStart w:id="29" w:name="_Toc20505632"/>
      <w:r w:rsidRPr="00711F10">
        <w:t>2.3.1 L’impact de la dégradation des ressources naturelles sur la pauvreté</w:t>
      </w:r>
      <w:bookmarkEnd w:id="29"/>
    </w:p>
    <w:p w14:paraId="384D2DF8" w14:textId="77777777" w:rsidR="00802BA9" w:rsidRPr="00711F10" w:rsidRDefault="00802BA9" w:rsidP="00711F10">
      <w:pPr>
        <w:spacing w:before="120" w:after="120" w:line="240" w:lineRule="auto"/>
        <w:rPr>
          <w:rFonts w:ascii="Arial" w:eastAsia="Calibri" w:hAnsi="Arial" w:cs="Arial"/>
          <w:sz w:val="20"/>
          <w:szCs w:val="20"/>
          <w:lang w:val="fr-FR" w:eastAsia="fr-FR"/>
        </w:rPr>
      </w:pPr>
      <w:r w:rsidRPr="00711F10">
        <w:rPr>
          <w:rFonts w:ascii="Arial" w:eastAsia="Calibri" w:hAnsi="Arial" w:cs="Arial"/>
          <w:sz w:val="20"/>
          <w:szCs w:val="20"/>
          <w:lang w:val="fr-FR" w:eastAsia="fr-FR"/>
        </w:rPr>
        <w:t>Le Mali reste l’un des pays les plus pauvres au monde. Il occupe la 179</w:t>
      </w:r>
      <w:r w:rsidRPr="00711F10">
        <w:rPr>
          <w:rFonts w:ascii="Arial" w:eastAsia="Calibri" w:hAnsi="Arial" w:cs="Arial"/>
          <w:sz w:val="20"/>
          <w:szCs w:val="20"/>
          <w:vertAlign w:val="superscript"/>
          <w:lang w:val="fr-FR" w:eastAsia="fr-FR"/>
        </w:rPr>
        <w:t>ème</w:t>
      </w:r>
      <w:r w:rsidRPr="00711F10">
        <w:rPr>
          <w:rFonts w:ascii="Arial" w:eastAsia="Calibri" w:hAnsi="Arial" w:cs="Arial"/>
          <w:sz w:val="20"/>
          <w:szCs w:val="20"/>
          <w:lang w:val="fr-FR" w:eastAsia="fr-FR"/>
        </w:rPr>
        <w:t xml:space="preserve"> place sur 187 pays (PNUD 2017). Le taux de croissance démographique élevé et les catastrophes naturelles (sécheresses, inondations, criquets) exacerbent la pauvreté, l’insécurité alimentaire et l’instabilité. Classé au 176</w:t>
      </w:r>
      <w:r w:rsidRPr="00711F10">
        <w:rPr>
          <w:rFonts w:ascii="Arial" w:eastAsia="Calibri" w:hAnsi="Arial" w:cs="Arial"/>
          <w:sz w:val="20"/>
          <w:szCs w:val="20"/>
          <w:vertAlign w:val="superscript"/>
          <w:lang w:val="fr-FR" w:eastAsia="fr-FR"/>
        </w:rPr>
        <w:t>e</w:t>
      </w:r>
      <w:r w:rsidRPr="00711F10">
        <w:rPr>
          <w:rFonts w:ascii="Arial" w:eastAsia="Calibri" w:hAnsi="Arial" w:cs="Arial"/>
          <w:sz w:val="20"/>
          <w:szCs w:val="20"/>
          <w:lang w:val="fr-FR" w:eastAsia="fr-FR"/>
        </w:rPr>
        <w:t xml:space="preserve"> rang sur 187 pays selon l’IDH 2014 (PNUD), avec un IDH de 0,407 et classé au 182</w:t>
      </w:r>
      <w:r w:rsidRPr="00711F10">
        <w:rPr>
          <w:rFonts w:ascii="Arial" w:eastAsia="Calibri" w:hAnsi="Arial" w:cs="Arial"/>
          <w:sz w:val="20"/>
          <w:szCs w:val="20"/>
          <w:vertAlign w:val="superscript"/>
          <w:lang w:val="fr-FR" w:eastAsia="fr-FR"/>
        </w:rPr>
        <w:t>ème</w:t>
      </w:r>
      <w:r w:rsidRPr="00711F10">
        <w:rPr>
          <w:rFonts w:ascii="Arial" w:eastAsia="Calibri" w:hAnsi="Arial" w:cs="Arial"/>
          <w:sz w:val="20"/>
          <w:szCs w:val="20"/>
          <w:lang w:val="fr-FR" w:eastAsia="fr-FR"/>
        </w:rPr>
        <w:t xml:space="preserve"> rang sur 187 pays selon l’Indice de Développement Humain PNUD 2018</w:t>
      </w:r>
      <w:r w:rsidRPr="00711F10">
        <w:rPr>
          <w:rStyle w:val="Appelnotedebasdep"/>
          <w:rFonts w:ascii="Arial" w:eastAsia="Calibri" w:hAnsi="Arial" w:cs="Arial"/>
          <w:sz w:val="20"/>
          <w:szCs w:val="20"/>
          <w:lang w:val="fr-FR" w:eastAsia="fr-FR"/>
        </w:rPr>
        <w:footnoteReference w:id="41"/>
      </w:r>
      <w:r w:rsidRPr="00711F10">
        <w:rPr>
          <w:rFonts w:ascii="Arial" w:eastAsia="Calibri" w:hAnsi="Arial" w:cs="Arial"/>
          <w:sz w:val="20"/>
          <w:szCs w:val="20"/>
          <w:lang w:val="fr-FR" w:eastAsia="fr-FR"/>
        </w:rPr>
        <w:t xml:space="preserve">, avec un IDH de 0,427, la réduction de la pauvreté n’a pas beaucoup évolué malgré le redressement macro – économique suite </w:t>
      </w:r>
      <w:r w:rsidR="00E10221" w:rsidRPr="00711F10">
        <w:rPr>
          <w:rFonts w:ascii="Arial" w:eastAsia="Calibri" w:hAnsi="Arial" w:cs="Arial"/>
          <w:sz w:val="20"/>
          <w:szCs w:val="20"/>
          <w:lang w:val="fr-FR" w:eastAsia="fr-FR"/>
        </w:rPr>
        <w:t>à la</w:t>
      </w:r>
      <w:r w:rsidRPr="00711F10">
        <w:rPr>
          <w:rFonts w:ascii="Arial" w:eastAsia="Calibri" w:hAnsi="Arial" w:cs="Arial"/>
          <w:sz w:val="20"/>
          <w:szCs w:val="20"/>
          <w:lang w:val="fr-FR" w:eastAsia="fr-FR"/>
        </w:rPr>
        <w:t xml:space="preserve"> crise avec un taux de croissance du PIB de 5,3% en 2017. Le niveau de la pauvreté en 2017 a diminué pour se situer à 44,9 % contre 46,8 % en 2016, soit une baisse de 1,8 %. Néanmoins, la pauvreté reste un phénomène rural avec une incidence de la pauvreté de 53,6 % contre 19 % en milieu urbain en 2017 (CREDD, 2018). Les populations pauvres se concentrant à 90 % dans les zones rurales au Sud du pays où la densité démographique est la plus forte.</w:t>
      </w:r>
    </w:p>
    <w:p w14:paraId="03E9590A" w14:textId="77777777" w:rsidR="00802BA9" w:rsidRPr="00711F10" w:rsidRDefault="00802BA9" w:rsidP="00711F10">
      <w:pPr>
        <w:spacing w:before="120" w:after="120" w:line="240" w:lineRule="auto"/>
        <w:rPr>
          <w:rFonts w:ascii="Arial" w:hAnsi="Arial" w:cs="Arial"/>
          <w:sz w:val="20"/>
          <w:szCs w:val="20"/>
          <w:lang w:val="fr-FR" w:eastAsia="fr-FR"/>
        </w:rPr>
      </w:pPr>
      <w:r w:rsidRPr="00711F10">
        <w:rPr>
          <w:rFonts w:ascii="Arial" w:eastAsia="Calibri" w:hAnsi="Arial" w:cs="Arial"/>
          <w:sz w:val="20"/>
          <w:szCs w:val="20"/>
          <w:lang w:val="fr-FR" w:eastAsia="fr-FR"/>
        </w:rPr>
        <w:t>La dégradation des écosystèmes a porté préjudice aux populations rurales et la diminution de la biodiversité a eu un impact négatif sur leurs activités génératrices de revenus. Les impacts sont plus sévères sur les populations les plus démunies. Ces dernières, déjà très touchées, deviennent de plus en plus vulnérables aux catastrophes naturelles, comme les inondations, mais aussi à tout autre choc qui menace leurs moyens de subsistance et nuit à leur sécurité alimentaire. D’après les prévisions du commissariat à la sécurité alimentaire de juin à août 2018 « 3.298.151 personnes soit 17,47 % de la population seront en situation alimentaire difficile ». Selon le FIDA (2013), i</w:t>
      </w:r>
      <w:r w:rsidRPr="00711F10">
        <w:rPr>
          <w:rFonts w:ascii="Arial" w:hAnsi="Arial" w:cs="Arial"/>
          <w:sz w:val="20"/>
          <w:szCs w:val="20"/>
          <w:lang w:val="fr-FR" w:eastAsia="fr-FR"/>
        </w:rPr>
        <w:t xml:space="preserve">l y aurait environ 3,5 millions de jeunes ruraux pauvres en 2012, soit 22% de la population totale. Cette pauvreté entrave le devenir des jeunes dans un contexte de croissance démographique forte. Ainsi, beaucoup de ces derniers sont attirés par l’orpaillage artisanal. Ce phénomène s’est accentué durant la crise de 2012 et des campements de plusieurs milliers de personnes se sont formés </w:t>
      </w:r>
      <w:r w:rsidRPr="00711F10">
        <w:rPr>
          <w:rFonts w:ascii="Arial" w:hAnsi="Arial" w:cs="Arial"/>
          <w:sz w:val="20"/>
          <w:szCs w:val="20"/>
          <w:lang w:val="fr-FR" w:eastAsia="fr-FR"/>
        </w:rPr>
        <w:lastRenderedPageBreak/>
        <w:t>en l’absence de toute hygiène de base. Ceci provoque une pression accrue sur les ressources na</w:t>
      </w:r>
      <w:r w:rsidR="007E4F5F" w:rsidRPr="00711F10">
        <w:rPr>
          <w:rFonts w:ascii="Arial" w:hAnsi="Arial" w:cs="Arial"/>
          <w:sz w:val="20"/>
          <w:szCs w:val="20"/>
          <w:lang w:val="fr-FR" w:eastAsia="fr-FR"/>
        </w:rPr>
        <w:t>turelles par l’orpaillage (§ 2.2</w:t>
      </w:r>
      <w:r w:rsidRPr="00711F10">
        <w:rPr>
          <w:rFonts w:ascii="Arial" w:hAnsi="Arial" w:cs="Arial"/>
          <w:sz w:val="20"/>
          <w:szCs w:val="20"/>
          <w:lang w:val="fr-FR" w:eastAsia="fr-FR"/>
        </w:rPr>
        <w:t xml:space="preserve">.5). D’autres, surtout les hommes de 20 à 25 ans, passent à la migration externe et d’autres jeunes cherchent du travail en ville. L’exode rural engendre une absence de main d’œuvre pendant la saison agricole en milieu rural et accélère l’urbanisation. </w:t>
      </w:r>
    </w:p>
    <w:p w14:paraId="2A099539" w14:textId="77777777" w:rsidR="00802BA9" w:rsidRDefault="00802BA9" w:rsidP="00711F10">
      <w:pPr>
        <w:spacing w:before="120" w:after="120" w:line="240" w:lineRule="auto"/>
        <w:rPr>
          <w:rFonts w:ascii="Arial" w:hAnsi="Arial" w:cs="Arial"/>
          <w:sz w:val="20"/>
          <w:szCs w:val="20"/>
          <w:lang w:val="fr-FR" w:eastAsia="fr-FR"/>
        </w:rPr>
      </w:pPr>
      <w:r w:rsidRPr="00711F10">
        <w:rPr>
          <w:rFonts w:ascii="Arial" w:hAnsi="Arial" w:cs="Arial"/>
          <w:sz w:val="20"/>
          <w:szCs w:val="20"/>
          <w:lang w:val="fr-FR" w:eastAsia="fr-FR"/>
        </w:rPr>
        <w:t>Au final, la dégradation des ressources naturelles du monde agricole entraine la migration et la dévastation de nouvelles zones et « </w:t>
      </w:r>
      <w:r w:rsidRPr="00711F10">
        <w:rPr>
          <w:rFonts w:ascii="Arial" w:hAnsi="Arial" w:cs="Arial"/>
          <w:i/>
          <w:sz w:val="20"/>
          <w:szCs w:val="20"/>
          <w:lang w:val="fr-FR" w:eastAsia="fr-FR"/>
        </w:rPr>
        <w:t>l’homme est toujours victime de la catastrophe dont il aura le plus souvent, directement ou indirectement, accru le risque</w:t>
      </w:r>
      <w:r w:rsidRPr="00711F10">
        <w:rPr>
          <w:rFonts w:ascii="Arial" w:hAnsi="Arial" w:cs="Arial"/>
          <w:sz w:val="20"/>
          <w:szCs w:val="20"/>
          <w:lang w:val="fr-FR" w:eastAsia="fr-FR"/>
        </w:rPr>
        <w:t xml:space="preserve"> » (GALLAIS J. 1984). La pauvreté et la dégradation de l’environnement représentent une spirale auto-entretenue car sous l’impitoyable logique des impératifs du court terme, les pauvres surexploitent ce qui forme l’assise de leurs ressources, sacrifiant ainsi le futur au sauvetage du présent. Le déclin écologique, en retour, perpétue la pauvreté car les écosystèmes dégradés ne donnent plus aux pauvres les ressources suffisantes pour couvrir leurs besoins. </w:t>
      </w:r>
      <w:r w:rsidRPr="00711F10">
        <w:rPr>
          <w:rFonts w:ascii="Arial" w:hAnsi="Arial" w:cs="Arial"/>
          <w:b/>
          <w:sz w:val="20"/>
          <w:szCs w:val="20"/>
          <w:lang w:val="fr-FR" w:eastAsia="fr-FR"/>
        </w:rPr>
        <w:t>Dans ce contexte, les perspectives environnementales du Mali apparaissent très inquiétantes</w:t>
      </w:r>
      <w:r w:rsidRPr="00711F10">
        <w:rPr>
          <w:rFonts w:ascii="Arial" w:hAnsi="Arial" w:cs="Arial"/>
          <w:sz w:val="20"/>
          <w:szCs w:val="20"/>
          <w:lang w:val="fr-FR" w:eastAsia="fr-FR"/>
        </w:rPr>
        <w:t xml:space="preserve">. </w:t>
      </w:r>
    </w:p>
    <w:p w14:paraId="4CAE7536" w14:textId="77777777" w:rsidR="00500D2D" w:rsidRPr="00711F10" w:rsidRDefault="00500D2D" w:rsidP="00711F10">
      <w:pPr>
        <w:spacing w:before="120" w:after="120" w:line="240" w:lineRule="auto"/>
        <w:rPr>
          <w:rFonts w:ascii="Arial" w:hAnsi="Arial" w:cs="Arial"/>
          <w:sz w:val="20"/>
          <w:szCs w:val="20"/>
          <w:lang w:val="fr-FR" w:eastAsia="fr-FR"/>
        </w:rPr>
      </w:pPr>
    </w:p>
    <w:p w14:paraId="5BD379B9" w14:textId="77777777" w:rsidR="00802BA9" w:rsidRPr="00711F10" w:rsidRDefault="00802BA9" w:rsidP="00525222">
      <w:pPr>
        <w:pStyle w:val="Titre3"/>
      </w:pPr>
      <w:bookmarkStart w:id="30" w:name="_Toc20505633"/>
      <w:r w:rsidRPr="00711F10">
        <w:t>2.3.2 Les déclins de productivité et la sécurité alimentaire</w:t>
      </w:r>
      <w:bookmarkEnd w:id="30"/>
    </w:p>
    <w:p w14:paraId="5AF197A1" w14:textId="77777777" w:rsidR="00802BA9" w:rsidRPr="00711F10" w:rsidRDefault="00802BA9" w:rsidP="00711F10">
      <w:pPr>
        <w:autoSpaceDE w:val="0"/>
        <w:autoSpaceDN w:val="0"/>
        <w:adjustRightInd w:val="0"/>
        <w:spacing w:before="120" w:after="120" w:line="240" w:lineRule="auto"/>
        <w:rPr>
          <w:rFonts w:ascii="Arial" w:hAnsi="Arial" w:cs="Arial"/>
          <w:sz w:val="20"/>
          <w:szCs w:val="20"/>
          <w:lang w:val="fr-FR"/>
        </w:rPr>
      </w:pPr>
      <w:r w:rsidRPr="00711F10">
        <w:rPr>
          <w:rFonts w:ascii="Arial" w:hAnsi="Arial" w:cs="Arial"/>
          <w:sz w:val="20"/>
          <w:szCs w:val="20"/>
          <w:lang w:val="fr-FR"/>
        </w:rPr>
        <w:t>Les différentes statistiques du secteur primaire (agriculture, élevage, pêche) affichent des productions croissantes pour l’agriculture, l’élevage et la pêche (§ 2.2.3 &amp; 2.2.4). Toutefois, de façon générale, les productivités</w:t>
      </w:r>
      <w:r w:rsidRPr="00711F10">
        <w:rPr>
          <w:rStyle w:val="Appelnotedebasdep"/>
          <w:rFonts w:ascii="Arial" w:hAnsi="Arial" w:cs="Arial"/>
          <w:sz w:val="20"/>
          <w:szCs w:val="20"/>
          <w:lang w:val="fr-FR"/>
        </w:rPr>
        <w:footnoteReference w:id="42"/>
      </w:r>
      <w:r w:rsidRPr="00711F10">
        <w:rPr>
          <w:rFonts w:ascii="Arial" w:hAnsi="Arial" w:cs="Arial"/>
          <w:sz w:val="20"/>
          <w:szCs w:val="20"/>
          <w:lang w:val="fr-FR"/>
        </w:rPr>
        <w:t xml:space="preserve">  se sont maintenues voire ont baissé.</w:t>
      </w:r>
    </w:p>
    <w:p w14:paraId="0152EB23" w14:textId="77777777" w:rsidR="00802BA9" w:rsidRPr="00711F10" w:rsidRDefault="00802BA9" w:rsidP="00711F10">
      <w:pPr>
        <w:autoSpaceDE w:val="0"/>
        <w:autoSpaceDN w:val="0"/>
        <w:adjustRightInd w:val="0"/>
        <w:spacing w:before="120" w:after="120" w:line="240" w:lineRule="auto"/>
        <w:rPr>
          <w:rFonts w:ascii="Arial" w:hAnsi="Arial" w:cs="Arial"/>
          <w:sz w:val="20"/>
          <w:szCs w:val="20"/>
          <w:lang w:val="fr-FR"/>
        </w:rPr>
      </w:pPr>
      <w:r w:rsidRPr="00711F10">
        <w:rPr>
          <w:rFonts w:ascii="Arial" w:hAnsi="Arial" w:cs="Arial"/>
          <w:sz w:val="20"/>
          <w:szCs w:val="20"/>
          <w:lang w:val="fr-FR"/>
        </w:rPr>
        <w:t>Au niveau de l’</w:t>
      </w:r>
      <w:r w:rsidRPr="00711F10">
        <w:rPr>
          <w:rFonts w:ascii="Arial" w:hAnsi="Arial" w:cs="Arial"/>
          <w:b/>
          <w:sz w:val="20"/>
          <w:szCs w:val="20"/>
          <w:lang w:val="fr-FR"/>
        </w:rPr>
        <w:t>agriculture</w:t>
      </w:r>
      <w:r w:rsidRPr="00711F10">
        <w:rPr>
          <w:rFonts w:ascii="Arial" w:hAnsi="Arial" w:cs="Arial"/>
          <w:sz w:val="20"/>
          <w:szCs w:val="20"/>
          <w:lang w:val="fr-FR"/>
        </w:rPr>
        <w:t>, les productions céréalières, notamment les céréales pluviales, ont augmenté grâce à une extensification (augmentation des surfaces suite au développement de la motorisation). En revanche, la productivité (rendement/ha) pour les céréales pluviales restent au même niveau, voire baisse face à la mauvaise distribution des pluies utiles (arrivée tardive des premières pluies, arrêt brutal des pluies durant la croissance végétative, etc.), aux pertes de récoltes suite aux différentes catastrophes (§ 2.3.4), au non-respect du temps de jachère permettant au sol de se reconstituer et à la dégradation continue des sols liés aux érosions hydriques et éoliennes (§ 2.1.</w:t>
      </w:r>
      <w:r w:rsidRPr="001D0C63">
        <w:rPr>
          <w:rFonts w:ascii="Arial" w:hAnsi="Arial" w:cs="Arial"/>
          <w:sz w:val="20"/>
          <w:szCs w:val="20"/>
          <w:lang w:val="fr-FR"/>
        </w:rPr>
        <w:t>1.3).</w:t>
      </w:r>
      <w:r w:rsidR="00D6642D" w:rsidRPr="001D0C63">
        <w:rPr>
          <w:rFonts w:ascii="Arial" w:hAnsi="Arial" w:cs="Arial"/>
          <w:sz w:val="20"/>
          <w:szCs w:val="20"/>
          <w:lang w:val="fr-FR"/>
        </w:rPr>
        <w:t xml:space="preserve"> Les pertes totales en éléments nutritifs ont été chiffrées en moyenne à 660 N kg/ha, 75 P kg/ha et 450 K kg/ha et entraîne une baisse de la productivité des cultures qui peut atteindre plus de 50% (SANCHEZ et al. 1997). L’étude régionale de 2011 en Afrique subsaharienne (FAO/TerrAfrica) met en avant des pertes annuelles d’</w:t>
      </w:r>
      <w:r w:rsidR="00D6642D" w:rsidRPr="001D0C63">
        <w:rPr>
          <w:rFonts w:ascii="Arial" w:hAnsi="Arial" w:cs="Arial"/>
          <w:sz w:val="20"/>
          <w:szCs w:val="20"/>
        </w:rPr>
        <w:t>environ 22 kg d’azote (N), 2,5 kg de phosphore (P) et 15 kg de potasse (K) par hectare et par an. Au total, les pertes en nutriments varient de 10 à 45 kg de NPK/ha et par an (FAO, TerrAfrica, 2011)</w:t>
      </w:r>
      <w:r w:rsidRPr="001D0C63">
        <w:rPr>
          <w:rFonts w:ascii="Arial" w:hAnsi="Arial" w:cs="Arial"/>
          <w:sz w:val="20"/>
          <w:szCs w:val="20"/>
          <w:lang w:val="fr-FR"/>
        </w:rPr>
        <w:t xml:space="preserve"> A ceci, p</w:t>
      </w:r>
      <w:r w:rsidRPr="00711F10">
        <w:rPr>
          <w:rFonts w:ascii="Arial" w:hAnsi="Arial" w:cs="Arial"/>
          <w:sz w:val="20"/>
          <w:szCs w:val="20"/>
          <w:lang w:val="fr-FR"/>
        </w:rPr>
        <w:t>eut se joindre le développement des adventices (</w:t>
      </w:r>
      <w:r w:rsidRPr="00711F10">
        <w:rPr>
          <w:rFonts w:ascii="Arial" w:hAnsi="Arial" w:cs="Arial"/>
          <w:i/>
          <w:sz w:val="20"/>
          <w:szCs w:val="20"/>
          <w:lang w:val="fr-FR"/>
        </w:rPr>
        <w:t>Striga hermonthica</w:t>
      </w:r>
      <w:r w:rsidRPr="00711F10">
        <w:rPr>
          <w:rFonts w:ascii="Arial" w:hAnsi="Arial" w:cs="Arial"/>
          <w:sz w:val="20"/>
          <w:szCs w:val="20"/>
          <w:lang w:val="fr-FR"/>
        </w:rPr>
        <w:t xml:space="preserve">, etc.) qui diminue les productions vivrières dans une proportion variant de 20 à 30%. Les productivités du mil et du sorgho, principales cultures alimentaires du Mali, baissent (annexe </w:t>
      </w:r>
      <w:r w:rsidR="00A437BA" w:rsidRPr="00711F10">
        <w:rPr>
          <w:rFonts w:ascii="Arial" w:hAnsi="Arial" w:cs="Arial"/>
          <w:sz w:val="20"/>
          <w:szCs w:val="20"/>
          <w:lang w:val="fr-FR"/>
        </w:rPr>
        <w:t>7.4.7</w:t>
      </w:r>
      <w:r w:rsidRPr="00711F10">
        <w:rPr>
          <w:rFonts w:ascii="Arial" w:hAnsi="Arial" w:cs="Arial"/>
          <w:sz w:val="20"/>
          <w:szCs w:val="20"/>
          <w:lang w:val="fr-FR"/>
        </w:rPr>
        <w:t>). Au niveau national, cette productivité est étroitement corrélée à la pluviométrie tandis qu’au niveau local elle dépend de la qualité des sols.</w:t>
      </w:r>
    </w:p>
    <w:p w14:paraId="6513438D" w14:textId="77777777" w:rsidR="00802BA9" w:rsidRPr="001D0C63" w:rsidRDefault="00802BA9" w:rsidP="00500D2D">
      <w:pPr>
        <w:autoSpaceDE w:val="0"/>
        <w:autoSpaceDN w:val="0"/>
        <w:adjustRightInd w:val="0"/>
        <w:spacing w:before="120" w:after="120" w:line="240" w:lineRule="auto"/>
        <w:rPr>
          <w:rFonts w:ascii="Arial" w:hAnsi="Arial" w:cs="Arial"/>
          <w:sz w:val="20"/>
          <w:szCs w:val="20"/>
          <w:lang w:val="fr-FR"/>
        </w:rPr>
      </w:pPr>
      <w:r w:rsidRPr="00711F10">
        <w:rPr>
          <w:rFonts w:ascii="Arial" w:hAnsi="Arial" w:cs="Arial"/>
          <w:sz w:val="20"/>
          <w:szCs w:val="20"/>
          <w:lang w:val="fr-FR"/>
        </w:rPr>
        <w:t xml:space="preserve">Sur le plan </w:t>
      </w:r>
      <w:r w:rsidRPr="00711F10">
        <w:rPr>
          <w:rFonts w:ascii="Arial" w:hAnsi="Arial" w:cs="Arial"/>
          <w:b/>
          <w:sz w:val="20"/>
          <w:szCs w:val="20"/>
          <w:lang w:val="fr-FR"/>
        </w:rPr>
        <w:t>pastoral</w:t>
      </w:r>
      <w:r w:rsidRPr="00711F10">
        <w:rPr>
          <w:rFonts w:ascii="Arial" w:hAnsi="Arial" w:cs="Arial"/>
          <w:sz w:val="20"/>
          <w:szCs w:val="20"/>
          <w:lang w:val="fr-FR"/>
        </w:rPr>
        <w:t xml:space="preserve">, il existe une corrélation étroite entre le total / répartition pluviométrique et la biomasse herbacée des parcours. Face à la baisse de la pluviométrie, la biomasse des parcours est moindre. En outre, la surexploitation des parcours affecte le tapis herbacé avec diminution de la couverture végétale au sol (taux de recouvrement) et modification de la composition floristique. La biomasse herbacée peut devenir nulle à certains endroits et la régénération des pâturages est difficile. En 2016, la capacité </w:t>
      </w:r>
      <w:r w:rsidRPr="001D0C63">
        <w:rPr>
          <w:rFonts w:ascii="Arial" w:hAnsi="Arial" w:cs="Arial"/>
          <w:sz w:val="20"/>
          <w:szCs w:val="20"/>
          <w:lang w:val="fr-FR"/>
        </w:rPr>
        <w:t>de charge</w:t>
      </w:r>
      <w:r w:rsidR="00CE50A9" w:rsidRPr="001D0C63">
        <w:rPr>
          <w:rFonts w:ascii="Arial" w:hAnsi="Arial" w:cs="Arial"/>
          <w:sz w:val="20"/>
          <w:szCs w:val="20"/>
          <w:vertAlign w:val="superscript"/>
          <w:lang w:val="fr-FR"/>
        </w:rPr>
        <w:footnoteReference w:id="43"/>
      </w:r>
      <w:r w:rsidR="00CE50A9" w:rsidRPr="001D0C63">
        <w:rPr>
          <w:rFonts w:ascii="Arial" w:hAnsi="Arial" w:cs="Arial"/>
          <w:sz w:val="20"/>
          <w:szCs w:val="20"/>
          <w:lang w:val="fr-FR"/>
        </w:rPr>
        <w:t xml:space="preserve"> des parcours maliens</w:t>
      </w:r>
      <w:r w:rsidRPr="001D0C63">
        <w:rPr>
          <w:rFonts w:ascii="Arial" w:hAnsi="Arial" w:cs="Arial"/>
          <w:sz w:val="20"/>
          <w:szCs w:val="20"/>
          <w:lang w:val="fr-FR"/>
        </w:rPr>
        <w:t xml:space="preserve"> est de 1,97 UBT/ha contre 2,25 UBT/ha en 2012 (INSTAT, 2017).</w:t>
      </w:r>
    </w:p>
    <w:p w14:paraId="2F136E03" w14:textId="77777777" w:rsidR="00802BA9" w:rsidRPr="00500D2D" w:rsidRDefault="00802BA9" w:rsidP="00711F10">
      <w:pPr>
        <w:spacing w:before="120" w:after="120" w:line="240" w:lineRule="auto"/>
        <w:rPr>
          <w:rFonts w:ascii="Arial" w:hAnsi="Arial" w:cs="Arial"/>
          <w:sz w:val="20"/>
          <w:szCs w:val="20"/>
          <w:lang w:val="fr-FR"/>
        </w:rPr>
      </w:pPr>
      <w:r w:rsidRPr="00711F10">
        <w:rPr>
          <w:rFonts w:ascii="Arial" w:hAnsi="Arial" w:cs="Arial"/>
          <w:sz w:val="20"/>
          <w:szCs w:val="20"/>
          <w:lang w:val="fr-FR"/>
        </w:rPr>
        <w:t xml:space="preserve">Au niveau des </w:t>
      </w:r>
      <w:r w:rsidRPr="00711F10">
        <w:rPr>
          <w:rFonts w:ascii="Arial" w:hAnsi="Arial" w:cs="Arial"/>
          <w:b/>
          <w:sz w:val="20"/>
          <w:szCs w:val="20"/>
          <w:lang w:val="fr-FR"/>
        </w:rPr>
        <w:t>ressources halieutiques</w:t>
      </w:r>
      <w:r w:rsidRPr="00711F10">
        <w:rPr>
          <w:rFonts w:ascii="Arial" w:hAnsi="Arial" w:cs="Arial"/>
          <w:sz w:val="20"/>
          <w:szCs w:val="20"/>
          <w:lang w:val="fr-FR"/>
        </w:rPr>
        <w:t>, la diminution des débits des fleuves liés à la pluviométrie, l’augmentation de l’ensablement, de la pollution des eaux et la modification et dégradation des systèmes hydriques réduisent la reproduction et la productivité.</w:t>
      </w:r>
    </w:p>
    <w:p w14:paraId="17703CB6" w14:textId="77777777" w:rsidR="00802BA9" w:rsidRPr="00711F10" w:rsidRDefault="00802BA9" w:rsidP="00711F10">
      <w:pPr>
        <w:spacing w:before="120" w:after="120" w:line="240" w:lineRule="auto"/>
        <w:rPr>
          <w:rFonts w:ascii="Arial" w:hAnsi="Arial" w:cs="Arial"/>
          <w:sz w:val="20"/>
          <w:szCs w:val="20"/>
          <w:lang w:val="fr-FR"/>
        </w:rPr>
      </w:pPr>
      <w:r w:rsidRPr="00711F10">
        <w:rPr>
          <w:rFonts w:ascii="Arial" w:eastAsia="Calibri" w:hAnsi="Arial" w:cs="Arial"/>
          <w:sz w:val="20"/>
          <w:szCs w:val="20"/>
          <w:lang w:val="fr-FR" w:eastAsia="fr-FR"/>
        </w:rPr>
        <w:t xml:space="preserve">De façon générale, une forte dépendance vis-à-vis de systèmes pluviaux agricoles et pastoraux rend les populations rurales plus </w:t>
      </w:r>
      <w:r w:rsidRPr="001D0C63">
        <w:rPr>
          <w:rFonts w:ascii="Arial" w:eastAsia="Calibri" w:hAnsi="Arial" w:cs="Arial"/>
          <w:sz w:val="20"/>
          <w:szCs w:val="20"/>
          <w:lang w:val="fr-FR" w:eastAsia="fr-FR"/>
        </w:rPr>
        <w:t>vulnérables</w:t>
      </w:r>
      <w:r w:rsidR="00361C9B" w:rsidRPr="001D0C63">
        <w:rPr>
          <w:rFonts w:ascii="Arial" w:eastAsia="Calibri" w:hAnsi="Arial" w:cs="Arial"/>
          <w:sz w:val="20"/>
          <w:szCs w:val="20"/>
          <w:lang w:val="fr-FR" w:eastAsia="fr-FR"/>
        </w:rPr>
        <w:t>, ce qui a un impact sur l’insécurité alimentaire et la malnutrition (§ 2.</w:t>
      </w:r>
      <w:r w:rsidR="00361C9B" w:rsidRPr="00711F10">
        <w:rPr>
          <w:rFonts w:ascii="Arial" w:eastAsia="Calibri" w:hAnsi="Arial" w:cs="Arial"/>
          <w:color w:val="7030A0"/>
          <w:sz w:val="20"/>
          <w:szCs w:val="20"/>
          <w:lang w:val="fr-FR" w:eastAsia="fr-FR"/>
        </w:rPr>
        <w:t xml:space="preserve">3.3, </w:t>
      </w:r>
      <w:r w:rsidR="00361C9B" w:rsidRPr="001D0C63">
        <w:rPr>
          <w:rFonts w:ascii="Arial" w:eastAsia="Calibri" w:hAnsi="Arial" w:cs="Arial"/>
          <w:sz w:val="20"/>
          <w:szCs w:val="20"/>
          <w:lang w:val="fr-FR" w:eastAsia="fr-FR"/>
        </w:rPr>
        <w:t>§ 2.3.4)</w:t>
      </w:r>
      <w:r w:rsidRPr="001D0C63">
        <w:rPr>
          <w:rFonts w:ascii="Arial" w:eastAsia="Calibri" w:hAnsi="Arial" w:cs="Arial"/>
          <w:sz w:val="20"/>
          <w:szCs w:val="20"/>
          <w:lang w:val="fr-FR" w:eastAsia="fr-FR"/>
        </w:rPr>
        <w:t xml:space="preserve">. </w:t>
      </w:r>
      <w:r w:rsidRPr="001D0C63">
        <w:rPr>
          <w:rFonts w:ascii="Arial" w:hAnsi="Arial" w:cs="Arial"/>
          <w:sz w:val="20"/>
          <w:szCs w:val="20"/>
          <w:lang w:val="fr-FR"/>
        </w:rPr>
        <w:t xml:space="preserve">En 2017, l’insécurité alimentaire touche chroniquement près d’un quart (24 %) des ménages maliens </w:t>
      </w:r>
      <w:r w:rsidRPr="00711F10">
        <w:rPr>
          <w:rFonts w:ascii="Arial" w:hAnsi="Arial" w:cs="Arial"/>
          <w:sz w:val="20"/>
          <w:szCs w:val="20"/>
          <w:lang w:val="fr-FR"/>
        </w:rPr>
        <w:t>(SAP, 2017) ; insécurité alimentaire de type modéré qui concerne la plupart de ces ménages (20 %).</w:t>
      </w:r>
    </w:p>
    <w:p w14:paraId="47D5E0DE" w14:textId="77777777" w:rsidR="00D21058" w:rsidRPr="00711F10" w:rsidRDefault="00D21058" w:rsidP="00711F10">
      <w:pPr>
        <w:spacing w:before="120" w:after="120" w:line="240" w:lineRule="auto"/>
        <w:rPr>
          <w:rFonts w:ascii="Arial" w:hAnsi="Arial" w:cs="Arial"/>
          <w:sz w:val="20"/>
          <w:szCs w:val="20"/>
          <w:lang w:val="fr-FR"/>
        </w:rPr>
      </w:pPr>
    </w:p>
    <w:p w14:paraId="73207AD0" w14:textId="77777777" w:rsidR="00802BA9" w:rsidRPr="00711F10" w:rsidRDefault="00802BA9" w:rsidP="00525222">
      <w:pPr>
        <w:pStyle w:val="Titre3"/>
      </w:pPr>
      <w:bookmarkStart w:id="31" w:name="_Toc20505634"/>
      <w:r w:rsidRPr="00711F10">
        <w:t>2.3.3 Les menaces sur la santé</w:t>
      </w:r>
      <w:bookmarkEnd w:id="31"/>
    </w:p>
    <w:p w14:paraId="4014796B" w14:textId="77777777" w:rsidR="00802BA9" w:rsidRPr="00500D2D" w:rsidRDefault="00802BA9" w:rsidP="00711F10">
      <w:pPr>
        <w:spacing w:before="120" w:after="120" w:line="240" w:lineRule="auto"/>
        <w:rPr>
          <w:rFonts w:ascii="Arial" w:eastAsia="Calibri" w:hAnsi="Arial" w:cs="Arial"/>
          <w:sz w:val="20"/>
          <w:szCs w:val="20"/>
          <w:lang w:val="fr-FR" w:eastAsia="fr-FR"/>
        </w:rPr>
      </w:pPr>
      <w:r w:rsidRPr="001D0C63">
        <w:rPr>
          <w:rFonts w:ascii="Arial" w:eastAsia="Calibri" w:hAnsi="Arial" w:cs="Arial"/>
          <w:sz w:val="20"/>
          <w:szCs w:val="20"/>
          <w:lang w:val="fr-FR" w:eastAsia="fr-FR"/>
        </w:rPr>
        <w:t xml:space="preserve">Résultant </w:t>
      </w:r>
      <w:r w:rsidR="00D6642D" w:rsidRPr="001D0C63">
        <w:rPr>
          <w:rFonts w:ascii="Arial" w:eastAsia="Calibri" w:hAnsi="Arial" w:cs="Arial"/>
          <w:sz w:val="20"/>
          <w:szCs w:val="20"/>
          <w:lang w:val="fr-FR" w:eastAsia="fr-FR"/>
        </w:rPr>
        <w:t xml:space="preserve">de l’insécurité alimentaire, de l’augmentation de la pauvreté, de la dégradation des infrastructures urbaines (exemples de l’absence de drainage des caniveaux, de l’augmentation des déchets dans les villes), le paludisme s’est accentué dans le pays. Ainsi, cette maladie, </w:t>
      </w:r>
      <w:r w:rsidR="00D6642D" w:rsidRPr="001D0C63">
        <w:rPr>
          <w:rFonts w:ascii="Arial" w:hAnsi="Arial" w:cs="Arial"/>
          <w:sz w:val="20"/>
          <w:szCs w:val="20"/>
          <w:lang w:val="fr-FR"/>
        </w:rPr>
        <w:t xml:space="preserve">présente un taux d’incidence pour 1000 </w:t>
      </w:r>
      <w:r w:rsidR="00D6642D" w:rsidRPr="001D0C63">
        <w:rPr>
          <w:rFonts w:ascii="Arial" w:hAnsi="Arial" w:cs="Arial"/>
          <w:sz w:val="20"/>
          <w:szCs w:val="20"/>
          <w:lang w:val="fr-FR"/>
        </w:rPr>
        <w:lastRenderedPageBreak/>
        <w:t>habitants (ensemble des classes d’âge) de 299,5 en 2016 contre 46,86 en 1998. Le nombre total de cas au Mali est de 680.411 do</w:t>
      </w:r>
      <w:r w:rsidR="00D6642D" w:rsidRPr="00711F10">
        <w:rPr>
          <w:rFonts w:ascii="Arial" w:hAnsi="Arial" w:cs="Arial"/>
          <w:sz w:val="20"/>
          <w:szCs w:val="20"/>
          <w:lang w:val="fr-FR"/>
        </w:rPr>
        <w:t>nt 1742 décès en 2016 contre 458.435 dont 600 décès en 1998.</w:t>
      </w:r>
    </w:p>
    <w:p w14:paraId="6C82E173" w14:textId="77777777" w:rsidR="00802BA9" w:rsidRPr="00711F10" w:rsidRDefault="00802BA9" w:rsidP="00711F10">
      <w:pPr>
        <w:spacing w:before="120" w:after="120" w:line="240" w:lineRule="auto"/>
        <w:rPr>
          <w:rFonts w:ascii="Arial" w:hAnsi="Arial" w:cs="Arial"/>
          <w:sz w:val="20"/>
          <w:szCs w:val="20"/>
          <w:lang w:val="fr-FR"/>
        </w:rPr>
      </w:pPr>
      <w:r w:rsidRPr="00711F10">
        <w:rPr>
          <w:rFonts w:ascii="Arial" w:hAnsi="Arial" w:cs="Arial"/>
          <w:sz w:val="20"/>
          <w:szCs w:val="20"/>
          <w:lang w:val="fr-FR"/>
        </w:rPr>
        <w:t xml:space="preserve">La </w:t>
      </w:r>
      <w:r w:rsidRPr="00711F10">
        <w:rPr>
          <w:rFonts w:ascii="Arial" w:hAnsi="Arial" w:cs="Arial"/>
          <w:b/>
          <w:sz w:val="20"/>
          <w:szCs w:val="20"/>
          <w:lang w:val="fr-FR"/>
        </w:rPr>
        <w:t xml:space="preserve">dégradation constante de la qualité de l’eau </w:t>
      </w:r>
      <w:r w:rsidRPr="00711F10">
        <w:rPr>
          <w:rFonts w:ascii="Arial" w:hAnsi="Arial" w:cs="Arial"/>
          <w:sz w:val="20"/>
          <w:szCs w:val="20"/>
          <w:lang w:val="fr-FR"/>
        </w:rPr>
        <w:t>comme celles</w:t>
      </w:r>
      <w:r w:rsidRPr="00711F10">
        <w:rPr>
          <w:rFonts w:ascii="Arial" w:hAnsi="Arial" w:cs="Arial"/>
          <w:b/>
          <w:sz w:val="20"/>
          <w:szCs w:val="20"/>
          <w:lang w:val="fr-FR"/>
        </w:rPr>
        <w:t xml:space="preserve"> </w:t>
      </w:r>
      <w:r w:rsidRPr="00711F10">
        <w:rPr>
          <w:rFonts w:ascii="Arial" w:hAnsi="Arial" w:cs="Arial"/>
          <w:sz w:val="20"/>
          <w:szCs w:val="20"/>
          <w:lang w:val="fr-FR"/>
        </w:rPr>
        <w:t>des fleuves et des puits (§ 2.1.1.5), notamment par la présence de coliformes totaux et fécaux (plus de 100 colonies pour 100 ml), entraine le développement de maladies hydriques. Ces maladies hydriques contractées par ingestion (choléra, diarrhées, dracunculose ou filariose de Médine, fièvre typhoïde, etc.) ou par contact (schistosomiase, etc.) sont nettement en progression au Mali. Ainsi, les maladies diarrhéiques ont augmenté et présentent un taux d’incidence</w:t>
      </w:r>
      <w:r w:rsidRPr="00711F10">
        <w:rPr>
          <w:rStyle w:val="Appelnotedebasdep"/>
          <w:rFonts w:ascii="Arial" w:hAnsi="Arial" w:cs="Arial"/>
          <w:sz w:val="20"/>
          <w:szCs w:val="20"/>
          <w:lang w:val="fr-FR"/>
        </w:rPr>
        <w:footnoteReference w:id="44"/>
      </w:r>
      <w:r w:rsidRPr="00711F10">
        <w:rPr>
          <w:rFonts w:ascii="Arial" w:hAnsi="Arial" w:cs="Arial"/>
          <w:sz w:val="20"/>
          <w:szCs w:val="20"/>
          <w:lang w:val="fr-FR"/>
        </w:rPr>
        <w:t xml:space="preserve"> pour 1000 enfants âgés de moins de 11 mois de 113,95 en 2016 (INSTAT, 2016) contre 60,19 en 1998 (INSTAT, 1998). Le nombre total de cas pour l’ensemble de la population (ensemble des classes d’âge) s’élève à 310.981 (dont 43 décès) e</w:t>
      </w:r>
      <w:r w:rsidR="00A437BA" w:rsidRPr="00711F10">
        <w:rPr>
          <w:rFonts w:ascii="Arial" w:hAnsi="Arial" w:cs="Arial"/>
          <w:sz w:val="20"/>
          <w:szCs w:val="20"/>
          <w:lang w:val="fr-FR"/>
        </w:rPr>
        <w:t>n 2016 contre 107.444</w:t>
      </w:r>
      <w:r w:rsidRPr="00711F10">
        <w:rPr>
          <w:rFonts w:ascii="Arial" w:hAnsi="Arial" w:cs="Arial"/>
          <w:sz w:val="20"/>
          <w:szCs w:val="20"/>
          <w:lang w:val="fr-FR"/>
        </w:rPr>
        <w:t xml:space="preserve"> en 1998 (dont 140 morts)</w:t>
      </w:r>
      <w:r w:rsidR="00A437BA" w:rsidRPr="00711F10">
        <w:rPr>
          <w:rFonts w:ascii="Arial" w:hAnsi="Arial" w:cs="Arial"/>
          <w:sz w:val="20"/>
          <w:szCs w:val="20"/>
          <w:lang w:val="fr-FR"/>
        </w:rPr>
        <w:t>.</w:t>
      </w:r>
      <w:r w:rsidRPr="00711F10">
        <w:rPr>
          <w:rFonts w:ascii="Arial" w:hAnsi="Arial" w:cs="Arial"/>
          <w:sz w:val="20"/>
          <w:szCs w:val="20"/>
          <w:lang w:val="fr-FR"/>
        </w:rPr>
        <w:t xml:space="preserve"> </w:t>
      </w:r>
    </w:p>
    <w:p w14:paraId="740FE1F9" w14:textId="77777777" w:rsidR="00802BA9" w:rsidRPr="00711F10" w:rsidRDefault="00802BA9" w:rsidP="00711F10">
      <w:pPr>
        <w:spacing w:before="120" w:after="120" w:line="240" w:lineRule="auto"/>
        <w:rPr>
          <w:rFonts w:ascii="Arial" w:hAnsi="Arial" w:cs="Arial"/>
          <w:sz w:val="20"/>
          <w:szCs w:val="20"/>
          <w:lang w:val="fr-FR"/>
        </w:rPr>
      </w:pPr>
      <w:r w:rsidRPr="00711F10">
        <w:rPr>
          <w:rFonts w:ascii="Arial" w:hAnsi="Arial" w:cs="Arial"/>
          <w:sz w:val="20"/>
          <w:szCs w:val="20"/>
          <w:lang w:val="fr-FR"/>
        </w:rPr>
        <w:t xml:space="preserve">La </w:t>
      </w:r>
      <w:r w:rsidRPr="00711F10">
        <w:rPr>
          <w:rFonts w:ascii="Arial" w:hAnsi="Arial" w:cs="Arial"/>
          <w:b/>
          <w:sz w:val="20"/>
          <w:szCs w:val="20"/>
          <w:lang w:val="fr-FR"/>
        </w:rPr>
        <w:t>dégradation de la qualité de l’air</w:t>
      </w:r>
      <w:r w:rsidRPr="00711F10">
        <w:rPr>
          <w:rFonts w:ascii="Arial" w:hAnsi="Arial" w:cs="Arial"/>
          <w:sz w:val="20"/>
          <w:szCs w:val="20"/>
          <w:lang w:val="fr-FR"/>
        </w:rPr>
        <w:t xml:space="preserve"> </w:t>
      </w:r>
      <w:r w:rsidRPr="001D0C63">
        <w:rPr>
          <w:rFonts w:ascii="Arial" w:hAnsi="Arial" w:cs="Arial"/>
          <w:sz w:val="20"/>
          <w:szCs w:val="20"/>
          <w:lang w:val="fr-FR"/>
        </w:rPr>
        <w:t xml:space="preserve">du pays </w:t>
      </w:r>
      <w:r w:rsidR="00CC5C9B" w:rsidRPr="001D0C63">
        <w:rPr>
          <w:rFonts w:ascii="Arial" w:hAnsi="Arial" w:cs="Arial"/>
          <w:sz w:val="20"/>
          <w:szCs w:val="20"/>
          <w:lang w:val="fr-FR"/>
        </w:rPr>
        <w:t>et plus particulièrement pour Bamako (</w:t>
      </w:r>
      <w:r w:rsidR="00CC5C9B" w:rsidRPr="001D0C63">
        <w:rPr>
          <w:rFonts w:ascii="Arial" w:eastAsia="Calibri" w:hAnsi="Arial" w:cs="Arial"/>
          <w:bCs/>
          <w:sz w:val="20"/>
          <w:szCs w:val="20"/>
          <w:lang w:val="fr-FR"/>
        </w:rPr>
        <w:t>concentration moyenne journalière de 504 µg/m³ pour les PM10</w:t>
      </w:r>
      <w:r w:rsidR="00CC5C9B" w:rsidRPr="001D0C63">
        <w:rPr>
          <w:rFonts w:ascii="Arial" w:eastAsia="Calibri" w:hAnsi="Arial" w:cs="Arial"/>
          <w:bCs/>
          <w:sz w:val="20"/>
          <w:szCs w:val="20"/>
          <w:vertAlign w:val="superscript"/>
          <w:lang w:val="fr-FR"/>
        </w:rPr>
        <w:footnoteReference w:id="45"/>
      </w:r>
      <w:r w:rsidR="00CC5C9B" w:rsidRPr="001D0C63">
        <w:rPr>
          <w:rFonts w:ascii="Arial" w:eastAsia="Calibri" w:hAnsi="Arial" w:cs="Arial"/>
          <w:bCs/>
          <w:sz w:val="20"/>
          <w:szCs w:val="20"/>
          <w:lang w:val="fr-FR"/>
        </w:rPr>
        <w:t xml:space="preserve"> dépassant la norme OMS de 50 µg/m³, </w:t>
      </w:r>
      <w:r w:rsidR="00CC5C9B" w:rsidRPr="001D0C63">
        <w:rPr>
          <w:rFonts w:ascii="Arial" w:hAnsi="Arial" w:cs="Arial"/>
          <w:sz w:val="20"/>
          <w:szCs w:val="20"/>
          <w:lang w:val="fr-FR"/>
        </w:rPr>
        <w:t xml:space="preserve">277 µg/m³ pour les PM2.5 plus de 10 fois supérieure à la norme OMS de 25 </w:t>
      </w:r>
      <w:r w:rsidR="00CC5C9B" w:rsidRPr="001D0C63">
        <w:rPr>
          <w:rFonts w:ascii="Arial" w:eastAsia="Calibri" w:hAnsi="Arial" w:cs="Arial"/>
          <w:bCs/>
          <w:sz w:val="20"/>
          <w:szCs w:val="20"/>
          <w:lang w:val="fr-FR"/>
        </w:rPr>
        <w:t xml:space="preserve">µg/m³, </w:t>
      </w:r>
      <w:r w:rsidR="00CC5C9B" w:rsidRPr="001D0C63">
        <w:rPr>
          <w:rFonts w:ascii="Arial" w:hAnsi="Arial" w:cs="Arial"/>
          <w:sz w:val="20"/>
          <w:szCs w:val="20"/>
        </w:rPr>
        <w:t xml:space="preserve">16 µg/m3 pour le benzène pour une norme OMS de 1µg/m³ -§ 2.1.1-) </w:t>
      </w:r>
      <w:r w:rsidRPr="001D0C63">
        <w:rPr>
          <w:rFonts w:ascii="Arial" w:hAnsi="Arial" w:cs="Arial"/>
          <w:sz w:val="20"/>
          <w:szCs w:val="20"/>
          <w:lang w:val="fr-FR"/>
        </w:rPr>
        <w:t>entraine plus d’Infecti</w:t>
      </w:r>
      <w:r w:rsidRPr="00711F10">
        <w:rPr>
          <w:rFonts w:ascii="Arial" w:hAnsi="Arial" w:cs="Arial"/>
          <w:sz w:val="20"/>
          <w:szCs w:val="20"/>
          <w:lang w:val="fr-FR"/>
        </w:rPr>
        <w:t xml:space="preserve">ons Respiratoires Aigües (IRA) hautes (angine, otite trachéite) et basses (pneumonie, bronchopneumonie). </w:t>
      </w:r>
    </w:p>
    <w:p w14:paraId="205D0E90" w14:textId="77777777" w:rsidR="00802BA9" w:rsidRPr="00711F10" w:rsidRDefault="00802BA9" w:rsidP="00711F10">
      <w:pPr>
        <w:pStyle w:val="Pardeliste"/>
        <w:numPr>
          <w:ilvl w:val="0"/>
          <w:numId w:val="57"/>
        </w:numPr>
        <w:spacing w:before="120" w:after="120" w:line="240" w:lineRule="auto"/>
        <w:ind w:left="426"/>
        <w:rPr>
          <w:rFonts w:ascii="Arial" w:hAnsi="Arial" w:cs="Arial"/>
          <w:sz w:val="20"/>
          <w:szCs w:val="20"/>
          <w:lang w:val="fr-FR"/>
        </w:rPr>
      </w:pPr>
      <w:r w:rsidRPr="00711F10">
        <w:rPr>
          <w:rFonts w:ascii="Arial" w:hAnsi="Arial" w:cs="Arial"/>
          <w:sz w:val="20"/>
          <w:szCs w:val="20"/>
          <w:lang w:val="fr-FR"/>
        </w:rPr>
        <w:t>Les IRA hautes pour la classe d’âge 0-11 mois présentent un taux d’incidence de 84,05 (180,56 à Bamako) en 2016 contre 51,04 (163,26 à Bamako) en 1998 ; le nombre total de cas pour l’ensemble de la population (ensemble des classes d’âge) est de 313.223 dont 51 décès en 2016 contre 92.816 dont 19 décès en 1998.</w:t>
      </w:r>
    </w:p>
    <w:p w14:paraId="2D045C97" w14:textId="77777777" w:rsidR="00802BA9" w:rsidRPr="00500D2D" w:rsidRDefault="00802BA9" w:rsidP="00711F10">
      <w:pPr>
        <w:pStyle w:val="Pardeliste"/>
        <w:numPr>
          <w:ilvl w:val="0"/>
          <w:numId w:val="57"/>
        </w:numPr>
        <w:spacing w:before="120" w:after="120" w:line="240" w:lineRule="auto"/>
        <w:ind w:left="426"/>
        <w:rPr>
          <w:rFonts w:ascii="Arial" w:hAnsi="Arial" w:cs="Arial"/>
          <w:sz w:val="20"/>
          <w:szCs w:val="20"/>
          <w:lang w:val="fr-FR"/>
        </w:rPr>
      </w:pPr>
      <w:r w:rsidRPr="00711F10">
        <w:rPr>
          <w:rFonts w:ascii="Arial" w:hAnsi="Arial" w:cs="Arial"/>
          <w:sz w:val="20"/>
          <w:szCs w:val="20"/>
          <w:lang w:val="fr-FR"/>
        </w:rPr>
        <w:t>Les IRA basses pour la classe d’âge 0-11 mois présentent un taux d’incidence de 164,16 (161,91 à Bamako, 289,8 à Tombouctou, 239,6 à Gao) en 2016 contre 115,54 (177,19 à Bamako) en 1998 ; le nombre total de cas pour l’ensemble de la population s’élève à 589.471 dont 113 décès contre 202.691 dont 154 décès en 1998.</w:t>
      </w:r>
    </w:p>
    <w:p w14:paraId="1B60E220" w14:textId="77777777" w:rsidR="00BF1B5B" w:rsidRPr="00500D2D" w:rsidRDefault="00802BA9" w:rsidP="00711F10">
      <w:pPr>
        <w:spacing w:before="120" w:after="120" w:line="240" w:lineRule="auto"/>
        <w:rPr>
          <w:rFonts w:ascii="Arial" w:hAnsi="Arial" w:cs="Arial"/>
          <w:sz w:val="20"/>
          <w:szCs w:val="20"/>
          <w:lang w:val="fr-FR"/>
        </w:rPr>
      </w:pPr>
      <w:r w:rsidRPr="00711F10">
        <w:rPr>
          <w:rFonts w:ascii="Arial" w:hAnsi="Arial" w:cs="Arial"/>
          <w:sz w:val="20"/>
          <w:szCs w:val="20"/>
          <w:lang w:val="fr-FR"/>
        </w:rPr>
        <w:t xml:space="preserve">L’utilisation régulière de bois pour la cuisson a un effet sur la santé particulièrement fort sur les femmes et les enfants exposés à la fumée causée par la combustion du bois ; la teneur élevée en </w:t>
      </w:r>
      <w:r w:rsidRPr="00711F10">
        <w:rPr>
          <w:rFonts w:ascii="Arial" w:hAnsi="Arial" w:cs="Arial"/>
          <w:i/>
          <w:sz w:val="20"/>
          <w:szCs w:val="20"/>
          <w:lang w:val="fr-FR"/>
        </w:rPr>
        <w:t>black carbon</w:t>
      </w:r>
      <w:r w:rsidRPr="00711F10">
        <w:rPr>
          <w:rFonts w:ascii="Arial" w:hAnsi="Arial" w:cs="Arial"/>
          <w:sz w:val="20"/>
          <w:szCs w:val="20"/>
          <w:lang w:val="fr-FR"/>
        </w:rPr>
        <w:t xml:space="preserve"> (BC) ayant un impact sanitaire reconnu. En outre, il existe une corrélation étroite entre l’augmentation de la consommation de carburant lié à l’augmentation du nombre de véhicules et les IRA. Il semble important, à court terme, de mettre en place un observatoire de la qualité de l’air, à l’instar de Dakar.</w:t>
      </w:r>
    </w:p>
    <w:p w14:paraId="6ECFB439" w14:textId="77777777" w:rsidR="00BF1B5B" w:rsidRPr="001D0C63" w:rsidRDefault="00DE412B" w:rsidP="00711F10">
      <w:pPr>
        <w:spacing w:before="120" w:after="120" w:line="240" w:lineRule="auto"/>
        <w:rPr>
          <w:rFonts w:ascii="Arial" w:hAnsi="Arial" w:cs="Arial"/>
          <w:sz w:val="20"/>
          <w:szCs w:val="20"/>
          <w:lang w:val="fr-FR"/>
        </w:rPr>
      </w:pPr>
      <w:r w:rsidRPr="001D0C63">
        <w:rPr>
          <w:rFonts w:ascii="Arial" w:hAnsi="Arial" w:cs="Arial"/>
          <w:sz w:val="20"/>
          <w:szCs w:val="20"/>
          <w:lang w:val="fr-FR"/>
        </w:rPr>
        <w:t>Les menaces sur la santé sont très importantes au Mali. Ainsi, toutes ces pathologies (paludisme, diarrhées, infections respiratoires aigües, etc.), très liées à l’environnement, influencent fortement et directement la malnutrition chez les enfants de moin</w:t>
      </w:r>
      <w:r w:rsidR="00163B06" w:rsidRPr="001D0C63">
        <w:rPr>
          <w:rFonts w:ascii="Arial" w:hAnsi="Arial" w:cs="Arial"/>
          <w:sz w:val="20"/>
          <w:szCs w:val="20"/>
          <w:lang w:val="fr-FR"/>
        </w:rPr>
        <w:t>s de 5 ans. Dans un contexte d</w:t>
      </w:r>
      <w:r w:rsidRPr="001D0C63">
        <w:rPr>
          <w:rFonts w:ascii="Arial" w:hAnsi="Arial" w:cs="Arial"/>
          <w:sz w:val="20"/>
          <w:szCs w:val="20"/>
          <w:lang w:val="fr-FR"/>
        </w:rPr>
        <w:t>’</w:t>
      </w:r>
      <w:r w:rsidRPr="001D0C63">
        <w:rPr>
          <w:rFonts w:ascii="Arial" w:hAnsi="Arial" w:cs="Arial"/>
          <w:b/>
          <w:sz w:val="20"/>
          <w:szCs w:val="20"/>
          <w:lang w:val="fr-FR"/>
        </w:rPr>
        <w:t>insécurité alimentaire</w:t>
      </w:r>
      <w:r w:rsidRPr="001D0C63">
        <w:rPr>
          <w:rFonts w:ascii="Arial" w:hAnsi="Arial" w:cs="Arial"/>
          <w:sz w:val="20"/>
          <w:szCs w:val="20"/>
          <w:lang w:val="fr-FR"/>
        </w:rPr>
        <w:t>, exacerbée par la poursuite de la violence, de l’instabilité et des déplacements, touchant un malien sur cinq</w:t>
      </w:r>
      <w:r w:rsidRPr="001D0C63">
        <w:rPr>
          <w:rFonts w:ascii="Arial" w:hAnsi="Arial" w:cs="Arial"/>
          <w:sz w:val="20"/>
          <w:szCs w:val="20"/>
          <w:vertAlign w:val="superscript"/>
          <w:lang w:val="fr-FR"/>
        </w:rPr>
        <w:footnoteReference w:id="46"/>
      </w:r>
      <w:r w:rsidRPr="001D0C63">
        <w:rPr>
          <w:rFonts w:ascii="Arial" w:hAnsi="Arial" w:cs="Arial"/>
          <w:sz w:val="20"/>
          <w:szCs w:val="20"/>
          <w:lang w:val="fr-FR"/>
        </w:rPr>
        <w:t xml:space="preserve">, la malnutrition reste stable à des niveaux très élevés quel que soit la forme de la pathologie. En effet, bien que l’on note une réduction non négligeable de la prévalence de la malnutrition chronique </w:t>
      </w:r>
      <w:r w:rsidR="00BF1B5B" w:rsidRPr="001D0C63">
        <w:rPr>
          <w:rFonts w:ascii="Arial" w:hAnsi="Arial" w:cs="Arial"/>
          <w:sz w:val="20"/>
          <w:szCs w:val="20"/>
          <w:lang w:val="fr-FR"/>
        </w:rPr>
        <w:t>avec</w:t>
      </w:r>
      <w:r w:rsidRPr="001D0C63">
        <w:rPr>
          <w:rFonts w:ascii="Arial" w:hAnsi="Arial" w:cs="Arial"/>
          <w:sz w:val="20"/>
          <w:szCs w:val="20"/>
          <w:lang w:val="fr-FR"/>
        </w:rPr>
        <w:t xml:space="preserve"> </w:t>
      </w:r>
      <w:r w:rsidR="00BF1B5B" w:rsidRPr="001D0C63">
        <w:rPr>
          <w:rFonts w:ascii="Arial" w:hAnsi="Arial" w:cs="Arial"/>
          <w:sz w:val="20"/>
          <w:szCs w:val="20"/>
          <w:lang w:val="fr-FR"/>
        </w:rPr>
        <w:t xml:space="preserve">22,3 % en 2018 (SMART, 2018) contre </w:t>
      </w:r>
      <w:r w:rsidRPr="001D0C63">
        <w:rPr>
          <w:rFonts w:ascii="Arial" w:hAnsi="Arial" w:cs="Arial"/>
          <w:sz w:val="20"/>
          <w:szCs w:val="20"/>
          <w:lang w:val="fr-FR"/>
        </w:rPr>
        <w:t>28,1 % en 2014 (SMART, 2014)</w:t>
      </w:r>
      <w:r w:rsidR="00BF1B5B" w:rsidRPr="001D0C63">
        <w:rPr>
          <w:rFonts w:ascii="Arial" w:hAnsi="Arial" w:cs="Arial"/>
          <w:sz w:val="20"/>
          <w:szCs w:val="20"/>
          <w:lang w:val="fr-FR"/>
        </w:rPr>
        <w:t>, plus de 80 % des enfants de moins de 5 ans et plus de 65 % des femmes souffrent d’une carence en fer, taux les plus élevés au monde</w:t>
      </w:r>
      <w:r w:rsidR="00BF1B5B" w:rsidRPr="001D0C63">
        <w:rPr>
          <w:rFonts w:ascii="Arial" w:hAnsi="Arial" w:cs="Arial"/>
          <w:sz w:val="20"/>
          <w:szCs w:val="20"/>
          <w:vertAlign w:val="superscript"/>
          <w:lang w:val="fr-FR"/>
        </w:rPr>
        <w:footnoteReference w:id="47"/>
      </w:r>
      <w:r w:rsidR="00BF1B5B" w:rsidRPr="001D0C63">
        <w:rPr>
          <w:rFonts w:ascii="Arial" w:hAnsi="Arial" w:cs="Arial"/>
          <w:sz w:val="20"/>
          <w:szCs w:val="20"/>
          <w:lang w:val="fr-FR"/>
        </w:rPr>
        <w:t>. Pour mémoire, la carence en fer provoque une forte diminution du développement intellectuel et de la capacité d’apprentissage chez l’enfant et la femme anémiée a plus de chances de donner naissance à un enfant souffrant de malnutrition. En outre, la malnutrition aigüe reste très forte sur la même période 2014-2018. Ainsi, selon les calculs dérivés des résultats des enquêtes SMART annuelles, le nombre d’enfants malnutris aigus est resté globalement stable autour de 700.000 enfants attendus par année dont environ 170.000 sont atteints de la forme sévère (mortelles).</w:t>
      </w:r>
      <w:r w:rsidR="00D21058" w:rsidRPr="001D0C63">
        <w:rPr>
          <w:rFonts w:ascii="Arial" w:hAnsi="Arial" w:cs="Arial"/>
          <w:sz w:val="20"/>
          <w:szCs w:val="20"/>
          <w:lang w:val="fr-FR"/>
        </w:rPr>
        <w:t xml:space="preserve"> Cet aspect touche particulièrement le Nord du pays (régions de Gao et de Tombouctou) avec une prévalence proche ou supérieure à 15 % (seuil d’urgence de l’OMS). Les régions du Centre et du Sud sont moins affectées mais présentent le plus de cas suite à la forte densité de leurs populations ou à la venue des populations du Nord du pays.</w:t>
      </w:r>
    </w:p>
    <w:p w14:paraId="3141DD4D" w14:textId="77777777" w:rsidR="00CE50A9" w:rsidRPr="00711F10" w:rsidRDefault="00DE412B" w:rsidP="00711F10">
      <w:pPr>
        <w:spacing w:before="120" w:after="120" w:line="240" w:lineRule="auto"/>
        <w:rPr>
          <w:rFonts w:ascii="Arial" w:hAnsi="Arial" w:cs="Arial"/>
          <w:color w:val="0070C0"/>
          <w:sz w:val="20"/>
          <w:szCs w:val="20"/>
          <w:lang w:val="fr-FR"/>
        </w:rPr>
      </w:pPr>
      <w:r w:rsidRPr="00711F10">
        <w:rPr>
          <w:rFonts w:ascii="Arial" w:hAnsi="Arial" w:cs="Arial"/>
          <w:color w:val="0070C0"/>
          <w:sz w:val="20"/>
          <w:szCs w:val="20"/>
          <w:lang w:val="fr-FR"/>
        </w:rPr>
        <w:t xml:space="preserve"> </w:t>
      </w:r>
    </w:p>
    <w:p w14:paraId="46D3B0B5" w14:textId="77777777" w:rsidR="00802BA9" w:rsidRPr="00500D2D" w:rsidRDefault="00802BA9" w:rsidP="00525222">
      <w:pPr>
        <w:pStyle w:val="Titre3"/>
      </w:pPr>
      <w:bookmarkStart w:id="32" w:name="_Toc20505635"/>
      <w:r w:rsidRPr="00711F10">
        <w:t>2.3.4 L’exposition aux catastrophes naturelles et la vulnérabilité des territoires et des bâtis aux aléas climatiques (inondations, sécheresses, criquets, épidémies)</w:t>
      </w:r>
      <w:bookmarkEnd w:id="32"/>
      <w:r w:rsidRPr="00711F10">
        <w:t xml:space="preserve"> </w:t>
      </w:r>
    </w:p>
    <w:p w14:paraId="422EF282" w14:textId="77777777" w:rsidR="00802BA9" w:rsidRPr="001D0C63" w:rsidRDefault="00802BA9" w:rsidP="00711F10">
      <w:pPr>
        <w:spacing w:before="120" w:after="120" w:line="240" w:lineRule="auto"/>
        <w:rPr>
          <w:rFonts w:ascii="Arial" w:eastAsia="Calibri" w:hAnsi="Arial" w:cs="Arial"/>
          <w:sz w:val="20"/>
          <w:szCs w:val="20"/>
          <w:lang w:val="fr-FR" w:eastAsia="fr-FR"/>
        </w:rPr>
      </w:pPr>
      <w:r w:rsidRPr="00711F10">
        <w:rPr>
          <w:rFonts w:ascii="Arial" w:hAnsi="Arial" w:cs="Arial"/>
          <w:sz w:val="20"/>
          <w:szCs w:val="20"/>
        </w:rPr>
        <w:t xml:space="preserve">Le Mali est particulièrement vulnérable à la sécheresse, aux inondations et aux invasions acridiennes (DNM, 2007) </w:t>
      </w:r>
      <w:r w:rsidRPr="00711F10">
        <w:rPr>
          <w:rFonts w:ascii="Arial" w:eastAsia="Calibri" w:hAnsi="Arial" w:cs="Arial"/>
          <w:sz w:val="20"/>
          <w:szCs w:val="20"/>
          <w:lang w:val="fr-FR" w:eastAsia="fr-FR"/>
        </w:rPr>
        <w:t xml:space="preserve">qui provoquent des crises humanitaires (insécurité alimentaire) récurrentes et de plus en plus sévères et fréquentes. </w:t>
      </w:r>
      <w:r w:rsidRPr="00711F10">
        <w:rPr>
          <w:rFonts w:ascii="Arial" w:hAnsi="Arial" w:cs="Arial"/>
          <w:sz w:val="20"/>
          <w:szCs w:val="20"/>
        </w:rPr>
        <w:t xml:space="preserve">Au cours du XXe siècle, le Sahel, et par extension le Mali, a connu plusieurs périodes de sécheresse ou d’excédents pluviométriques ayant persisté pendant cinq années successives et plus : </w:t>
      </w:r>
      <w:r w:rsidRPr="00711F10">
        <w:rPr>
          <w:rFonts w:ascii="Arial" w:hAnsi="Arial" w:cs="Arial"/>
          <w:sz w:val="20"/>
          <w:szCs w:val="20"/>
        </w:rPr>
        <w:lastRenderedPageBreak/>
        <w:t>sécheresse de 1910 à 1916 (7 années), excédents de 1950 à 1967 (18 ans), déficits pluvi</w:t>
      </w:r>
      <w:r w:rsidR="00A74540" w:rsidRPr="00A74540">
        <w:t xml:space="preserve"> </w:t>
      </w:r>
      <w:r w:rsidR="00A74540" w:rsidRPr="00A74540">
        <w:rPr>
          <w:rFonts w:ascii="Arial" w:hAnsi="Arial" w:cs="Arial"/>
          <w:sz w:val="20"/>
          <w:szCs w:val="20"/>
        </w:rPr>
        <w:t xml:space="preserve">Au niveau de la biodiversité Au niveau de la biodiversité </w:t>
      </w:r>
      <w:r w:rsidRPr="00711F10">
        <w:rPr>
          <w:rFonts w:ascii="Arial" w:hAnsi="Arial" w:cs="Arial"/>
          <w:sz w:val="20"/>
          <w:szCs w:val="20"/>
        </w:rPr>
        <w:t xml:space="preserve">ométriques de 1970 à 1974 (5 ans), et enfin nouvelle sécheresse de 1976 à 1993 (18 ans), la plus longue et la plus intense du siècle » (SABRIE &amp; L’HOTE, 2003). </w:t>
      </w:r>
      <w:r w:rsidRPr="00711F10">
        <w:rPr>
          <w:rFonts w:ascii="Arial" w:eastAsia="Calibri" w:hAnsi="Arial" w:cs="Arial"/>
          <w:sz w:val="20"/>
          <w:szCs w:val="20"/>
          <w:lang w:val="fr-FR" w:eastAsia="fr-FR"/>
        </w:rPr>
        <w:t>En 37 ans (1980-2017), le pays a connu six épisodes majeurs de sécheresse et six grandes inondations qui ont touché plus de 7 millions de personnes (annexe 7.4.</w:t>
      </w:r>
      <w:r w:rsidR="00A437BA" w:rsidRPr="00711F10">
        <w:rPr>
          <w:rFonts w:ascii="Arial" w:eastAsia="Calibri" w:hAnsi="Arial" w:cs="Arial"/>
          <w:sz w:val="20"/>
          <w:szCs w:val="20"/>
          <w:lang w:val="fr-FR" w:eastAsia="fr-FR"/>
        </w:rPr>
        <w:t>10</w:t>
      </w:r>
      <w:r w:rsidRPr="00711F10">
        <w:rPr>
          <w:rFonts w:ascii="Arial" w:eastAsia="Calibri" w:hAnsi="Arial" w:cs="Arial"/>
          <w:sz w:val="20"/>
          <w:szCs w:val="20"/>
          <w:lang w:val="fr-FR" w:eastAsia="fr-FR"/>
        </w:rPr>
        <w:t>). Ces dix dernières années (2007-2016), le Mali a connu 2 grandes sécheresses (2010 et 2011</w:t>
      </w:r>
      <w:r w:rsidRPr="00711F10">
        <w:rPr>
          <w:rStyle w:val="Appelnotedebasdep"/>
          <w:rFonts w:ascii="Arial" w:eastAsia="Calibri" w:hAnsi="Arial" w:cs="Arial"/>
          <w:sz w:val="20"/>
          <w:szCs w:val="20"/>
          <w:lang w:val="fr-FR" w:eastAsia="fr-FR"/>
        </w:rPr>
        <w:footnoteReference w:id="48"/>
      </w:r>
      <w:r w:rsidRPr="00711F10">
        <w:rPr>
          <w:rFonts w:ascii="Arial" w:eastAsia="Calibri" w:hAnsi="Arial" w:cs="Arial"/>
          <w:sz w:val="20"/>
          <w:szCs w:val="20"/>
          <w:lang w:val="fr-FR" w:eastAsia="fr-FR"/>
        </w:rPr>
        <w:t>) et 5 grandes inondations (2 en 2007, 2013, 2016, 2017) touchant plus de 4.200.000 personnes (annexe 7.4.</w:t>
      </w:r>
      <w:r w:rsidR="0060791B" w:rsidRPr="00711F10">
        <w:rPr>
          <w:rFonts w:ascii="Arial" w:eastAsia="Calibri" w:hAnsi="Arial" w:cs="Arial"/>
          <w:sz w:val="20"/>
          <w:szCs w:val="20"/>
          <w:lang w:val="fr-FR" w:eastAsia="fr-FR"/>
        </w:rPr>
        <w:t>10</w:t>
      </w:r>
      <w:r w:rsidRPr="00711F10">
        <w:rPr>
          <w:rFonts w:ascii="Arial" w:eastAsia="Calibri" w:hAnsi="Arial" w:cs="Arial"/>
          <w:sz w:val="20"/>
          <w:szCs w:val="20"/>
          <w:lang w:val="fr-FR" w:eastAsia="fr-FR"/>
        </w:rPr>
        <w:t>).</w:t>
      </w:r>
      <w:r w:rsidRPr="00711F10">
        <w:rPr>
          <w:rFonts w:ascii="Arial" w:eastAsia="Calibri" w:hAnsi="Arial" w:cs="Arial"/>
          <w:color w:val="7030A0"/>
          <w:sz w:val="20"/>
          <w:szCs w:val="20"/>
          <w:lang w:val="fr-FR" w:eastAsia="fr-FR"/>
        </w:rPr>
        <w:t xml:space="preserve"> </w:t>
      </w:r>
      <w:r w:rsidRPr="00711F10">
        <w:rPr>
          <w:rFonts w:ascii="Arial" w:eastAsia="Calibri" w:hAnsi="Arial" w:cs="Arial"/>
          <w:sz w:val="20"/>
          <w:szCs w:val="20"/>
          <w:lang w:val="fr-FR" w:eastAsia="fr-FR"/>
        </w:rPr>
        <w:t>Pour l’année 2018, 868.000 personnes ont besoin d’une assistance alimentaire immédiate ; l’insécurité alimentaire affectant 4,1 millions de personnes au Mali (OCHA, 2/2018</w:t>
      </w:r>
      <w:r w:rsidRPr="001D0C63">
        <w:rPr>
          <w:rFonts w:ascii="Arial" w:eastAsia="Calibri" w:hAnsi="Arial" w:cs="Arial"/>
          <w:sz w:val="20"/>
          <w:szCs w:val="20"/>
          <w:lang w:val="fr-FR" w:eastAsia="fr-FR"/>
        </w:rPr>
        <w:t>).</w:t>
      </w:r>
      <w:r w:rsidR="0060791B" w:rsidRPr="001D0C63">
        <w:rPr>
          <w:rFonts w:ascii="Arial" w:eastAsia="Calibri" w:hAnsi="Arial" w:cs="Arial"/>
          <w:sz w:val="20"/>
          <w:szCs w:val="20"/>
          <w:lang w:val="fr-FR" w:eastAsia="fr-FR"/>
        </w:rPr>
        <w:t xml:space="preserve"> La succession des catastrophes naturelles, exacerbées par la crise politico-sécuritaire de 2012, </w:t>
      </w:r>
      <w:r w:rsidR="00CD0676" w:rsidRPr="001D0C63">
        <w:rPr>
          <w:rFonts w:ascii="Arial" w:eastAsia="Calibri" w:hAnsi="Arial" w:cs="Arial"/>
          <w:sz w:val="20"/>
          <w:szCs w:val="20"/>
          <w:lang w:val="fr-FR" w:eastAsia="fr-FR"/>
        </w:rPr>
        <w:t xml:space="preserve">semblent avoir </w:t>
      </w:r>
      <w:r w:rsidR="0060791B" w:rsidRPr="001D0C63">
        <w:rPr>
          <w:rFonts w:ascii="Arial" w:eastAsia="Calibri" w:hAnsi="Arial" w:cs="Arial"/>
          <w:sz w:val="20"/>
          <w:szCs w:val="20"/>
          <w:lang w:val="fr-FR" w:eastAsia="fr-FR"/>
        </w:rPr>
        <w:t xml:space="preserve">aggravé la chronicité de la malnutrition aiguë globale (MAG) du pays et, plus particulièrement, celle des régions de Gao et de Tombouctou. </w:t>
      </w:r>
      <w:bookmarkStart w:id="33" w:name="_Hlk535073820"/>
      <w:r w:rsidR="00995A21" w:rsidRPr="001D0C63">
        <w:rPr>
          <w:rFonts w:ascii="Arial" w:eastAsia="Calibri" w:hAnsi="Arial" w:cs="Arial"/>
          <w:sz w:val="20"/>
          <w:szCs w:val="20"/>
          <w:lang w:val="fr-FR" w:eastAsia="fr-FR"/>
        </w:rPr>
        <w:t xml:space="preserve">Une amélioration de la communication (officialisation ?) des enquêtes SMART et, notamment, de </w:t>
      </w:r>
      <w:r w:rsidR="00014E0D" w:rsidRPr="001D0C63">
        <w:rPr>
          <w:rFonts w:ascii="Arial" w:eastAsia="Calibri" w:hAnsi="Arial" w:cs="Arial"/>
          <w:sz w:val="20"/>
          <w:szCs w:val="20"/>
          <w:lang w:val="fr-FR" w:eastAsia="fr-FR"/>
        </w:rPr>
        <w:t>l’évolution temporo-spatiale de la malnutrition apparait souhaitable.</w:t>
      </w:r>
      <w:bookmarkEnd w:id="33"/>
    </w:p>
    <w:p w14:paraId="1E1A4E81" w14:textId="77777777" w:rsidR="00802BA9" w:rsidRPr="00711F10" w:rsidRDefault="00802BA9" w:rsidP="00711F10">
      <w:pPr>
        <w:autoSpaceDE w:val="0"/>
        <w:autoSpaceDN w:val="0"/>
        <w:adjustRightInd w:val="0"/>
        <w:spacing w:before="120" w:after="120" w:line="240" w:lineRule="auto"/>
        <w:rPr>
          <w:rFonts w:ascii="Arial" w:eastAsia="Calibri" w:hAnsi="Arial" w:cs="Arial"/>
          <w:sz w:val="20"/>
          <w:szCs w:val="20"/>
          <w:lang w:val="fr-FR" w:eastAsia="fr-FR"/>
        </w:rPr>
      </w:pPr>
      <w:r w:rsidRPr="00711F10">
        <w:rPr>
          <w:rFonts w:ascii="Arial" w:hAnsi="Arial" w:cs="Arial"/>
          <w:sz w:val="20"/>
          <w:szCs w:val="20"/>
          <w:lang w:val="fr-FR"/>
        </w:rPr>
        <w:t xml:space="preserve">Les inondations sont liées aux </w:t>
      </w:r>
      <w:r w:rsidRPr="00711F10">
        <w:rPr>
          <w:rFonts w:ascii="Arial" w:hAnsi="Arial" w:cs="Arial"/>
          <w:sz w:val="20"/>
          <w:szCs w:val="20"/>
        </w:rPr>
        <w:t xml:space="preserve">périodes de fortes pluies </w:t>
      </w:r>
      <w:r w:rsidRPr="00711F10">
        <w:rPr>
          <w:rFonts w:ascii="Arial" w:hAnsi="Arial" w:cs="Arial"/>
          <w:sz w:val="20"/>
          <w:szCs w:val="20"/>
          <w:lang w:val="fr-FR"/>
        </w:rPr>
        <w:t xml:space="preserve">et aux crues des deux fleuves (Niger, Sénégal) et des cours d’eau mais aussi à la défaillance </w:t>
      </w:r>
      <w:r w:rsidRPr="001D0C63">
        <w:rPr>
          <w:rFonts w:ascii="Arial" w:hAnsi="Arial" w:cs="Arial"/>
          <w:sz w:val="20"/>
          <w:szCs w:val="20"/>
          <w:lang w:val="fr-FR"/>
        </w:rPr>
        <w:t xml:space="preserve">du système </w:t>
      </w:r>
      <w:r w:rsidR="00CD73E1" w:rsidRPr="001D0C63">
        <w:rPr>
          <w:rFonts w:ascii="Arial" w:hAnsi="Arial" w:cs="Arial"/>
          <w:sz w:val="20"/>
          <w:szCs w:val="20"/>
          <w:lang w:val="fr-FR"/>
        </w:rPr>
        <w:t>d’assainissement amélioré et durable (§ 2.2.10 : 27 % au niveau national, 35 % en milieu urbain, 14 % en milieu rural -CT-CSLP, 2016).</w:t>
      </w:r>
      <w:r w:rsidRPr="001D0C63">
        <w:rPr>
          <w:rFonts w:ascii="Arial" w:hAnsi="Arial" w:cs="Arial"/>
          <w:sz w:val="20"/>
          <w:szCs w:val="20"/>
          <w:lang w:val="fr-FR"/>
        </w:rPr>
        <w:t xml:space="preserve"> De c</w:t>
      </w:r>
      <w:r w:rsidRPr="00711F10">
        <w:rPr>
          <w:rFonts w:ascii="Arial" w:hAnsi="Arial" w:cs="Arial"/>
          <w:sz w:val="20"/>
          <w:szCs w:val="20"/>
          <w:lang w:val="fr-FR"/>
        </w:rPr>
        <w:t xml:space="preserve">es faits, elles surviennent aussi bien en milieu rural qu’en milieu urbain (34.000 personnes affectées à Bamako en août 2013). </w:t>
      </w:r>
      <w:r w:rsidRPr="00711F10">
        <w:rPr>
          <w:rFonts w:ascii="Arial" w:hAnsi="Arial" w:cs="Arial"/>
          <w:sz w:val="20"/>
          <w:szCs w:val="20"/>
        </w:rPr>
        <w:t>Les principales zones à risques d’inondations se situent dans le Delta Intérieur du fleuve Niger qui est un écosystème particulier lié à l’hydrographie, s’étalant en bande le long du fleuve Niger. Bamako la capitale, les régions de Tombouctou, Gao, Mopti, Ségou, Kayes, Koulikoro et Sikasso figurent parmi les plus exposées. Outre les inondations, l</w:t>
      </w:r>
      <w:r w:rsidRPr="00711F10">
        <w:rPr>
          <w:rFonts w:ascii="Arial" w:eastAsia="Calibri" w:hAnsi="Arial" w:cs="Arial"/>
          <w:sz w:val="20"/>
          <w:szCs w:val="20"/>
          <w:lang w:val="fr-FR" w:eastAsia="fr-FR"/>
        </w:rPr>
        <w:t>es invasions acridiennes sont régulières (invasions généralisées de criquets pèlerins de 1986 à 1989, invasions de 2003-2005, recrudescences majeures en 1992-94, etc. -MA, 2011-) et les épidémies fréquentes (méningite en 1996-97, rougeole entre 1993 et 2001, choléra entre 1970 et 2012, Ebola en 2014).</w:t>
      </w:r>
    </w:p>
    <w:p w14:paraId="72426634" w14:textId="77777777" w:rsidR="00802BA9" w:rsidRPr="00711F10" w:rsidRDefault="00802BA9" w:rsidP="00711F10">
      <w:pPr>
        <w:spacing w:before="120" w:after="120" w:line="240" w:lineRule="auto"/>
        <w:rPr>
          <w:rFonts w:ascii="Arial" w:eastAsia="Calibri" w:hAnsi="Arial" w:cs="Arial"/>
          <w:sz w:val="20"/>
          <w:szCs w:val="20"/>
          <w:lang w:val="fr-FR" w:eastAsia="fr-FR"/>
        </w:rPr>
      </w:pPr>
      <w:r w:rsidRPr="00711F10">
        <w:rPr>
          <w:rFonts w:ascii="Arial" w:eastAsia="Calibri" w:hAnsi="Arial" w:cs="Arial"/>
          <w:sz w:val="20"/>
          <w:szCs w:val="20"/>
          <w:lang w:val="fr-FR" w:eastAsia="fr-FR"/>
        </w:rPr>
        <w:t xml:space="preserve">La </w:t>
      </w:r>
      <w:r w:rsidRPr="00711F10">
        <w:rPr>
          <w:rFonts w:ascii="Arial" w:eastAsia="Calibri" w:hAnsi="Arial" w:cs="Arial"/>
          <w:b/>
          <w:sz w:val="20"/>
          <w:szCs w:val="20"/>
          <w:lang w:val="fr-FR" w:eastAsia="fr-FR"/>
        </w:rPr>
        <w:t>vulnérabilité du Mali aux catastrophes naturelles</w:t>
      </w:r>
      <w:r w:rsidRPr="00711F10">
        <w:rPr>
          <w:rFonts w:ascii="Arial" w:eastAsia="Calibri" w:hAnsi="Arial" w:cs="Arial"/>
          <w:sz w:val="20"/>
          <w:szCs w:val="20"/>
          <w:lang w:val="fr-FR" w:eastAsia="fr-FR"/>
        </w:rPr>
        <w:t xml:space="preserve"> est, par la nature de l’économie, très élevée sur le secteur primaire (§ 2.2).  La dégradation des sols avec des érosions et des ensablements faisant suite à la déforestation et aux feux de brousse, constituent des facteurs de risques sous-jacents majeurs. De plus, ces changements touchent la santé, les ressources en eau, les infrastructures, l`industrie et les mines. L’énergie, moteur des secteurs secondaire et tertiaire, dépend en partie de l’hydroélectricité qui est fortement soumise aux variations du climat. D’après le scénario climatique (PANA, 2007), une baisse de 1% du débit d’eau entraînerait une diminution de la production électrique de 1,3 millions de kWh. </w:t>
      </w:r>
    </w:p>
    <w:p w14:paraId="7857D3B2" w14:textId="77777777" w:rsidR="00802BA9" w:rsidRDefault="00802BA9" w:rsidP="00711F10">
      <w:pPr>
        <w:spacing w:before="120" w:after="120" w:line="240" w:lineRule="auto"/>
        <w:rPr>
          <w:rFonts w:ascii="Arial" w:hAnsi="Arial" w:cs="Arial"/>
          <w:sz w:val="20"/>
          <w:szCs w:val="20"/>
          <w:lang w:val="fr-FR"/>
        </w:rPr>
      </w:pPr>
      <w:r w:rsidRPr="00711F10">
        <w:rPr>
          <w:rFonts w:ascii="Arial" w:eastAsia="Calibri" w:hAnsi="Arial" w:cs="Arial"/>
          <w:sz w:val="20"/>
          <w:szCs w:val="20"/>
          <w:lang w:val="fr-FR" w:eastAsia="fr-FR"/>
        </w:rPr>
        <w:t>Le Mali a mis en place un dispositif de gestion des catastrophes suivi par la Direction Générale de la Protection Civile (DGPC) en créant une plate-forme de réduction des risques de catastrophes (2005), un « plan national multirisques de préparation et de réponse aux catastrophes » (2012), une stratégie nationale pour la réduction des risques de catastrophes ou SNRRC (2013) et un plan d’action (2015). En outre, aux échelles régionale et locale, il existe des comités de veille ou de crise réunissant l’ensemble des acteurs</w:t>
      </w:r>
      <w:r w:rsidRPr="00711F10">
        <w:rPr>
          <w:rStyle w:val="Appelnotedebasdep"/>
          <w:rFonts w:ascii="Arial" w:eastAsia="Calibri" w:hAnsi="Arial" w:cs="Arial"/>
          <w:sz w:val="20"/>
          <w:szCs w:val="20"/>
          <w:lang w:val="fr-FR" w:eastAsia="fr-FR"/>
        </w:rPr>
        <w:footnoteReference w:id="49"/>
      </w:r>
      <w:r w:rsidRPr="00711F10">
        <w:rPr>
          <w:rFonts w:ascii="Arial" w:eastAsia="Calibri" w:hAnsi="Arial" w:cs="Arial"/>
          <w:sz w:val="20"/>
          <w:szCs w:val="20"/>
          <w:lang w:val="fr-FR" w:eastAsia="fr-FR"/>
        </w:rPr>
        <w:t xml:space="preserve">. Depuis le PANA (DNM, 2007), la sensibilité des décideurs à la vulnérabilité aux changements climatiques et la majorité des actions environnementales envisagées s’inscrivent dans l’adaptation et la résilience aux changements climatiques. Enfin, en 2014 des cartes de vulnérabilité aux inondations ont été élaborées dans le but d’une priorisation des zones pour une meilleure prévention ; les cartes montrant </w:t>
      </w:r>
      <w:r w:rsidRPr="00711F10">
        <w:rPr>
          <w:rFonts w:ascii="Arial" w:hAnsi="Arial" w:cs="Arial"/>
          <w:sz w:val="20"/>
          <w:szCs w:val="20"/>
          <w:lang w:val="fr-FR"/>
        </w:rPr>
        <w:t>clairement une dispersion des zones exposées tant dans la région de Kayes que pour celles de Ségou, Mopti ou encore celles de Tombouctou et Gao</w:t>
      </w:r>
      <w:r w:rsidR="002866DD" w:rsidRPr="00711F10">
        <w:rPr>
          <w:rFonts w:ascii="Arial" w:hAnsi="Arial" w:cs="Arial"/>
          <w:sz w:val="20"/>
          <w:szCs w:val="20"/>
          <w:lang w:val="fr-FR"/>
        </w:rPr>
        <w:t xml:space="preserve"> (annexe 7.1.16</w:t>
      </w:r>
      <w:r w:rsidRPr="00711F10">
        <w:rPr>
          <w:rFonts w:ascii="Arial" w:hAnsi="Arial" w:cs="Arial"/>
          <w:sz w:val="20"/>
          <w:szCs w:val="20"/>
          <w:lang w:val="fr-FR"/>
        </w:rPr>
        <w:t>).</w:t>
      </w:r>
    </w:p>
    <w:p w14:paraId="5C6148C7" w14:textId="77777777" w:rsidR="00500D2D" w:rsidRPr="00711F10" w:rsidRDefault="00500D2D" w:rsidP="00711F10">
      <w:pPr>
        <w:spacing w:before="120" w:after="120" w:line="240" w:lineRule="auto"/>
        <w:rPr>
          <w:rFonts w:ascii="Arial" w:hAnsi="Arial" w:cs="Arial"/>
          <w:sz w:val="20"/>
          <w:szCs w:val="20"/>
          <w:lang w:val="fr-FR"/>
        </w:rPr>
      </w:pPr>
    </w:p>
    <w:p w14:paraId="1B31D08A" w14:textId="77777777" w:rsidR="00802BA9" w:rsidRPr="00711F10" w:rsidRDefault="00802BA9" w:rsidP="00525222">
      <w:pPr>
        <w:pStyle w:val="Titre3"/>
      </w:pPr>
      <w:bookmarkStart w:id="34" w:name="_Toc20505636"/>
      <w:r w:rsidRPr="00711F10">
        <w:t>2.3.5 L’augmentation des conflits</w:t>
      </w:r>
      <w:bookmarkEnd w:id="34"/>
    </w:p>
    <w:p w14:paraId="6119F43B" w14:textId="77777777" w:rsidR="00802BA9" w:rsidRPr="00711F10" w:rsidRDefault="00802BA9" w:rsidP="00711F10">
      <w:pPr>
        <w:spacing w:before="120" w:after="120" w:line="240" w:lineRule="auto"/>
        <w:rPr>
          <w:rFonts w:ascii="Arial" w:eastAsia="Calibri" w:hAnsi="Arial" w:cs="Arial"/>
          <w:sz w:val="20"/>
          <w:szCs w:val="20"/>
          <w:lang w:val="fr-FR" w:eastAsia="fr-FR"/>
        </w:rPr>
      </w:pPr>
      <w:r w:rsidRPr="00711F10">
        <w:rPr>
          <w:rFonts w:ascii="Arial" w:eastAsia="Calibri" w:hAnsi="Arial" w:cs="Arial"/>
          <w:sz w:val="20"/>
          <w:szCs w:val="20"/>
          <w:lang w:val="fr-FR" w:eastAsia="fr-FR"/>
        </w:rPr>
        <w:t xml:space="preserve">Face aux changements des conditions environnementales et climatiques, le pays a assisté à une migration massive de populations humaines et animales vers les zones plus humides où la densité de la population est déjà la plus élevée du pays. Cette pression a augmenté les </w:t>
      </w:r>
      <w:r w:rsidRPr="00711F10">
        <w:rPr>
          <w:rFonts w:ascii="Arial" w:eastAsia="Calibri" w:hAnsi="Arial" w:cs="Arial"/>
          <w:b/>
          <w:sz w:val="20"/>
          <w:szCs w:val="20"/>
          <w:lang w:val="fr-FR" w:eastAsia="fr-FR"/>
        </w:rPr>
        <w:t xml:space="preserve">conflits, </w:t>
      </w:r>
      <w:r w:rsidRPr="00711F10">
        <w:rPr>
          <w:rFonts w:ascii="Arial" w:eastAsia="Calibri" w:hAnsi="Arial" w:cs="Arial"/>
          <w:sz w:val="20"/>
          <w:szCs w:val="20"/>
          <w:lang w:val="fr-FR" w:eastAsia="fr-FR"/>
        </w:rPr>
        <w:t xml:space="preserve">liés à l’accès aux ressources naturelles et à leur utilisation, entre les différents groupes socio-économiques (agriculteurs, éleveurs, orpailleurs, bucherons, collecteurs de produits forestiers non ligneux). Depuis la crise de 2012, le Mali connait le </w:t>
      </w:r>
      <w:r w:rsidRPr="00711F10">
        <w:rPr>
          <w:rFonts w:ascii="Arial" w:eastAsia="Calibri" w:hAnsi="Arial" w:cs="Arial"/>
          <w:b/>
          <w:sz w:val="20"/>
          <w:szCs w:val="20"/>
          <w:lang w:val="fr-FR" w:eastAsia="fr-FR"/>
        </w:rPr>
        <w:t>spectre des conflits intercommunautaires et intra-communautaires</w:t>
      </w:r>
      <w:r w:rsidRPr="00711F10">
        <w:rPr>
          <w:rFonts w:ascii="Arial" w:eastAsia="Calibri" w:hAnsi="Arial" w:cs="Arial"/>
          <w:sz w:val="20"/>
          <w:szCs w:val="20"/>
          <w:lang w:val="fr-FR" w:eastAsia="fr-FR"/>
        </w:rPr>
        <w:t xml:space="preserve">, conséquence de l’extrême affaiblissement de l’Etat. Toutes les ethnies (Arabes, Bambaras, Bozos, Dogons, Peuls, Sonrhaïs, Touaregs), malheureusement, les subissent. L’accès aux ressources naturelles devient plus difficile ainsi que la cohabitation entre les communautés car les systèmes de régulation traditionnelle et moderne fonctionnent de moins en moins et l’Etat ne parvient plus à assurer la sécurité dans ces zones. Ce vide sécuritaire a vu naitre une profonde </w:t>
      </w:r>
      <w:r w:rsidRPr="00711F10">
        <w:rPr>
          <w:rFonts w:ascii="Arial" w:eastAsia="Calibri" w:hAnsi="Arial" w:cs="Arial"/>
          <w:sz w:val="20"/>
          <w:szCs w:val="20"/>
          <w:lang w:val="fr-FR" w:eastAsia="fr-FR"/>
        </w:rPr>
        <w:lastRenderedPageBreak/>
        <w:t xml:space="preserve">remise en cause des équilibres (relations tissées pour accéder aux ressources naturelles) entre communautés et à l’intérieur des communautés. </w:t>
      </w:r>
    </w:p>
    <w:p w14:paraId="3BBB5AD1" w14:textId="77777777" w:rsidR="00802BA9" w:rsidRDefault="00802BA9" w:rsidP="00711F10">
      <w:pPr>
        <w:spacing w:before="120" w:after="120" w:line="240" w:lineRule="auto"/>
        <w:rPr>
          <w:rFonts w:ascii="Arial" w:hAnsi="Arial" w:cs="Arial"/>
          <w:sz w:val="20"/>
          <w:szCs w:val="20"/>
        </w:rPr>
      </w:pPr>
      <w:r w:rsidRPr="00711F10">
        <w:rPr>
          <w:rFonts w:ascii="Arial" w:eastAsia="Calibri" w:hAnsi="Arial" w:cs="Arial"/>
          <w:sz w:val="20"/>
          <w:szCs w:val="20"/>
          <w:lang w:val="fr-FR" w:eastAsia="fr-FR"/>
        </w:rPr>
        <w:t>La prévention et la réduction de ces conflits</w:t>
      </w:r>
      <w:r w:rsidRPr="00711F10">
        <w:rPr>
          <w:rStyle w:val="Appelnotedebasdep"/>
          <w:rFonts w:ascii="Arial" w:eastAsia="Calibri" w:hAnsi="Arial" w:cs="Arial"/>
          <w:sz w:val="20"/>
          <w:szCs w:val="20"/>
          <w:lang w:val="fr-FR" w:eastAsia="fr-FR"/>
        </w:rPr>
        <w:footnoteReference w:id="50"/>
      </w:r>
      <w:r w:rsidRPr="00711F10">
        <w:rPr>
          <w:rFonts w:ascii="Arial" w:eastAsia="Calibri" w:hAnsi="Arial" w:cs="Arial"/>
          <w:sz w:val="20"/>
          <w:szCs w:val="20"/>
          <w:lang w:val="fr-FR" w:eastAsia="fr-FR"/>
        </w:rPr>
        <w:t xml:space="preserve"> </w:t>
      </w:r>
      <w:r w:rsidRPr="00711F10">
        <w:rPr>
          <w:rStyle w:val="Appelnotedebasdep"/>
          <w:rFonts w:ascii="Arial" w:eastAsia="Calibri" w:hAnsi="Arial" w:cs="Arial"/>
          <w:sz w:val="20"/>
          <w:szCs w:val="20"/>
          <w:lang w:val="fr-FR" w:eastAsia="fr-FR"/>
        </w:rPr>
        <w:footnoteReference w:id="51"/>
      </w:r>
      <w:r w:rsidRPr="00711F10">
        <w:rPr>
          <w:rFonts w:ascii="Arial" w:eastAsia="Calibri" w:hAnsi="Arial" w:cs="Arial"/>
          <w:sz w:val="20"/>
          <w:szCs w:val="20"/>
          <w:lang w:val="fr-FR" w:eastAsia="fr-FR"/>
        </w:rPr>
        <w:t xml:space="preserve"> apparait comme une priorité. Cette prévention s’appuie sur i) les pratiques du dialogue intercommunautaire pour la paix et la réconciliation (obligation pour la construction de sociétés démocratiques), ii) la mise en place de commissions foncières locales (COFO) rassemblant les acteurs étatiques et non-étatiques </w:t>
      </w:r>
      <w:r w:rsidRPr="00711F10">
        <w:rPr>
          <w:rFonts w:ascii="Arial" w:hAnsi="Arial" w:cs="Arial"/>
          <w:sz w:val="20"/>
          <w:szCs w:val="20"/>
        </w:rPr>
        <w:t>pour tenter de résoudre des conflits dans une démarche commune faisant appel aux méthodes traditionnelles de médiation</w:t>
      </w:r>
      <w:r w:rsidRPr="00711F10">
        <w:rPr>
          <w:rStyle w:val="Appelnotedebasdep"/>
          <w:rFonts w:ascii="Arial" w:hAnsi="Arial" w:cs="Arial"/>
          <w:sz w:val="20"/>
          <w:szCs w:val="20"/>
        </w:rPr>
        <w:footnoteReference w:id="52"/>
      </w:r>
      <w:r w:rsidR="002866DD" w:rsidRPr="00711F10">
        <w:rPr>
          <w:rFonts w:ascii="Arial" w:hAnsi="Arial" w:cs="Arial"/>
          <w:sz w:val="20"/>
          <w:szCs w:val="20"/>
        </w:rPr>
        <w:t xml:space="preserve"> et iii) l’élaboration des conventions locales.</w:t>
      </w:r>
    </w:p>
    <w:p w14:paraId="1D97E689" w14:textId="77777777" w:rsidR="00500D2D" w:rsidRPr="00711F10" w:rsidRDefault="00500D2D" w:rsidP="00711F10">
      <w:pPr>
        <w:spacing w:before="120" w:after="120" w:line="240" w:lineRule="auto"/>
        <w:rPr>
          <w:rFonts w:ascii="Arial" w:hAnsi="Arial" w:cs="Arial"/>
          <w:color w:val="7030A0"/>
          <w:sz w:val="20"/>
          <w:szCs w:val="20"/>
        </w:rPr>
      </w:pPr>
    </w:p>
    <w:p w14:paraId="6773CABE" w14:textId="77777777" w:rsidR="00802BA9" w:rsidRPr="00500D2D" w:rsidRDefault="00802BA9" w:rsidP="00525222">
      <w:pPr>
        <w:pStyle w:val="Titre3"/>
      </w:pPr>
      <w:bookmarkStart w:id="35" w:name="_Toc20505637"/>
      <w:r w:rsidRPr="00711F10">
        <w:t>2.3.6 L’impact sur les valeurs culturelles</w:t>
      </w:r>
      <w:bookmarkEnd w:id="35"/>
    </w:p>
    <w:p w14:paraId="6035C4F8" w14:textId="77777777" w:rsidR="00802BA9" w:rsidRDefault="00802BA9" w:rsidP="00711F10">
      <w:pPr>
        <w:autoSpaceDE w:val="0"/>
        <w:autoSpaceDN w:val="0"/>
        <w:adjustRightInd w:val="0"/>
        <w:spacing w:before="120" w:after="120" w:line="240" w:lineRule="auto"/>
        <w:rPr>
          <w:rFonts w:ascii="Arial" w:eastAsia="Calibri" w:hAnsi="Arial" w:cs="Arial"/>
          <w:sz w:val="20"/>
          <w:szCs w:val="20"/>
          <w:lang w:val="fr-FR" w:eastAsia="fr-FR"/>
        </w:rPr>
      </w:pPr>
      <w:r w:rsidRPr="00711F10">
        <w:rPr>
          <w:rFonts w:ascii="Arial" w:eastAsia="Calibri" w:hAnsi="Arial" w:cs="Arial"/>
          <w:sz w:val="20"/>
          <w:szCs w:val="20"/>
          <w:lang w:val="fr-FR" w:eastAsia="fr-FR"/>
        </w:rPr>
        <w:t>Le Mali reste très attaché à ces valeurs culturelles. Lors de la crise, la tentative de destruction en masse des mausolées de Tombouctou inscrits sur la liste du patrimoine mondial n’a pas seulement affecté la valeur universelle exceptionnelle de Tombouctou mais a également traumatisé les communautés du fait qu’un important repère de leur vie sociale et culturelle avait disparu</w:t>
      </w:r>
      <w:r w:rsidRPr="00711F10">
        <w:rPr>
          <w:rStyle w:val="Appelnotedebasdep"/>
          <w:rFonts w:ascii="Arial" w:eastAsia="Calibri" w:hAnsi="Arial" w:cs="Arial"/>
          <w:sz w:val="20"/>
          <w:szCs w:val="20"/>
          <w:lang w:val="fr-FR" w:eastAsia="fr-FR"/>
        </w:rPr>
        <w:footnoteReference w:id="53"/>
      </w:r>
      <w:r w:rsidRPr="00711F10">
        <w:rPr>
          <w:rFonts w:ascii="Arial" w:eastAsia="Calibri" w:hAnsi="Arial" w:cs="Arial"/>
          <w:sz w:val="20"/>
          <w:szCs w:val="20"/>
          <w:lang w:val="fr-FR" w:eastAsia="fr-FR"/>
        </w:rPr>
        <w:t>. En 2014, le Mali a ajouté un élément supplémentaire à la liste du Patrimoine culturel immatériel (§ 2.2.9) avec « </w:t>
      </w:r>
      <w:r w:rsidRPr="00711F10">
        <w:rPr>
          <w:rFonts w:ascii="Arial" w:eastAsia="Calibri" w:hAnsi="Arial" w:cs="Arial"/>
          <w:i/>
          <w:sz w:val="20"/>
          <w:szCs w:val="20"/>
          <w:lang w:val="fr-FR" w:eastAsia="fr-FR"/>
        </w:rPr>
        <w:t>la sortie des masques et marionnettes de Markala </w:t>
      </w:r>
      <w:r w:rsidRPr="00711F10">
        <w:rPr>
          <w:rFonts w:ascii="Arial" w:eastAsia="Calibri" w:hAnsi="Arial" w:cs="Arial"/>
          <w:sz w:val="20"/>
          <w:szCs w:val="20"/>
          <w:lang w:val="fr-FR" w:eastAsia="fr-FR"/>
        </w:rPr>
        <w:t>».</w:t>
      </w:r>
    </w:p>
    <w:p w14:paraId="09D25828" w14:textId="77777777" w:rsidR="00500D2D" w:rsidRPr="00711F10" w:rsidRDefault="00500D2D" w:rsidP="00711F10">
      <w:pPr>
        <w:autoSpaceDE w:val="0"/>
        <w:autoSpaceDN w:val="0"/>
        <w:adjustRightInd w:val="0"/>
        <w:spacing w:before="120" w:after="120" w:line="240" w:lineRule="auto"/>
        <w:rPr>
          <w:rFonts w:ascii="Arial" w:eastAsia="Calibri" w:hAnsi="Arial" w:cs="Arial"/>
          <w:sz w:val="20"/>
          <w:szCs w:val="20"/>
          <w:lang w:val="fr-FR" w:eastAsia="fr-FR"/>
        </w:rPr>
      </w:pPr>
    </w:p>
    <w:p w14:paraId="658CA5E2" w14:textId="77777777" w:rsidR="00802BA9" w:rsidRPr="00711F10" w:rsidRDefault="00802BA9" w:rsidP="00525222">
      <w:pPr>
        <w:pStyle w:val="Titre3"/>
      </w:pPr>
      <w:bookmarkStart w:id="36" w:name="_Toc20505638"/>
      <w:r w:rsidRPr="00711F10">
        <w:t>2.3.7 Les coûts de la dégradation de l’environnement</w:t>
      </w:r>
      <w:bookmarkEnd w:id="36"/>
    </w:p>
    <w:p w14:paraId="5FC4C782" w14:textId="77777777" w:rsidR="00500D2D" w:rsidRPr="00711F10" w:rsidRDefault="00802BA9" w:rsidP="00711F10">
      <w:pPr>
        <w:spacing w:before="120" w:after="120" w:line="240" w:lineRule="auto"/>
        <w:rPr>
          <w:rFonts w:ascii="Arial" w:eastAsia="Calibri" w:hAnsi="Arial" w:cs="Arial"/>
          <w:sz w:val="20"/>
          <w:szCs w:val="20"/>
          <w:lang w:val="fr-FR" w:eastAsia="fr-FR"/>
        </w:rPr>
      </w:pPr>
      <w:r w:rsidRPr="00711F10">
        <w:rPr>
          <w:rFonts w:ascii="Arial" w:eastAsia="Calibri" w:hAnsi="Arial" w:cs="Arial"/>
          <w:sz w:val="20"/>
          <w:szCs w:val="20"/>
          <w:lang w:val="fr-FR" w:eastAsia="fr-FR"/>
        </w:rPr>
        <w:t>La dégradation de l’environnement menace fortement l’avenir du pays au niveau de tous les piliers de développement durable (économique, social et environnemental). L’Initiative Pauvreté Environnement (IPE) – PNUD (2009) a mis en avant le coût des diverses dégradations environnementales (coût des dégradations de l’air, de l’eau, des sols, des forêts, de la perte de la biodiversité, etc.). L’étude économique réalisée a révélé que la faible intégration des liens pauvreté-environnement dans les politiques et stratégies coûtent à l’Etat Malien 23,2 % du PIB avec : i) 7,9 % du PIB pour les dommages causés par l’énergie, ii) 6,0 % du PIB pour les pertes en sols, iii) 5,3 % du PIB pour les pertes en forêts et, iv) 4,0 % du PIB pour l’eau.</w:t>
      </w:r>
    </w:p>
    <w:p w14:paraId="1B26C276" w14:textId="77777777" w:rsidR="00802BA9" w:rsidRPr="00500D2D" w:rsidRDefault="00802BA9" w:rsidP="00711F10">
      <w:pPr>
        <w:spacing w:before="120" w:after="120" w:line="240" w:lineRule="auto"/>
        <w:rPr>
          <w:rFonts w:ascii="Arial" w:eastAsia="Calibri" w:hAnsi="Arial" w:cs="Arial"/>
          <w:sz w:val="20"/>
          <w:szCs w:val="20"/>
          <w:lang w:val="fr-FR" w:eastAsia="fr-FR"/>
        </w:rPr>
      </w:pPr>
      <w:r w:rsidRPr="00711F10">
        <w:rPr>
          <w:rFonts w:ascii="Arial" w:eastAsia="Calibri" w:hAnsi="Arial" w:cs="Arial"/>
          <w:sz w:val="20"/>
          <w:szCs w:val="20"/>
          <w:lang w:val="fr-FR" w:eastAsia="fr-FR"/>
        </w:rPr>
        <w:t>La révision effectuée en 2016 (TOURE/PNUD, 2016) fournit un coût global de moitié plus faible de 12,5 % avec : i) 2,33 % du PIB</w:t>
      </w:r>
      <w:r w:rsidRPr="00711F10">
        <w:rPr>
          <w:rStyle w:val="Appelnotedebasdep"/>
          <w:rFonts w:ascii="Arial" w:eastAsia="Calibri" w:hAnsi="Arial" w:cs="Arial"/>
          <w:sz w:val="20"/>
          <w:szCs w:val="20"/>
          <w:lang w:val="fr-FR" w:eastAsia="fr-FR"/>
        </w:rPr>
        <w:footnoteReference w:id="54"/>
      </w:r>
      <w:r w:rsidRPr="00711F10">
        <w:rPr>
          <w:rFonts w:ascii="Arial" w:eastAsia="Calibri" w:hAnsi="Arial" w:cs="Arial"/>
          <w:sz w:val="20"/>
          <w:szCs w:val="20"/>
          <w:lang w:val="fr-FR" w:eastAsia="fr-FR"/>
        </w:rPr>
        <w:t xml:space="preserve"> pour l’énergie (coût de la remédiation</w:t>
      </w:r>
      <w:r w:rsidRPr="00711F10">
        <w:rPr>
          <w:rStyle w:val="Appelnotedebasdep"/>
          <w:rFonts w:ascii="Arial" w:eastAsia="Calibri" w:hAnsi="Arial" w:cs="Arial"/>
          <w:sz w:val="20"/>
          <w:szCs w:val="20"/>
          <w:lang w:val="fr-FR" w:eastAsia="fr-FR"/>
        </w:rPr>
        <w:footnoteReference w:id="55"/>
      </w:r>
      <w:r w:rsidRPr="00711F10">
        <w:rPr>
          <w:rFonts w:ascii="Arial" w:eastAsia="Calibri" w:hAnsi="Arial" w:cs="Arial"/>
          <w:sz w:val="20"/>
          <w:szCs w:val="20"/>
          <w:lang w:val="fr-FR" w:eastAsia="fr-FR"/>
        </w:rPr>
        <w:t xml:space="preserve"> de 1,79 % du PIB), ii) 5,77 % du PIB pour les sols et les forêts (coût remédiation 3,32 % du PIB). En revanche, il n’indique pas le coût de la dégradation de l’eau, ni celui lié à la perte en biodiversité mais donne ceux de i) la pollution de l’air avec 2,36 % du PIB (2,03 % pour l’air intérieur et 0,17 % pour l’air extérieur), des déchets 0,52 % du PIB (coût remédiation 1,79 % du PIB) et celui lié aux émissions de GES (CO2 et CH4) avec 1,48 % du PIB.</w:t>
      </w:r>
      <w:r w:rsidR="002866DD" w:rsidRPr="00711F10">
        <w:rPr>
          <w:rFonts w:ascii="Arial" w:eastAsia="Calibri" w:hAnsi="Arial" w:cs="Arial"/>
          <w:sz w:val="20"/>
          <w:szCs w:val="20"/>
          <w:lang w:val="fr-FR" w:eastAsia="fr-FR"/>
        </w:rPr>
        <w:t xml:space="preserve"> Les deux études sont malheureusement peu comparables et ne permettent pas une appréciation de l’évolution</w:t>
      </w:r>
      <w:r w:rsidR="00172EAC" w:rsidRPr="00711F10">
        <w:rPr>
          <w:rFonts w:ascii="Arial" w:eastAsia="Calibri" w:hAnsi="Arial" w:cs="Arial"/>
          <w:sz w:val="20"/>
          <w:szCs w:val="20"/>
          <w:lang w:val="fr-FR" w:eastAsia="fr-FR"/>
        </w:rPr>
        <w:t xml:space="preserve"> des coûts de dégradation.</w:t>
      </w:r>
    </w:p>
    <w:p w14:paraId="38FEE27D" w14:textId="77777777" w:rsidR="00802BA9" w:rsidRPr="00711F10" w:rsidRDefault="00802BA9" w:rsidP="00711F10">
      <w:pPr>
        <w:spacing w:before="120" w:after="120" w:line="240" w:lineRule="auto"/>
        <w:rPr>
          <w:rFonts w:ascii="Arial" w:eastAsia="Calibri" w:hAnsi="Arial" w:cs="Arial"/>
          <w:sz w:val="20"/>
          <w:szCs w:val="20"/>
          <w:lang w:val="fr-FR" w:eastAsia="fr-FR"/>
        </w:rPr>
      </w:pPr>
      <w:r w:rsidRPr="00711F10">
        <w:rPr>
          <w:rFonts w:ascii="Arial" w:eastAsia="Calibri" w:hAnsi="Arial" w:cs="Arial"/>
          <w:sz w:val="20"/>
          <w:szCs w:val="20"/>
          <w:lang w:val="fr-FR" w:eastAsia="fr-FR"/>
        </w:rPr>
        <w:t xml:space="preserve">Enfin, il n’existe pas d’information sur le coût des dégâts et des catastrophes (§ 2.3.4). Toutefois, le fonds requis par l’aide humanitaire pour l’année 2018 s’élève à 263 millions d’USD (OCHA, 2018) avec un pic en 2014 de 568 millions d’USD (OCHA, 2014). </w:t>
      </w:r>
    </w:p>
    <w:p w14:paraId="2543A30A" w14:textId="77777777" w:rsidR="00802BA9" w:rsidRPr="00172EAC" w:rsidRDefault="00802BA9" w:rsidP="00500D2D">
      <w:pPr>
        <w:pStyle w:val="Titre1"/>
      </w:pPr>
      <w:bookmarkStart w:id="37" w:name="_Toc20505639"/>
      <w:r w:rsidRPr="00172EAC">
        <w:t>3. Politique environnementale, cadre institutionnel et législatif</w:t>
      </w:r>
      <w:bookmarkEnd w:id="37"/>
    </w:p>
    <w:p w14:paraId="2ED27101" w14:textId="77777777" w:rsidR="00802BA9" w:rsidRDefault="00802BA9" w:rsidP="00802BA9">
      <w:pPr>
        <w:spacing w:after="0" w:line="240" w:lineRule="auto"/>
        <w:rPr>
          <w:rFonts w:eastAsia="Calibri" w:cs="Arial"/>
          <w:lang w:val="fr-FR"/>
        </w:rPr>
      </w:pPr>
    </w:p>
    <w:p w14:paraId="5A45F9F2" w14:textId="77777777" w:rsidR="00802BA9" w:rsidRPr="00F15A62" w:rsidRDefault="00802BA9" w:rsidP="00802BA9">
      <w:pPr>
        <w:pStyle w:val="Titre2"/>
        <w:rPr>
          <w:lang w:eastAsia="fr-FR"/>
        </w:rPr>
      </w:pPr>
      <w:bookmarkStart w:id="38" w:name="_Toc20505640"/>
      <w:r>
        <w:rPr>
          <w:lang w:eastAsia="fr-FR"/>
        </w:rPr>
        <w:lastRenderedPageBreak/>
        <w:t>3</w:t>
      </w:r>
      <w:r w:rsidRPr="00F15A62">
        <w:rPr>
          <w:lang w:eastAsia="fr-FR"/>
        </w:rPr>
        <w:t>.1. Les politique et législation environnementales</w:t>
      </w:r>
      <w:bookmarkEnd w:id="38"/>
    </w:p>
    <w:p w14:paraId="499296CD" w14:textId="77777777" w:rsidR="00802BA9" w:rsidRPr="00711F10" w:rsidRDefault="00802BA9" w:rsidP="00525222">
      <w:pPr>
        <w:pStyle w:val="Titre3"/>
      </w:pPr>
      <w:bookmarkStart w:id="39" w:name="_Toc20505641"/>
      <w:r w:rsidRPr="00711F10">
        <w:t>3.1.1 Politiques, stratégies et plans d’actions nationaux</w:t>
      </w:r>
      <w:bookmarkEnd w:id="39"/>
    </w:p>
    <w:p w14:paraId="17B000CE" w14:textId="77777777" w:rsidR="00802BA9" w:rsidRPr="00711F10" w:rsidRDefault="00802BA9" w:rsidP="00711F10">
      <w:pPr>
        <w:spacing w:before="120" w:after="120" w:line="240" w:lineRule="auto"/>
        <w:rPr>
          <w:rFonts w:ascii="Arial" w:hAnsi="Arial" w:cs="Arial"/>
          <w:sz w:val="20"/>
          <w:szCs w:val="20"/>
          <w:lang w:val="fr-FR"/>
        </w:rPr>
      </w:pPr>
      <w:r w:rsidRPr="00711F10">
        <w:rPr>
          <w:rFonts w:ascii="Arial" w:hAnsi="Arial" w:cs="Arial"/>
          <w:sz w:val="20"/>
          <w:szCs w:val="20"/>
          <w:lang w:val="fr-FR"/>
        </w:rPr>
        <w:t xml:space="preserve">La Constitution du Mali du 25 février 1992, pose les jalons de la protection de l’environnement et affirme dans son préambule l’engagement du peuple malien à « </w:t>
      </w:r>
      <w:r w:rsidRPr="00711F10">
        <w:rPr>
          <w:rFonts w:ascii="Arial" w:hAnsi="Arial" w:cs="Arial"/>
          <w:i/>
          <w:sz w:val="20"/>
          <w:szCs w:val="20"/>
          <w:lang w:val="fr-FR"/>
        </w:rPr>
        <w:t>assurer l’amélioration de la qualité de la vie, la protection de l’environnement et du patrimoine culturel</w:t>
      </w:r>
      <w:r w:rsidRPr="00711F10">
        <w:rPr>
          <w:rFonts w:ascii="Arial" w:hAnsi="Arial" w:cs="Arial"/>
          <w:sz w:val="20"/>
          <w:szCs w:val="20"/>
          <w:lang w:val="fr-FR"/>
        </w:rPr>
        <w:t xml:space="preserve"> » et reconnaît à tous « </w:t>
      </w:r>
      <w:r w:rsidRPr="00711F10">
        <w:rPr>
          <w:rFonts w:ascii="Arial" w:hAnsi="Arial" w:cs="Arial"/>
          <w:i/>
          <w:sz w:val="20"/>
          <w:szCs w:val="20"/>
          <w:lang w:val="fr-FR"/>
        </w:rPr>
        <w:t>le droit à un environnement sain</w:t>
      </w:r>
      <w:r w:rsidRPr="00711F10">
        <w:rPr>
          <w:rFonts w:ascii="Arial" w:hAnsi="Arial" w:cs="Arial"/>
          <w:sz w:val="20"/>
          <w:szCs w:val="20"/>
          <w:lang w:val="fr-FR"/>
        </w:rPr>
        <w:t xml:space="preserve"> ».  En son article 15, elle stipule que « </w:t>
      </w:r>
      <w:r w:rsidRPr="00711F10">
        <w:rPr>
          <w:rFonts w:ascii="Arial" w:hAnsi="Arial" w:cs="Arial"/>
          <w:i/>
          <w:sz w:val="20"/>
          <w:szCs w:val="20"/>
          <w:lang w:val="fr-FR"/>
        </w:rPr>
        <w:t>la protection, la défense de l’environnement et la promotion de la qualité de la vie sont un devoir pour tous et pour l’Etat</w:t>
      </w:r>
      <w:r w:rsidRPr="00711F10">
        <w:rPr>
          <w:rFonts w:ascii="Arial" w:hAnsi="Arial" w:cs="Arial"/>
          <w:sz w:val="20"/>
          <w:szCs w:val="20"/>
          <w:lang w:val="fr-FR"/>
        </w:rPr>
        <w:t xml:space="preserve"> ». </w:t>
      </w:r>
    </w:p>
    <w:p w14:paraId="561B9981" w14:textId="77777777" w:rsidR="00505F8F" w:rsidRPr="00711F10" w:rsidRDefault="00802BA9" w:rsidP="00B84254">
      <w:pPr>
        <w:spacing w:before="120" w:after="120" w:line="240" w:lineRule="auto"/>
        <w:rPr>
          <w:rFonts w:ascii="Arial" w:hAnsi="Arial" w:cs="Arial"/>
          <w:color w:val="7030A0"/>
          <w:sz w:val="20"/>
          <w:szCs w:val="20"/>
          <w:lang w:val="fr-FR"/>
        </w:rPr>
      </w:pPr>
      <w:r w:rsidRPr="00711F10">
        <w:rPr>
          <w:rFonts w:ascii="Arial" w:hAnsi="Arial" w:cs="Arial"/>
          <w:sz w:val="20"/>
          <w:szCs w:val="20"/>
          <w:lang w:val="fr-FR"/>
        </w:rPr>
        <w:t>La politique générale du pays s’appuie sur Le Cadre pour la Relance Economique et de Développement Durable du Mali (CREDD 2016- 2018</w:t>
      </w:r>
      <w:r w:rsidR="00B84254">
        <w:rPr>
          <w:rFonts w:ascii="Arial" w:hAnsi="Arial" w:cs="Arial"/>
          <w:sz w:val="20"/>
          <w:szCs w:val="20"/>
          <w:lang w:val="fr-FR"/>
        </w:rPr>
        <w:t>, 2019 -23) qui ont</w:t>
      </w:r>
      <w:r w:rsidRPr="00711F10">
        <w:rPr>
          <w:rFonts w:ascii="Arial" w:hAnsi="Arial" w:cs="Arial"/>
          <w:sz w:val="20"/>
          <w:szCs w:val="20"/>
          <w:lang w:val="fr-FR"/>
        </w:rPr>
        <w:t xml:space="preserve"> pris le relai du Cadre Stratégique pour la Croissance et la Réduction de la Pauvreté 2012</w:t>
      </w:r>
      <w:r w:rsidR="00FD4323" w:rsidRPr="00711F10">
        <w:rPr>
          <w:rFonts w:ascii="Arial" w:hAnsi="Arial" w:cs="Arial"/>
          <w:sz w:val="20"/>
          <w:szCs w:val="20"/>
          <w:lang w:val="fr-FR"/>
        </w:rPr>
        <w:t xml:space="preserve"> - 2017 (Annexe 7</w:t>
      </w:r>
      <w:r w:rsidRPr="00711F10">
        <w:rPr>
          <w:rFonts w:ascii="Arial" w:hAnsi="Arial" w:cs="Arial"/>
          <w:sz w:val="20"/>
          <w:szCs w:val="20"/>
          <w:lang w:val="fr-FR"/>
        </w:rPr>
        <w:t>.</w:t>
      </w:r>
      <w:r w:rsidR="00FD4323" w:rsidRPr="00711F10">
        <w:rPr>
          <w:rFonts w:ascii="Arial" w:hAnsi="Arial" w:cs="Arial"/>
          <w:sz w:val="20"/>
          <w:szCs w:val="20"/>
          <w:lang w:val="fr-FR"/>
        </w:rPr>
        <w:t>2</w:t>
      </w:r>
      <w:r w:rsidRPr="00711F10">
        <w:rPr>
          <w:rFonts w:ascii="Arial" w:hAnsi="Arial" w:cs="Arial"/>
          <w:sz w:val="20"/>
          <w:szCs w:val="20"/>
          <w:lang w:val="fr-FR"/>
        </w:rPr>
        <w:t xml:space="preserve">.1). Le CREDD </w:t>
      </w:r>
      <w:r w:rsidR="00B84254">
        <w:rPr>
          <w:rFonts w:ascii="Arial" w:hAnsi="Arial" w:cs="Arial"/>
          <w:sz w:val="20"/>
          <w:szCs w:val="20"/>
          <w:lang w:val="fr-FR"/>
        </w:rPr>
        <w:t xml:space="preserve">2016 -2018 </w:t>
      </w:r>
      <w:r w:rsidRPr="00711F10">
        <w:rPr>
          <w:rFonts w:ascii="Arial" w:hAnsi="Arial" w:cs="Arial"/>
          <w:sz w:val="20"/>
          <w:szCs w:val="20"/>
          <w:lang w:val="fr-FR"/>
        </w:rPr>
        <w:t xml:space="preserve">prend en considération la protection de l’environnement au niveau de l’axe stratégique 1 « </w:t>
      </w:r>
      <w:r w:rsidRPr="00711F10">
        <w:rPr>
          <w:rFonts w:ascii="Arial" w:hAnsi="Arial" w:cs="Arial"/>
          <w:i/>
          <w:sz w:val="20"/>
          <w:szCs w:val="20"/>
          <w:lang w:val="fr-FR"/>
        </w:rPr>
        <w:t>Croissance économique inclusive et durable</w:t>
      </w:r>
      <w:r w:rsidRPr="00711F10">
        <w:rPr>
          <w:rFonts w:ascii="Arial" w:hAnsi="Arial" w:cs="Arial"/>
          <w:sz w:val="20"/>
          <w:szCs w:val="20"/>
          <w:lang w:val="fr-FR"/>
        </w:rPr>
        <w:t xml:space="preserve"> » et de son domaine prioritaire 5 qui a pour objectif spécifique (OS 12) de « </w:t>
      </w:r>
      <w:r w:rsidRPr="00711F10">
        <w:rPr>
          <w:rFonts w:ascii="Arial" w:hAnsi="Arial" w:cs="Arial"/>
          <w:i/>
          <w:sz w:val="20"/>
          <w:szCs w:val="20"/>
          <w:lang w:val="fr-FR"/>
        </w:rPr>
        <w:t>promouvoir une économie verte à travers une gestion durable des ressources naturelles et une lutte efficace contre le réchauffement climatique</w:t>
      </w:r>
      <w:r w:rsidRPr="00711F10">
        <w:rPr>
          <w:rFonts w:ascii="Arial" w:hAnsi="Arial" w:cs="Arial"/>
          <w:sz w:val="20"/>
          <w:szCs w:val="20"/>
          <w:lang w:val="fr-FR"/>
        </w:rPr>
        <w:t xml:space="preserve"> »</w:t>
      </w:r>
      <w:r w:rsidRPr="00B84254">
        <w:rPr>
          <w:rFonts w:ascii="Arial" w:hAnsi="Arial" w:cs="Arial"/>
          <w:sz w:val="20"/>
          <w:szCs w:val="20"/>
          <w:lang w:val="fr-FR"/>
        </w:rPr>
        <w:t xml:space="preserve">. </w:t>
      </w:r>
      <w:r w:rsidR="00B84254" w:rsidRPr="00B84254">
        <w:rPr>
          <w:rFonts w:ascii="Arial" w:hAnsi="Arial" w:cs="Arial"/>
          <w:sz w:val="20"/>
          <w:szCs w:val="20"/>
          <w:lang w:val="fr-FR"/>
        </w:rPr>
        <w:t>Le CREDD 2019 -2023 inclut l‘axe stratégique 4 «Protection de l’environnement et renforcement de la résilience au changement climatique ».</w:t>
      </w:r>
    </w:p>
    <w:p w14:paraId="7BDCCC51" w14:textId="77777777" w:rsidR="00802BA9" w:rsidRPr="00711F10" w:rsidRDefault="00802BA9" w:rsidP="00711F10">
      <w:pPr>
        <w:spacing w:before="120" w:after="120" w:line="240" w:lineRule="auto"/>
        <w:rPr>
          <w:rFonts w:ascii="Arial" w:hAnsi="Arial" w:cs="Arial"/>
          <w:sz w:val="20"/>
          <w:szCs w:val="20"/>
          <w:lang w:val="fr-FR"/>
        </w:rPr>
      </w:pPr>
      <w:r w:rsidRPr="00711F10">
        <w:rPr>
          <w:rFonts w:ascii="Arial" w:hAnsi="Arial" w:cs="Arial"/>
          <w:sz w:val="20"/>
          <w:szCs w:val="20"/>
          <w:lang w:val="fr-FR"/>
        </w:rPr>
        <w:t xml:space="preserve">La Politique Nationale de Protection de l’Environnement ou PNPE de 1998 a été la première politique visant l’intégration transversale des aspects environnementaux dans tous les secteurs. Cette politique, en relecture depuis 2012, ne touche pas spécifiquement le Changement Climatique mais intègre le phénomène de la désertification. Elle a été déclinée en politiques et stratégies (Annexe 7.2.1), plans d’action nationaux, régionaux et locaux, liés aux conventions environnementales internationales de Rio (1992) signées par le Mali (CCNULCD, CCNUDB, CCNUCC, § 3.1.6). </w:t>
      </w:r>
    </w:p>
    <w:p w14:paraId="60973330" w14:textId="77777777" w:rsidR="00802BA9" w:rsidRPr="00711F10" w:rsidRDefault="00802BA9" w:rsidP="00711F10">
      <w:pPr>
        <w:spacing w:before="120" w:after="120" w:line="240" w:lineRule="auto"/>
        <w:rPr>
          <w:rFonts w:ascii="Arial" w:hAnsi="Arial" w:cs="Arial"/>
          <w:sz w:val="20"/>
          <w:szCs w:val="20"/>
          <w:lang w:val="fr-FR"/>
        </w:rPr>
      </w:pPr>
      <w:r w:rsidRPr="00711F10">
        <w:rPr>
          <w:rFonts w:ascii="Arial" w:hAnsi="Arial" w:cs="Arial"/>
          <w:sz w:val="20"/>
          <w:szCs w:val="20"/>
          <w:lang w:val="fr-FR"/>
        </w:rPr>
        <w:t xml:space="preserve">Depuis la PNPE, le pays a élaboré la Politique Nationale sur les Changements Climatiques (PNCC) en 2011 visant à définir d’ici 2025 un cadre de développement socio-économique durable qui intègre les défis des changements climatiques dans tous les secteurs de son développement afin d’améliorer le bien-être des populations.  La PNCC se développe autour des cinq piliers </w:t>
      </w:r>
      <w:r w:rsidRPr="001D0C63">
        <w:rPr>
          <w:rFonts w:ascii="Arial" w:hAnsi="Arial" w:cs="Arial"/>
          <w:sz w:val="20"/>
          <w:szCs w:val="20"/>
          <w:lang w:val="fr-FR"/>
        </w:rPr>
        <w:t xml:space="preserve">opérationnels </w:t>
      </w:r>
      <w:r w:rsidR="00CD73E1" w:rsidRPr="001D0C63">
        <w:rPr>
          <w:rFonts w:ascii="Arial" w:hAnsi="Arial" w:cs="Arial"/>
          <w:sz w:val="20"/>
          <w:szCs w:val="20"/>
          <w:lang w:val="fr-FR"/>
        </w:rPr>
        <w:t xml:space="preserve">(PNCC, p.5) </w:t>
      </w:r>
      <w:r w:rsidRPr="001D0C63">
        <w:rPr>
          <w:rFonts w:ascii="Arial" w:hAnsi="Arial" w:cs="Arial"/>
          <w:sz w:val="20"/>
          <w:szCs w:val="20"/>
          <w:lang w:val="fr-FR"/>
        </w:rPr>
        <w:t>d</w:t>
      </w:r>
      <w:r w:rsidRPr="00711F10">
        <w:rPr>
          <w:rFonts w:ascii="Arial" w:hAnsi="Arial" w:cs="Arial"/>
          <w:sz w:val="20"/>
          <w:szCs w:val="20"/>
          <w:lang w:val="fr-FR"/>
        </w:rPr>
        <w:t xml:space="preserve">éfinis à Bali lors de la COP13 en 2007 avec i) la vision partagée, ii) l’adaptation, iii) l’atténuation, iv) le transfert de technologies, et v) le financement, tout en associant de manière intégrée l’ensemble des programmations et l’ensemble des acteurs de la vie nationale. La PNCC intègre le Programme d’Action National pour l’Adaptation (PANA) qui a pour objectif de « </w:t>
      </w:r>
      <w:r w:rsidRPr="00711F10">
        <w:rPr>
          <w:rFonts w:ascii="Arial" w:hAnsi="Arial" w:cs="Arial"/>
          <w:i/>
          <w:sz w:val="20"/>
          <w:szCs w:val="20"/>
          <w:lang w:val="fr-FR"/>
        </w:rPr>
        <w:t>contribuer à atténuer les effets néfastes des changements climatiques sur les populations les plus vul</w:t>
      </w:r>
      <w:r w:rsidRPr="00B84254">
        <w:rPr>
          <w:rFonts w:ascii="Arial" w:hAnsi="Arial" w:cs="Arial"/>
          <w:i/>
          <w:sz w:val="20"/>
          <w:szCs w:val="20"/>
          <w:lang w:val="fr-FR"/>
        </w:rPr>
        <w:t>nérables, dans la perspective d’un développement durable et de lutte contre la pauvreté au Mali</w:t>
      </w:r>
      <w:r w:rsidRPr="00B84254">
        <w:rPr>
          <w:rFonts w:ascii="Arial" w:hAnsi="Arial" w:cs="Arial"/>
          <w:sz w:val="20"/>
          <w:szCs w:val="20"/>
          <w:lang w:val="fr-FR"/>
        </w:rPr>
        <w:t xml:space="preserve"> ». En outre, le PANA donne un aperçu sur les activités prioritaires à entreprendre pour faire face aux effets néfastes des changements climatiques. </w:t>
      </w:r>
      <w:r w:rsidR="00FC2D47" w:rsidRPr="00B84254">
        <w:rPr>
          <w:rFonts w:ascii="Arial" w:hAnsi="Arial" w:cs="Arial"/>
          <w:sz w:val="20"/>
          <w:szCs w:val="20"/>
          <w:lang w:val="fr-FR"/>
        </w:rPr>
        <w:t>Par ailleurs, l’ANM (Mali-Météo) a élaboré un plan d’actions national pour la mise en place du Cadre National pour les Services Climatiques au Mali en 2016. Ce plan s’insère dans Cadre Mondial pour les Services Climatologiques (CMSC) et vise à renforcer la production, l’accessibilité, la fourniture, l’exploitation des données climatologiques et des prévisions météorologiques et climatiques pour répondre aux besoins des secteurs socio-économiques sensibles à la variabilité et à l’évolution du climat.</w:t>
      </w:r>
    </w:p>
    <w:p w14:paraId="2393AAB5" w14:textId="77777777" w:rsidR="00802BA9" w:rsidRPr="00711F10" w:rsidRDefault="00802BA9" w:rsidP="00711F10">
      <w:pPr>
        <w:spacing w:before="120" w:after="120" w:line="240" w:lineRule="auto"/>
        <w:rPr>
          <w:rFonts w:ascii="Arial" w:hAnsi="Arial" w:cs="Arial"/>
          <w:sz w:val="20"/>
          <w:szCs w:val="20"/>
          <w:lang w:val="fr-FR"/>
        </w:rPr>
      </w:pPr>
      <w:r w:rsidRPr="00711F10">
        <w:rPr>
          <w:rFonts w:ascii="Arial" w:hAnsi="Arial" w:cs="Arial"/>
          <w:sz w:val="20"/>
          <w:szCs w:val="20"/>
          <w:lang w:val="fr-FR"/>
        </w:rPr>
        <w:t>L’élaboration de la Stratégie Nationale de Développement Durable (SNDD), outil adapté à la création d’une vision partagée d’un développement global holistique, débuté en 2011, a été mise de côté au profit d’un rapprochement vers les Objectifs de Développement Durable (ODD).</w:t>
      </w:r>
    </w:p>
    <w:p w14:paraId="7308954D" w14:textId="77777777" w:rsidR="00802BA9" w:rsidRPr="00500D2D" w:rsidRDefault="00A74540" w:rsidP="00711F10">
      <w:pPr>
        <w:spacing w:before="120" w:after="120" w:line="240" w:lineRule="auto"/>
        <w:rPr>
          <w:rFonts w:ascii="Arial" w:hAnsi="Arial" w:cs="Arial"/>
          <w:sz w:val="20"/>
          <w:szCs w:val="20"/>
          <w:lang w:val="fr-FR"/>
        </w:rPr>
      </w:pPr>
      <w:r>
        <w:rPr>
          <w:rFonts w:ascii="Arial" w:hAnsi="Arial" w:cs="Arial"/>
          <w:sz w:val="20"/>
          <w:szCs w:val="20"/>
          <w:lang w:val="fr-FR"/>
        </w:rPr>
        <w:t>L</w:t>
      </w:r>
      <w:r w:rsidR="00802BA9" w:rsidRPr="00711F10">
        <w:rPr>
          <w:rFonts w:ascii="Arial" w:hAnsi="Arial" w:cs="Arial"/>
          <w:sz w:val="20"/>
          <w:szCs w:val="20"/>
          <w:lang w:val="fr-FR"/>
        </w:rPr>
        <w:t>e Mali produit régulièrement sa Stratégie Nationale pour la Diversité Biologique (SNDB) et son Plan d’Actions ; le cinquième rapport date de 2014. Ce rapport met en avant la situation globale des espèces de flore et de faune pour le Mali et, notamment, la liste des espèces abondantes, rares, menacées, en voie d’extinction.</w:t>
      </w:r>
    </w:p>
    <w:p w14:paraId="2B54A9FA" w14:textId="77777777" w:rsidR="00802BA9" w:rsidRPr="00500D2D" w:rsidRDefault="00802BA9" w:rsidP="00711F10">
      <w:pPr>
        <w:spacing w:before="120" w:after="120" w:line="240" w:lineRule="auto"/>
        <w:rPr>
          <w:rFonts w:ascii="Arial" w:hAnsi="Arial" w:cs="Arial"/>
          <w:sz w:val="20"/>
          <w:szCs w:val="20"/>
          <w:lang w:val="fr-FR"/>
        </w:rPr>
      </w:pPr>
      <w:r w:rsidRPr="00711F10">
        <w:rPr>
          <w:rFonts w:ascii="Arial" w:hAnsi="Arial" w:cs="Arial"/>
          <w:sz w:val="20"/>
          <w:szCs w:val="20"/>
          <w:lang w:val="fr-FR"/>
        </w:rPr>
        <w:t xml:space="preserve">En </w:t>
      </w:r>
      <w:r w:rsidR="00505F8F" w:rsidRPr="00711F10">
        <w:rPr>
          <w:rFonts w:ascii="Arial" w:hAnsi="Arial" w:cs="Arial"/>
          <w:sz w:val="20"/>
          <w:szCs w:val="20"/>
          <w:lang w:val="fr-FR"/>
        </w:rPr>
        <w:t>octobre 2017 (§</w:t>
      </w:r>
      <w:r w:rsidRPr="00711F10">
        <w:rPr>
          <w:rFonts w:ascii="Arial" w:hAnsi="Arial" w:cs="Arial"/>
          <w:sz w:val="20"/>
          <w:szCs w:val="20"/>
          <w:lang w:val="fr-FR"/>
        </w:rPr>
        <w:t xml:space="preserve"> 7.2.1), le Mali a adopté sa dernière Politique Forestière Nationale (PFN). L’objectif global de cette dernière politique forestière vise à « </w:t>
      </w:r>
      <w:r w:rsidRPr="00711F10">
        <w:rPr>
          <w:rFonts w:ascii="Arial" w:hAnsi="Arial" w:cs="Arial"/>
          <w:i/>
          <w:sz w:val="20"/>
          <w:szCs w:val="20"/>
          <w:lang w:val="fr-FR"/>
        </w:rPr>
        <w:t>contribuer à la gestion intégrée et durable des ressources forestières et fauniques en vue de lutter contre la pauvreté et les changements climatiques</w:t>
      </w:r>
      <w:r w:rsidRPr="00711F10">
        <w:rPr>
          <w:rFonts w:ascii="Arial" w:hAnsi="Arial" w:cs="Arial"/>
          <w:sz w:val="20"/>
          <w:szCs w:val="20"/>
          <w:lang w:val="fr-FR"/>
        </w:rPr>
        <w:t xml:space="preserve"> » « </w:t>
      </w:r>
      <w:r w:rsidRPr="00711F10">
        <w:rPr>
          <w:rFonts w:ascii="Arial" w:hAnsi="Arial" w:cs="Arial"/>
          <w:i/>
          <w:sz w:val="20"/>
          <w:szCs w:val="20"/>
          <w:lang w:val="fr-FR"/>
        </w:rPr>
        <w:t xml:space="preserve">A l’horizon 2050, les ressources forestières, fauniques et naturelles du Mali sont gérées de manière durable en vue de satisfaire les besoins écologiques, économiques et socio-culturels des populations contribuant ainsi à la réduction de la pauvreté, à la sécurité alimentaire et à la lutte contre les changements climatiques </w:t>
      </w:r>
      <w:r w:rsidRPr="00711F10">
        <w:rPr>
          <w:rFonts w:ascii="Arial" w:hAnsi="Arial" w:cs="Arial"/>
          <w:sz w:val="20"/>
          <w:szCs w:val="20"/>
          <w:lang w:val="fr-FR"/>
        </w:rPr>
        <w:t xml:space="preserve">».  </w:t>
      </w:r>
    </w:p>
    <w:p w14:paraId="6A09B129" w14:textId="77777777" w:rsidR="00802BA9" w:rsidRDefault="00802BA9" w:rsidP="00711F10">
      <w:pPr>
        <w:spacing w:before="120" w:after="120" w:line="240" w:lineRule="auto"/>
        <w:rPr>
          <w:rFonts w:ascii="Arial" w:eastAsia="Times New Roman" w:hAnsi="Arial" w:cs="Arial"/>
          <w:sz w:val="20"/>
          <w:szCs w:val="20"/>
          <w:lang w:val="fr-FR"/>
        </w:rPr>
      </w:pPr>
      <w:r w:rsidRPr="00711F10">
        <w:rPr>
          <w:rFonts w:ascii="Arial" w:eastAsia="Times New Roman" w:hAnsi="Arial" w:cs="Arial"/>
          <w:sz w:val="20"/>
          <w:szCs w:val="20"/>
          <w:lang w:val="fr-FR"/>
        </w:rPr>
        <w:t xml:space="preserve">Le Mali montre une grande volonté à intégrer l’environnement et le changement climatique dans ses politiques ; volonté traduite dans les discours. </w:t>
      </w:r>
      <w:r w:rsidR="00505F8F" w:rsidRPr="00711F10">
        <w:rPr>
          <w:rFonts w:ascii="Arial" w:hAnsi="Arial" w:cs="Arial"/>
          <w:sz w:val="20"/>
          <w:szCs w:val="20"/>
          <w:lang w:val="fr-FR"/>
        </w:rPr>
        <w:t xml:space="preserve">La lettre de cadrage </w:t>
      </w:r>
      <w:r w:rsidR="00992B0F" w:rsidRPr="00711F10">
        <w:rPr>
          <w:rFonts w:ascii="Arial" w:hAnsi="Arial" w:cs="Arial"/>
          <w:sz w:val="20"/>
          <w:szCs w:val="20"/>
          <w:lang w:val="fr-FR"/>
        </w:rPr>
        <w:t xml:space="preserve">de septembre </w:t>
      </w:r>
      <w:r w:rsidR="00505F8F" w:rsidRPr="00711F10">
        <w:rPr>
          <w:rFonts w:ascii="Arial" w:hAnsi="Arial" w:cs="Arial"/>
          <w:sz w:val="20"/>
          <w:szCs w:val="20"/>
          <w:lang w:val="fr-FR"/>
        </w:rPr>
        <w:t xml:space="preserve">2018 du Président de la République au nouveau </w:t>
      </w:r>
      <w:r w:rsidR="00992B0F" w:rsidRPr="00711F10">
        <w:rPr>
          <w:rFonts w:ascii="Arial" w:hAnsi="Arial" w:cs="Arial"/>
          <w:sz w:val="20"/>
          <w:szCs w:val="20"/>
          <w:lang w:val="fr-FR"/>
        </w:rPr>
        <w:t xml:space="preserve">du </w:t>
      </w:r>
      <w:r w:rsidR="00505F8F" w:rsidRPr="00711F10">
        <w:rPr>
          <w:rFonts w:ascii="Arial" w:hAnsi="Arial" w:cs="Arial"/>
          <w:sz w:val="20"/>
          <w:szCs w:val="20"/>
          <w:lang w:val="fr-FR"/>
        </w:rPr>
        <w:t>gouvernement place l’environnement, les changements climatiques et le développement durable à la quatrième position des points essentiels, après la gouvernance et les réformes politiques et institutionnelles, la promotion d’une croissance inclusive et le développement du capital humain et de l’inclusion sociale. Toutefois, l</w:t>
      </w:r>
      <w:r w:rsidRPr="00711F10">
        <w:rPr>
          <w:rFonts w:ascii="Arial" w:eastAsia="Times New Roman" w:hAnsi="Arial" w:cs="Arial"/>
          <w:sz w:val="20"/>
          <w:szCs w:val="20"/>
          <w:lang w:val="fr-FR"/>
        </w:rPr>
        <w:t xml:space="preserve">e degré de mise en œuvre des stratégies et des plans d’actions en faveur </w:t>
      </w:r>
      <w:r w:rsidRPr="00711F10">
        <w:rPr>
          <w:rFonts w:ascii="Arial" w:eastAsia="Times New Roman" w:hAnsi="Arial" w:cs="Arial"/>
          <w:sz w:val="20"/>
          <w:szCs w:val="20"/>
          <w:lang w:val="fr-FR"/>
        </w:rPr>
        <w:lastRenderedPageBreak/>
        <w:t xml:space="preserve">de l’environnement et du changement climatique est variable selon les secteurs mais, en général, </w:t>
      </w:r>
      <w:r w:rsidRPr="00711F10">
        <w:rPr>
          <w:rFonts w:ascii="Arial" w:eastAsia="Times New Roman" w:hAnsi="Arial" w:cs="Arial"/>
          <w:b/>
          <w:sz w:val="20"/>
          <w:szCs w:val="20"/>
          <w:lang w:val="fr-FR"/>
        </w:rPr>
        <w:t>largement en dessous des objectifs envisagés et souvent très partiel</w:t>
      </w:r>
      <w:r w:rsidRPr="00711F10">
        <w:rPr>
          <w:rFonts w:ascii="Arial" w:eastAsia="Times New Roman" w:hAnsi="Arial" w:cs="Arial"/>
          <w:sz w:val="20"/>
          <w:szCs w:val="20"/>
          <w:lang w:val="fr-FR"/>
        </w:rPr>
        <w:t xml:space="preserve">.   </w:t>
      </w:r>
    </w:p>
    <w:p w14:paraId="10DE6DD4" w14:textId="77777777" w:rsidR="00500D2D" w:rsidRPr="00711F10" w:rsidRDefault="00500D2D" w:rsidP="00711F10">
      <w:pPr>
        <w:spacing w:before="120" w:after="120" w:line="240" w:lineRule="auto"/>
        <w:rPr>
          <w:rFonts w:ascii="Arial" w:eastAsia="Times New Roman" w:hAnsi="Arial" w:cs="Arial"/>
          <w:sz w:val="20"/>
          <w:szCs w:val="20"/>
          <w:lang w:val="fr-FR"/>
        </w:rPr>
      </w:pPr>
    </w:p>
    <w:p w14:paraId="40282220" w14:textId="77777777" w:rsidR="00802BA9" w:rsidRPr="00500D2D" w:rsidRDefault="00802BA9" w:rsidP="00525222">
      <w:pPr>
        <w:pStyle w:val="Titre3"/>
      </w:pPr>
      <w:bookmarkStart w:id="40" w:name="_Toc20505642"/>
      <w:r w:rsidRPr="00711F10">
        <w:t>3.1.2 L’intégration des aspects environnementaux aux politiques sectorielles</w:t>
      </w:r>
      <w:bookmarkEnd w:id="40"/>
    </w:p>
    <w:p w14:paraId="5EB203BC" w14:textId="77777777" w:rsidR="00802BA9" w:rsidRPr="00711F10" w:rsidRDefault="00802BA9" w:rsidP="00711F10">
      <w:pPr>
        <w:spacing w:before="120" w:after="120" w:line="240" w:lineRule="auto"/>
        <w:rPr>
          <w:rFonts w:ascii="Arial" w:hAnsi="Arial" w:cs="Arial"/>
          <w:sz w:val="20"/>
          <w:szCs w:val="20"/>
          <w:lang w:val="fr-FR"/>
        </w:rPr>
      </w:pPr>
      <w:r w:rsidRPr="00711F10">
        <w:rPr>
          <w:rFonts w:ascii="Arial" w:hAnsi="Arial" w:cs="Arial"/>
          <w:sz w:val="20"/>
          <w:szCs w:val="20"/>
          <w:lang w:val="fr-FR"/>
        </w:rPr>
        <w:t>L</w:t>
      </w:r>
      <w:r w:rsidRPr="00711F10">
        <w:rPr>
          <w:rFonts w:ascii="Arial" w:hAnsi="Arial" w:cs="Arial"/>
          <w:b/>
          <w:sz w:val="20"/>
          <w:szCs w:val="20"/>
          <w:lang w:val="fr-FR"/>
        </w:rPr>
        <w:t>’eau</w:t>
      </w:r>
      <w:r w:rsidRPr="00711F10">
        <w:rPr>
          <w:rFonts w:ascii="Arial" w:hAnsi="Arial" w:cs="Arial"/>
          <w:sz w:val="20"/>
          <w:szCs w:val="20"/>
          <w:lang w:val="fr-FR"/>
        </w:rPr>
        <w:t xml:space="preserve"> est, actuellement, régie par le code de l’eau de 2002 et la politique nationale de l’eau de 2006 (Annexe 7.2.1). Le Code de l’eau intègre les principes fondamentaux de la Gestion Intégrée des Ressources en Eau (GIRE), le principe de pollueur/payeur (article 16). Néanmoins, ces politiques de plus de 10 ans (le Code est en cours </w:t>
      </w:r>
      <w:r w:rsidRPr="00B84254">
        <w:rPr>
          <w:rFonts w:ascii="Arial" w:hAnsi="Arial" w:cs="Arial"/>
          <w:sz w:val="20"/>
          <w:szCs w:val="20"/>
          <w:lang w:val="fr-FR"/>
        </w:rPr>
        <w:t xml:space="preserve">de relecture et la politique </w:t>
      </w:r>
      <w:r w:rsidR="004042AF" w:rsidRPr="00B84254">
        <w:rPr>
          <w:rFonts w:ascii="Arial" w:hAnsi="Arial" w:cs="Arial"/>
          <w:sz w:val="20"/>
          <w:szCs w:val="20"/>
          <w:lang w:val="fr-FR"/>
        </w:rPr>
        <w:t>révisée sera présentée prochainement au Gouvernement</w:t>
      </w:r>
      <w:r w:rsidRPr="00B84254">
        <w:rPr>
          <w:rFonts w:ascii="Arial" w:hAnsi="Arial" w:cs="Arial"/>
          <w:sz w:val="20"/>
          <w:szCs w:val="20"/>
          <w:lang w:val="fr-FR"/>
        </w:rPr>
        <w:t>) n’intègrent</w:t>
      </w:r>
      <w:r w:rsidRPr="00711F10">
        <w:rPr>
          <w:rFonts w:ascii="Arial" w:hAnsi="Arial" w:cs="Arial"/>
          <w:sz w:val="20"/>
          <w:szCs w:val="20"/>
          <w:lang w:val="fr-FR"/>
        </w:rPr>
        <w:t xml:space="preserve"> pas suffisamment le changement climatique et la baisse de la ressource eau (diminution du débit des fleuves ou la baisse de certaines nappes phréatiques), la gestion des eaux transfrontalières, la pression humaine croissante et les pollutions engendrées, le processus de décentralisation et le transfert de compétences aux collectivités territoriales décentralisées. Bien que des progrès importants aient été réalisés en termes de contribution du secteur de l’eau au développement du pays, le principe d’équité n’est pas atteint (taux d’accès plus élevé en milieu urbain qu’en milieu rural).</w:t>
      </w:r>
    </w:p>
    <w:p w14:paraId="6E462287" w14:textId="77777777" w:rsidR="00802BA9" w:rsidRPr="00711F10" w:rsidRDefault="00802BA9" w:rsidP="00711F10">
      <w:pPr>
        <w:spacing w:before="120" w:after="120" w:line="240" w:lineRule="auto"/>
        <w:rPr>
          <w:rFonts w:ascii="Arial" w:hAnsi="Arial" w:cs="Arial"/>
          <w:sz w:val="20"/>
          <w:szCs w:val="20"/>
          <w:lang w:val="fr-FR"/>
        </w:rPr>
      </w:pPr>
      <w:r w:rsidRPr="00711F10">
        <w:rPr>
          <w:rFonts w:ascii="Arial" w:hAnsi="Arial" w:cs="Arial"/>
          <w:sz w:val="20"/>
          <w:szCs w:val="20"/>
          <w:lang w:val="fr-FR"/>
        </w:rPr>
        <w:t>L’ensemble des lois en relation avec le secteur primaire (agriculture, élevage, pêche) fait référence à l’environnement en général et à l’exploitation durable des ressources naturelles. L’</w:t>
      </w:r>
      <w:r w:rsidRPr="00711F10">
        <w:rPr>
          <w:rFonts w:ascii="Arial" w:hAnsi="Arial" w:cs="Arial"/>
          <w:b/>
          <w:sz w:val="20"/>
          <w:szCs w:val="20"/>
          <w:lang w:val="fr-FR"/>
        </w:rPr>
        <w:t>agriculture</w:t>
      </w:r>
      <w:r w:rsidRPr="00711F10">
        <w:rPr>
          <w:rFonts w:ascii="Arial" w:hAnsi="Arial" w:cs="Arial"/>
          <w:sz w:val="20"/>
          <w:szCs w:val="20"/>
          <w:lang w:val="fr-FR"/>
        </w:rPr>
        <w:t xml:space="preserve"> intègre parfaitement l’environnement et le changement climatique avec, notamment, la loi d'Orientation Agricole (LOA) de 2006. Au total, près de 18 articles sur 200 mentionnent l'environnement et 2 articles les aléas climatiques. L’article 75 de la LOA évoque la politique foncière comme « </w:t>
      </w:r>
      <w:r w:rsidRPr="00711F10">
        <w:rPr>
          <w:rFonts w:ascii="Arial" w:hAnsi="Arial" w:cs="Arial"/>
          <w:i/>
          <w:sz w:val="20"/>
          <w:szCs w:val="20"/>
          <w:lang w:val="fr-FR"/>
        </w:rPr>
        <w:t>l'accès équitable aux ressources foncières et la gestion durable des dites ressources</w:t>
      </w:r>
      <w:r w:rsidRPr="00711F10">
        <w:rPr>
          <w:rFonts w:ascii="Arial" w:hAnsi="Arial" w:cs="Arial"/>
          <w:sz w:val="20"/>
          <w:szCs w:val="20"/>
          <w:lang w:val="fr-FR"/>
        </w:rPr>
        <w:t>". A cette loi, il convient d’ajouter la Politique Foncière Agricole (PFA) de 2014 qui évoque dans l’objectif général la durabilité « …</w:t>
      </w:r>
      <w:r w:rsidRPr="00711F10">
        <w:rPr>
          <w:rFonts w:ascii="Arial" w:hAnsi="Arial" w:cs="Arial"/>
          <w:i/>
          <w:sz w:val="20"/>
          <w:szCs w:val="20"/>
          <w:lang w:val="fr-FR"/>
        </w:rPr>
        <w:t>susceptibles de rendre les différentes formes d’exploitation plus performantes et viables dans une perspective de souveraineté alimentaire durable</w:t>
      </w:r>
      <w:r w:rsidRPr="00711F10">
        <w:rPr>
          <w:rFonts w:ascii="Arial" w:hAnsi="Arial" w:cs="Arial"/>
          <w:sz w:val="20"/>
          <w:szCs w:val="20"/>
          <w:lang w:val="fr-FR"/>
        </w:rPr>
        <w:t xml:space="preserve"> ». L’élevage, notamment dans sa charte pastorale de 2001 met en avant l’obligation de préservation de l’environnement (article 7), une exploitation des ressources pastorales de manière durable avec le souci de préserver les droits des générations présentes et futures (article 8). La </w:t>
      </w:r>
      <w:r w:rsidRPr="00711F10">
        <w:rPr>
          <w:rFonts w:ascii="Arial" w:hAnsi="Arial" w:cs="Arial"/>
          <w:b/>
          <w:sz w:val="20"/>
          <w:szCs w:val="20"/>
          <w:lang w:val="fr-FR"/>
        </w:rPr>
        <w:t xml:space="preserve">pêche </w:t>
      </w:r>
      <w:r w:rsidRPr="00711F10">
        <w:rPr>
          <w:rFonts w:ascii="Arial" w:hAnsi="Arial" w:cs="Arial"/>
          <w:sz w:val="20"/>
          <w:szCs w:val="20"/>
          <w:lang w:val="fr-FR"/>
        </w:rPr>
        <w:t>dans sa politique de 2014 dès l’article 1 met en avant l’exploitation durable des ressources halieutiques. L’article 3 définit l’aire protégée aquatique, l’approche éco systémique ou approche par écosystème et l’article 9 la création d’aire protégée.</w:t>
      </w:r>
    </w:p>
    <w:p w14:paraId="13A79014" w14:textId="77777777" w:rsidR="00802BA9" w:rsidRPr="00711F10" w:rsidRDefault="00802BA9" w:rsidP="00711F10">
      <w:pPr>
        <w:spacing w:before="120" w:after="120" w:line="240" w:lineRule="auto"/>
        <w:rPr>
          <w:rFonts w:ascii="Arial" w:hAnsi="Arial" w:cs="Arial"/>
          <w:sz w:val="20"/>
          <w:szCs w:val="20"/>
          <w:lang w:val="fr-FR"/>
        </w:rPr>
      </w:pPr>
      <w:r w:rsidRPr="00711F10">
        <w:rPr>
          <w:rFonts w:ascii="Arial" w:hAnsi="Arial" w:cs="Arial"/>
          <w:sz w:val="20"/>
          <w:szCs w:val="20"/>
          <w:lang w:val="fr-FR"/>
        </w:rPr>
        <w:t xml:space="preserve">Le secteur de </w:t>
      </w:r>
      <w:r w:rsidRPr="00650720">
        <w:rPr>
          <w:rFonts w:ascii="Arial" w:hAnsi="Arial" w:cs="Arial"/>
          <w:sz w:val="20"/>
          <w:szCs w:val="20"/>
          <w:lang w:val="fr-FR"/>
        </w:rPr>
        <w:t>l’</w:t>
      </w:r>
      <w:r w:rsidRPr="00650720">
        <w:rPr>
          <w:rFonts w:ascii="Arial" w:hAnsi="Arial" w:cs="Arial"/>
          <w:b/>
          <w:sz w:val="20"/>
          <w:szCs w:val="20"/>
          <w:lang w:val="fr-FR"/>
        </w:rPr>
        <w:t>énergie</w:t>
      </w:r>
      <w:r w:rsidRPr="00650720">
        <w:rPr>
          <w:rFonts w:ascii="Arial" w:hAnsi="Arial" w:cs="Arial"/>
          <w:sz w:val="20"/>
          <w:szCs w:val="20"/>
          <w:lang w:val="fr-FR"/>
        </w:rPr>
        <w:t xml:space="preserve"> s’appuie sur la politique </w:t>
      </w:r>
      <w:r w:rsidRPr="00650720">
        <w:rPr>
          <w:rFonts w:ascii="Arial" w:hAnsi="Arial" w:cs="Arial"/>
          <w:b/>
          <w:sz w:val="20"/>
          <w:szCs w:val="20"/>
          <w:lang w:val="fr-FR"/>
        </w:rPr>
        <w:t>énergétique</w:t>
      </w:r>
      <w:r w:rsidRPr="00650720">
        <w:rPr>
          <w:rFonts w:ascii="Arial" w:hAnsi="Arial" w:cs="Arial"/>
          <w:sz w:val="20"/>
          <w:szCs w:val="20"/>
          <w:lang w:val="fr-FR"/>
        </w:rPr>
        <w:t xml:space="preserve"> nationale de 2006</w:t>
      </w:r>
      <w:r w:rsidR="00EA2CFE" w:rsidRPr="00650720">
        <w:rPr>
          <w:rFonts w:ascii="Arial" w:hAnsi="Arial" w:cs="Arial"/>
          <w:sz w:val="20"/>
          <w:szCs w:val="20"/>
          <w:lang w:val="fr-FR"/>
        </w:rPr>
        <w:t xml:space="preserve"> (politique élaborée en 2018 non validée)</w:t>
      </w:r>
      <w:r w:rsidRPr="00650720">
        <w:rPr>
          <w:rFonts w:ascii="Arial" w:hAnsi="Arial" w:cs="Arial"/>
          <w:sz w:val="20"/>
          <w:szCs w:val="20"/>
          <w:lang w:val="fr-FR"/>
        </w:rPr>
        <w:t>. Cette politique vise à contribuer au développement durable du pays, à gérer durablement l’offre d’énergie traditionnelle,</w:t>
      </w:r>
      <w:r w:rsidRPr="00711F10">
        <w:rPr>
          <w:rFonts w:ascii="Arial" w:hAnsi="Arial" w:cs="Arial"/>
          <w:sz w:val="20"/>
          <w:szCs w:val="20"/>
          <w:lang w:val="fr-FR"/>
        </w:rPr>
        <w:t xml:space="preserve"> à réduire la contribution des combustibles ligneux dans la consommation énergétique globale, à accroître la part des énergies renouvelables dans la production nationale d’électricité et à développer la filière des biocarburants. Afin de favoriser les énergies renouvelables (EnR), le Mali a promulgué un décret</w:t>
      </w:r>
      <w:r w:rsidRPr="00711F10">
        <w:rPr>
          <w:rStyle w:val="Appelnotedebasdep"/>
          <w:rFonts w:ascii="Arial" w:hAnsi="Arial" w:cs="Arial"/>
          <w:sz w:val="20"/>
          <w:szCs w:val="20"/>
          <w:lang w:val="fr-FR"/>
        </w:rPr>
        <w:footnoteReference w:id="56"/>
      </w:r>
      <w:r w:rsidRPr="00711F10">
        <w:rPr>
          <w:rFonts w:ascii="Arial" w:hAnsi="Arial" w:cs="Arial"/>
          <w:sz w:val="20"/>
          <w:szCs w:val="20"/>
          <w:lang w:val="fr-FR"/>
        </w:rPr>
        <w:t xml:space="preserve"> visant à supprimer la Taxe sur la Valeur Ajoutée (TVA) des droits et taxes sur les équipements EnR à l’importation. De même, le pays a adopté un décret</w:t>
      </w:r>
      <w:r w:rsidRPr="00711F10">
        <w:rPr>
          <w:rStyle w:val="Appelnotedebasdep"/>
          <w:rFonts w:ascii="Arial" w:hAnsi="Arial" w:cs="Arial"/>
          <w:sz w:val="20"/>
          <w:szCs w:val="20"/>
          <w:lang w:val="fr-FR"/>
        </w:rPr>
        <w:footnoteReference w:id="57"/>
      </w:r>
      <w:r w:rsidRPr="00711F10">
        <w:rPr>
          <w:rFonts w:ascii="Arial" w:hAnsi="Arial" w:cs="Arial"/>
          <w:sz w:val="20"/>
          <w:szCs w:val="20"/>
          <w:lang w:val="fr-FR"/>
        </w:rPr>
        <w:t xml:space="preserve"> portant création d’une unité de Partenariat Public-Privé. La politique énergétique est en cours de révision pour être en cohérence avec les stratégies de développement durable et de changement climatique et les stratégies de la CEDEAO en matière de l’énergie renouvelable et de l’efficacité énergétique (TRACTEBEL, 2018).</w:t>
      </w:r>
    </w:p>
    <w:p w14:paraId="1E4F0CA2" w14:textId="77777777" w:rsidR="00802BA9" w:rsidRPr="00711F10" w:rsidRDefault="00802BA9" w:rsidP="00711F10">
      <w:pPr>
        <w:spacing w:before="120" w:after="120" w:line="240" w:lineRule="auto"/>
        <w:rPr>
          <w:rFonts w:ascii="Arial" w:eastAsia="Calibri" w:hAnsi="Arial" w:cs="Arial"/>
          <w:color w:val="7030A0"/>
          <w:sz w:val="20"/>
          <w:szCs w:val="20"/>
          <w:lang w:val="fr-FR" w:eastAsia="fr-FR"/>
        </w:rPr>
      </w:pPr>
      <w:r w:rsidRPr="00711F10">
        <w:rPr>
          <w:rFonts w:ascii="Arial" w:hAnsi="Arial" w:cs="Arial"/>
          <w:sz w:val="20"/>
          <w:szCs w:val="20"/>
          <w:lang w:val="fr-FR"/>
        </w:rPr>
        <w:t xml:space="preserve">Le secteur des </w:t>
      </w:r>
      <w:r w:rsidRPr="00711F10">
        <w:rPr>
          <w:rFonts w:ascii="Arial" w:hAnsi="Arial" w:cs="Arial"/>
          <w:b/>
          <w:sz w:val="20"/>
          <w:szCs w:val="20"/>
          <w:lang w:val="fr-FR"/>
        </w:rPr>
        <w:t>mines</w:t>
      </w:r>
      <w:r w:rsidRPr="00711F10">
        <w:rPr>
          <w:rFonts w:ascii="Arial" w:hAnsi="Arial" w:cs="Arial"/>
          <w:sz w:val="20"/>
          <w:szCs w:val="20"/>
          <w:lang w:val="fr-FR"/>
        </w:rPr>
        <w:t xml:space="preserve"> dans son code de 2012 évoque l’</w:t>
      </w:r>
      <w:r w:rsidRPr="00711F10">
        <w:rPr>
          <w:rFonts w:ascii="Arial" w:eastAsia="Calibri" w:hAnsi="Arial" w:cs="Arial"/>
          <w:bCs/>
          <w:sz w:val="20"/>
          <w:szCs w:val="20"/>
          <w:lang w:val="fr-FR"/>
        </w:rPr>
        <w:t>Etude d’Impact Environnemental et Social (</w:t>
      </w:r>
      <w:r w:rsidRPr="00711F10">
        <w:rPr>
          <w:rFonts w:ascii="Arial" w:hAnsi="Arial" w:cs="Arial"/>
          <w:sz w:val="20"/>
          <w:szCs w:val="20"/>
          <w:lang w:val="fr-FR"/>
        </w:rPr>
        <w:t>EIES) et le développement durable. Le chapitre III traite « </w:t>
      </w:r>
      <w:r w:rsidRPr="00711F10">
        <w:rPr>
          <w:rFonts w:ascii="Arial" w:hAnsi="Arial" w:cs="Arial"/>
          <w:i/>
          <w:sz w:val="20"/>
          <w:szCs w:val="20"/>
          <w:lang w:val="fr-FR"/>
        </w:rPr>
        <w:t>de la protection de l’environnement et du patrimoine culturel</w:t>
      </w:r>
      <w:r w:rsidRPr="00711F10">
        <w:rPr>
          <w:rFonts w:ascii="Arial" w:hAnsi="Arial" w:cs="Arial"/>
          <w:sz w:val="20"/>
          <w:szCs w:val="20"/>
          <w:lang w:val="fr-FR"/>
        </w:rPr>
        <w:t xml:space="preserve"> ». Le secteur minier associe le ministère en charge de l’environnement dans la surveillance </w:t>
      </w:r>
      <w:r w:rsidR="00592452" w:rsidRPr="00603729">
        <w:rPr>
          <w:rFonts w:ascii="Arial" w:hAnsi="Arial" w:cs="Arial"/>
          <w:sz w:val="20"/>
          <w:szCs w:val="20"/>
          <w:lang w:val="fr-FR"/>
        </w:rPr>
        <w:t>technique</w:t>
      </w:r>
      <w:r w:rsidR="00592452">
        <w:rPr>
          <w:rFonts w:ascii="Arial" w:hAnsi="Arial" w:cs="Arial"/>
          <w:sz w:val="20"/>
          <w:szCs w:val="20"/>
          <w:lang w:val="fr-FR"/>
        </w:rPr>
        <w:t xml:space="preserve"> et </w:t>
      </w:r>
      <w:r w:rsidRPr="00711F10">
        <w:rPr>
          <w:rFonts w:ascii="Arial" w:hAnsi="Arial" w:cs="Arial"/>
          <w:sz w:val="20"/>
          <w:szCs w:val="20"/>
          <w:lang w:val="fr-FR"/>
        </w:rPr>
        <w:t xml:space="preserve">administrative des sites exploités. En cas d’accident, les deux structures définissent les mesures à prendre de façon conjointe. Par ailleurs, le Mali a adhéré à l’ITIE en 2007 et a été déclaré « </w:t>
      </w:r>
      <w:r w:rsidRPr="00711F10">
        <w:rPr>
          <w:rFonts w:ascii="Arial" w:hAnsi="Arial" w:cs="Arial"/>
          <w:i/>
          <w:sz w:val="20"/>
          <w:szCs w:val="20"/>
          <w:lang w:val="fr-FR"/>
        </w:rPr>
        <w:t>pays conforme</w:t>
      </w:r>
      <w:r w:rsidRPr="00711F10">
        <w:rPr>
          <w:rFonts w:ascii="Arial" w:hAnsi="Arial" w:cs="Arial"/>
          <w:sz w:val="20"/>
          <w:szCs w:val="20"/>
          <w:lang w:val="fr-FR"/>
        </w:rPr>
        <w:t xml:space="preserve"> » en août 2011. En juillet 2018, le d</w:t>
      </w:r>
      <w:r w:rsidRPr="00711F10">
        <w:rPr>
          <w:rFonts w:ascii="Arial" w:eastAsia="Calibri" w:hAnsi="Arial" w:cs="Arial"/>
          <w:sz w:val="20"/>
          <w:szCs w:val="20"/>
          <w:lang w:val="fr-FR" w:eastAsia="fr-FR"/>
        </w:rPr>
        <w:t>ocument de politique nationale de développement du secteur minier et pétrolier et son plan d’actions 2018-2022 a été présenté en conseil des ministres. Cette politique vise, entre autres, à promouvoir le développement durable pour les communautés vivant autour des mines et à veiller à la protection et à la préservation de l’environnement.</w:t>
      </w:r>
    </w:p>
    <w:p w14:paraId="59A4739F" w14:textId="77777777" w:rsidR="000F5DAB" w:rsidRDefault="00802BA9" w:rsidP="00711F10">
      <w:pPr>
        <w:spacing w:before="120" w:after="120" w:line="240" w:lineRule="auto"/>
        <w:rPr>
          <w:rFonts w:ascii="Arial" w:eastAsia="Calibri" w:hAnsi="Arial" w:cs="Arial"/>
          <w:sz w:val="20"/>
          <w:szCs w:val="20"/>
          <w:lang w:val="fr-FR" w:eastAsia="fr-FR"/>
        </w:rPr>
      </w:pPr>
      <w:r w:rsidRPr="00711F10">
        <w:rPr>
          <w:rFonts w:ascii="Arial" w:eastAsia="Calibri" w:hAnsi="Arial" w:cs="Arial"/>
          <w:sz w:val="20"/>
          <w:szCs w:val="20"/>
          <w:lang w:val="fr-FR" w:eastAsia="fr-FR"/>
        </w:rPr>
        <w:t xml:space="preserve">Le secteur de la </w:t>
      </w:r>
      <w:r w:rsidRPr="00711F10">
        <w:rPr>
          <w:rFonts w:ascii="Arial" w:eastAsia="Calibri" w:hAnsi="Arial" w:cs="Arial"/>
          <w:b/>
          <w:sz w:val="20"/>
          <w:szCs w:val="20"/>
          <w:lang w:val="fr-FR" w:eastAsia="fr-FR"/>
        </w:rPr>
        <w:t>santé</w:t>
      </w:r>
      <w:r w:rsidRPr="00711F10">
        <w:rPr>
          <w:rFonts w:ascii="Arial" w:eastAsia="Calibri" w:hAnsi="Arial" w:cs="Arial"/>
          <w:sz w:val="20"/>
          <w:szCs w:val="20"/>
          <w:lang w:val="fr-FR" w:eastAsia="fr-FR"/>
        </w:rPr>
        <w:t xml:space="preserve"> dans son Plan Décennal de Développement Sanitaire et Social (PDDSS) pour la période 2014-2023 donne des orientations stratégiques dans le cadre de la Politique Nationale de la Santé pour réduire les conséquences sanitaires des urgences liées aux désastres (§ 2.3.4), crises et conflits et pour minimiser les impacts sociaux et économiques.</w:t>
      </w:r>
    </w:p>
    <w:p w14:paraId="14F493A0" w14:textId="77777777" w:rsidR="004042AF" w:rsidRPr="00B84254" w:rsidRDefault="004042AF" w:rsidP="004042AF">
      <w:pPr>
        <w:spacing w:after="0" w:line="240" w:lineRule="auto"/>
        <w:rPr>
          <w:rFonts w:ascii="Arial" w:eastAsia="Calibri" w:hAnsi="Arial" w:cs="Arial"/>
          <w:sz w:val="20"/>
          <w:szCs w:val="20"/>
          <w:lang w:val="fr-FR" w:eastAsia="fr-FR"/>
        </w:rPr>
      </w:pPr>
      <w:r w:rsidRPr="00B84254">
        <w:rPr>
          <w:rFonts w:ascii="Arial" w:eastAsia="Calibri" w:hAnsi="Arial" w:cs="Arial"/>
          <w:sz w:val="20"/>
          <w:szCs w:val="20"/>
          <w:lang w:val="fr-FR" w:eastAsia="fr-FR"/>
        </w:rPr>
        <w:lastRenderedPageBreak/>
        <w:t xml:space="preserve">La </w:t>
      </w:r>
      <w:r w:rsidRPr="00B84254">
        <w:rPr>
          <w:rFonts w:ascii="Arial" w:eastAsia="Calibri" w:hAnsi="Arial" w:cs="Arial"/>
          <w:b/>
          <w:bCs/>
          <w:sz w:val="20"/>
          <w:szCs w:val="20"/>
          <w:lang w:val="fr-FR" w:eastAsia="fr-FR"/>
        </w:rPr>
        <w:t>sécurité alimentaire et nutritionnelle</w:t>
      </w:r>
      <w:r w:rsidRPr="00B84254">
        <w:rPr>
          <w:rFonts w:ascii="Arial" w:eastAsia="Calibri" w:hAnsi="Arial" w:cs="Arial"/>
          <w:sz w:val="20"/>
          <w:szCs w:val="20"/>
          <w:lang w:val="fr-FR" w:eastAsia="fr-FR"/>
        </w:rPr>
        <w:t xml:space="preserve"> dans sa Politique Nationale de Sécurité Alimentaire et Nutritionnelle (POLNSAN) de 2017 met en avant les différentes préventions face aux chocs et crises liés aux effets des changements climatiques.</w:t>
      </w:r>
    </w:p>
    <w:p w14:paraId="05D01415" w14:textId="77777777" w:rsidR="004042AF" w:rsidRPr="00B84254" w:rsidRDefault="004042AF" w:rsidP="004042AF">
      <w:pPr>
        <w:spacing w:before="120" w:after="120" w:line="240" w:lineRule="auto"/>
        <w:rPr>
          <w:rFonts w:ascii="Arial" w:eastAsia="Calibri" w:hAnsi="Arial" w:cs="Arial"/>
          <w:sz w:val="20"/>
          <w:szCs w:val="20"/>
          <w:lang w:val="fr-FR" w:eastAsia="fr-FR"/>
        </w:rPr>
      </w:pPr>
      <w:r w:rsidRPr="00B84254">
        <w:rPr>
          <w:rFonts w:ascii="Arial" w:eastAsia="Calibri" w:hAnsi="Arial" w:cs="Arial"/>
          <w:sz w:val="20"/>
          <w:szCs w:val="20"/>
          <w:lang w:val="fr-FR" w:eastAsia="fr-FR"/>
        </w:rPr>
        <w:t xml:space="preserve">La </w:t>
      </w:r>
      <w:r w:rsidRPr="00B84254">
        <w:rPr>
          <w:rFonts w:ascii="Arial" w:eastAsia="Calibri" w:hAnsi="Arial" w:cs="Arial"/>
          <w:b/>
          <w:bCs/>
          <w:sz w:val="20"/>
          <w:szCs w:val="20"/>
          <w:lang w:val="fr-FR" w:eastAsia="fr-FR"/>
        </w:rPr>
        <w:t>décentralisation</w:t>
      </w:r>
      <w:r w:rsidRPr="00B84254">
        <w:rPr>
          <w:rFonts w:ascii="Arial" w:eastAsia="Calibri" w:hAnsi="Arial" w:cs="Arial"/>
          <w:sz w:val="20"/>
          <w:szCs w:val="20"/>
          <w:lang w:val="fr-FR" w:eastAsia="fr-FR"/>
        </w:rPr>
        <w:t xml:space="preserve"> dans son document cadre de politique nationale de décentralisation 2015-2024 met en avant que la valorisation des territoires tiendra compte de la préservation des ressources naturelles et des changements climatiques.</w:t>
      </w:r>
    </w:p>
    <w:p w14:paraId="1A9F0A86" w14:textId="77777777" w:rsidR="00802BA9" w:rsidRDefault="00802BA9" w:rsidP="00711F10">
      <w:pPr>
        <w:spacing w:before="120" w:after="120" w:line="240" w:lineRule="auto"/>
        <w:rPr>
          <w:rFonts w:ascii="Arial" w:hAnsi="Arial" w:cs="Arial"/>
          <w:sz w:val="20"/>
          <w:szCs w:val="20"/>
          <w:lang w:val="fr-FR"/>
        </w:rPr>
      </w:pPr>
      <w:r w:rsidRPr="00B84254">
        <w:rPr>
          <w:rFonts w:ascii="Arial" w:hAnsi="Arial" w:cs="Arial"/>
          <w:sz w:val="20"/>
          <w:szCs w:val="20"/>
          <w:lang w:val="fr-FR"/>
        </w:rPr>
        <w:t>De façon générale, les politiques</w:t>
      </w:r>
      <w:r w:rsidRPr="00711F10">
        <w:rPr>
          <w:rFonts w:ascii="Arial" w:hAnsi="Arial" w:cs="Arial"/>
          <w:sz w:val="20"/>
          <w:szCs w:val="20"/>
          <w:lang w:val="fr-FR"/>
        </w:rPr>
        <w:t xml:space="preserve"> sectorielles intègrent l’environnement et le changement climatique. Toutefois, dans les faits, ces différentes politiques sont très faiblement mises en œuvre (charte pastorale et pratiques d’émondage, suppression des sacs en plastiques, etc.)</w:t>
      </w:r>
    </w:p>
    <w:p w14:paraId="6263868D" w14:textId="77777777" w:rsidR="00500D2D" w:rsidRPr="00711F10" w:rsidRDefault="00500D2D" w:rsidP="00711F10">
      <w:pPr>
        <w:spacing w:before="120" w:after="120" w:line="240" w:lineRule="auto"/>
        <w:rPr>
          <w:rFonts w:ascii="Arial" w:hAnsi="Arial" w:cs="Arial"/>
          <w:sz w:val="20"/>
          <w:szCs w:val="20"/>
          <w:lang w:val="fr-FR"/>
        </w:rPr>
      </w:pPr>
    </w:p>
    <w:p w14:paraId="1F2DC131" w14:textId="77777777" w:rsidR="00802BA9" w:rsidRPr="00711F10" w:rsidRDefault="00802BA9" w:rsidP="00525222">
      <w:pPr>
        <w:pStyle w:val="Titre3"/>
      </w:pPr>
      <w:bookmarkStart w:id="41" w:name="_Toc20505643"/>
      <w:r w:rsidRPr="00711F10">
        <w:t>3.1.3 Les législations et règlementations régissant la préservation de l’environnement et l’application sur le terrain</w:t>
      </w:r>
      <w:bookmarkEnd w:id="41"/>
    </w:p>
    <w:p w14:paraId="395932D8" w14:textId="77777777" w:rsidR="00802BA9" w:rsidRPr="00711F10" w:rsidRDefault="00802BA9" w:rsidP="00711F10">
      <w:pPr>
        <w:spacing w:before="120" w:after="120" w:line="240" w:lineRule="auto"/>
        <w:rPr>
          <w:rFonts w:ascii="Arial" w:hAnsi="Arial" w:cs="Arial"/>
          <w:sz w:val="20"/>
          <w:szCs w:val="20"/>
          <w:lang w:val="fr-FR"/>
        </w:rPr>
      </w:pPr>
      <w:r w:rsidRPr="00711F10">
        <w:rPr>
          <w:rFonts w:ascii="Arial" w:hAnsi="Arial" w:cs="Arial"/>
          <w:sz w:val="20"/>
          <w:szCs w:val="20"/>
          <w:lang w:val="fr-FR"/>
        </w:rPr>
        <w:t>La préservation de l’environnement sur le terrain s’appuie sur la loi de 2001 relative aux pollutions et aux nuisances</w:t>
      </w:r>
      <w:r w:rsidRPr="00711F10">
        <w:rPr>
          <w:rStyle w:val="Appelnotedebasdep"/>
          <w:rFonts w:ascii="Arial" w:hAnsi="Arial" w:cs="Arial"/>
          <w:sz w:val="20"/>
          <w:szCs w:val="20"/>
          <w:lang w:val="fr-FR"/>
        </w:rPr>
        <w:footnoteReference w:id="58"/>
      </w:r>
      <w:r w:rsidRPr="00711F10">
        <w:rPr>
          <w:rFonts w:ascii="Arial" w:hAnsi="Arial" w:cs="Arial"/>
          <w:sz w:val="20"/>
          <w:szCs w:val="20"/>
          <w:lang w:val="fr-FR"/>
        </w:rPr>
        <w:t xml:space="preserve"> d’une part et sur le décret de 2008 relatif à l’Etude d’Impact Environnemental et Social (EIES)</w:t>
      </w:r>
      <w:r w:rsidRPr="00711F10">
        <w:rPr>
          <w:rStyle w:val="Appelnotedebasdep"/>
          <w:rFonts w:ascii="Arial" w:hAnsi="Arial" w:cs="Arial"/>
          <w:sz w:val="20"/>
          <w:szCs w:val="20"/>
          <w:lang w:val="fr-FR"/>
        </w:rPr>
        <w:footnoteReference w:id="59"/>
      </w:r>
      <w:r w:rsidRPr="00711F10">
        <w:rPr>
          <w:rFonts w:ascii="Arial" w:hAnsi="Arial" w:cs="Arial"/>
          <w:sz w:val="20"/>
          <w:szCs w:val="20"/>
          <w:lang w:val="fr-FR"/>
        </w:rPr>
        <w:t xml:space="preserve"> d’autre part. Le décret de 2008 régit l’Evaluation Environnementale Stratégique (EES) et l’EIES et constitue un instrument législatif important de protection de l’environnement applicable aux différents secteurs d’activités touchant l’environnement : ressources naturelles et environnement urbain, activités industrielles et artisanales, activités minières et agricoles, transport électrique, etc. Le décret insiste sur l’obligation de réaliser l’EIES et le respect de la procédure pour tous les projets, qu’ils soient publics ou privés dont la réalisation est susceptible de porter atteinte aux milieux biophysique et humain. Le décret précise les éléments importants concernant la portée des études d’impact, l’obligation de la procédure pour certains types de projet, le contenu des rapports, l’obligation de la consultation publique, l’élaboration du Plan de Gestion Environnementale et Sociale (PGES), incluant les coûts des mesures d’atténuation, le rôle des acteurs et les échéanciers de mise en œuvre. Pour tous les projets soumis à l’EIES, l’exécution des travaux est subordonnée à l’obtention d’un permis environnemental délivré par le Ministre chargé de l’environnement. Les projets des catégories A et B sont soumis à l’EIES et ceux de catégorie C </w:t>
      </w:r>
      <w:r w:rsidR="00592452">
        <w:rPr>
          <w:rFonts w:ascii="Arial" w:hAnsi="Arial" w:cs="Arial"/>
          <w:sz w:val="20"/>
          <w:szCs w:val="20"/>
          <w:lang w:val="fr-FR"/>
        </w:rPr>
        <w:t>relèvent</w:t>
      </w:r>
      <w:r w:rsidRPr="00711F10">
        <w:rPr>
          <w:rFonts w:ascii="Arial" w:hAnsi="Arial" w:cs="Arial"/>
          <w:sz w:val="20"/>
          <w:szCs w:val="20"/>
          <w:lang w:val="fr-FR"/>
        </w:rPr>
        <w:t xml:space="preserve"> </w:t>
      </w:r>
      <w:r w:rsidR="00592452">
        <w:rPr>
          <w:rFonts w:ascii="Arial" w:hAnsi="Arial" w:cs="Arial"/>
          <w:sz w:val="20"/>
          <w:szCs w:val="20"/>
          <w:lang w:val="fr-FR"/>
        </w:rPr>
        <w:t>d’</w:t>
      </w:r>
      <w:r w:rsidRPr="00711F10">
        <w:rPr>
          <w:rFonts w:ascii="Arial" w:hAnsi="Arial" w:cs="Arial"/>
          <w:sz w:val="20"/>
          <w:szCs w:val="20"/>
          <w:lang w:val="fr-FR"/>
        </w:rPr>
        <w:t>une étude d’impact simplifiée sanctionnée par une Notice d’Impact Environnemental et Social (NIES). Ce décret a été complété par deux arrêtés apportant des précisions majeures avec i) le montant, les modalités de paiement et de gestion des frais afférents aux activités relatives à l’EIES</w:t>
      </w:r>
      <w:r w:rsidRPr="00711F10">
        <w:rPr>
          <w:rStyle w:val="Appelnotedebasdep"/>
          <w:rFonts w:ascii="Arial" w:hAnsi="Arial" w:cs="Arial"/>
          <w:sz w:val="20"/>
          <w:szCs w:val="20"/>
          <w:lang w:val="fr-FR"/>
        </w:rPr>
        <w:footnoteReference w:id="60"/>
      </w:r>
      <w:r w:rsidRPr="00711F10">
        <w:rPr>
          <w:rFonts w:ascii="Arial" w:hAnsi="Arial" w:cs="Arial"/>
          <w:sz w:val="20"/>
          <w:szCs w:val="20"/>
          <w:lang w:val="fr-FR"/>
        </w:rPr>
        <w:t>, ii) les modalités de la consultation publique en matière d’EIES</w:t>
      </w:r>
      <w:r w:rsidRPr="00711F10">
        <w:rPr>
          <w:rStyle w:val="Appelnotedebasdep"/>
          <w:rFonts w:ascii="Arial" w:hAnsi="Arial" w:cs="Arial"/>
          <w:sz w:val="20"/>
          <w:szCs w:val="20"/>
          <w:lang w:val="fr-FR"/>
        </w:rPr>
        <w:footnoteReference w:id="61"/>
      </w:r>
      <w:r w:rsidRPr="00711F10">
        <w:rPr>
          <w:rFonts w:ascii="Arial" w:hAnsi="Arial" w:cs="Arial"/>
          <w:sz w:val="20"/>
          <w:szCs w:val="20"/>
          <w:lang w:val="fr-FR"/>
        </w:rPr>
        <w:t xml:space="preserve">. </w:t>
      </w:r>
      <w:r w:rsidR="00592452" w:rsidRPr="00603729">
        <w:rPr>
          <w:rFonts w:ascii="Arial" w:hAnsi="Arial" w:cs="Arial"/>
          <w:sz w:val="20"/>
          <w:szCs w:val="20"/>
          <w:lang w:val="fr-FR"/>
        </w:rPr>
        <w:t>Toutefois, ce décret de 2008 modifié en 2009 ne met pas en avant le screening environneme</w:t>
      </w:r>
      <w:r w:rsidR="00441CB0" w:rsidRPr="00603729">
        <w:rPr>
          <w:rFonts w:ascii="Arial" w:hAnsi="Arial" w:cs="Arial"/>
          <w:sz w:val="20"/>
          <w:szCs w:val="20"/>
          <w:lang w:val="fr-FR"/>
        </w:rPr>
        <w:t>ntal qui permettrait de définir la catégorie du projet (exemple des petits périmètres irrigués).</w:t>
      </w:r>
      <w:r w:rsidR="00441CB0">
        <w:rPr>
          <w:rFonts w:ascii="Arial" w:hAnsi="Arial" w:cs="Arial"/>
          <w:sz w:val="20"/>
          <w:szCs w:val="20"/>
          <w:lang w:val="fr-FR"/>
        </w:rPr>
        <w:t xml:space="preserve"> </w:t>
      </w:r>
      <w:r w:rsidRPr="00711F10">
        <w:rPr>
          <w:rFonts w:ascii="Arial" w:hAnsi="Arial" w:cs="Arial"/>
          <w:sz w:val="20"/>
          <w:szCs w:val="20"/>
          <w:lang w:val="fr-FR"/>
        </w:rPr>
        <w:t xml:space="preserve">Les politiques, stratégies et programmes font l’objet d’une Evaluation Environnementale Stratégique (EES) ; l’article 3 indiquant : « </w:t>
      </w:r>
      <w:r w:rsidRPr="00711F10">
        <w:rPr>
          <w:rFonts w:ascii="Arial" w:hAnsi="Arial" w:cs="Arial"/>
          <w:i/>
          <w:sz w:val="20"/>
          <w:szCs w:val="20"/>
          <w:lang w:val="fr-FR"/>
        </w:rPr>
        <w:t>l’ensemble des procédures qui contribuent à l’élaboration, l’exécution et le suivi des Politiques, Programmes, conformément aux normes environnementales établies</w:t>
      </w:r>
      <w:r w:rsidRPr="00711F10">
        <w:rPr>
          <w:rFonts w:ascii="Arial" w:hAnsi="Arial" w:cs="Arial"/>
          <w:sz w:val="20"/>
          <w:szCs w:val="20"/>
          <w:lang w:val="fr-FR"/>
        </w:rPr>
        <w:t xml:space="preserve"> ». </w:t>
      </w:r>
    </w:p>
    <w:p w14:paraId="2E004B3B" w14:textId="77777777" w:rsidR="00802BA9" w:rsidRPr="00711F10" w:rsidRDefault="00802BA9" w:rsidP="00711F10">
      <w:pPr>
        <w:spacing w:before="120" w:after="120" w:line="240" w:lineRule="auto"/>
        <w:rPr>
          <w:rFonts w:ascii="Arial" w:hAnsi="Arial" w:cs="Arial"/>
          <w:sz w:val="20"/>
          <w:szCs w:val="20"/>
          <w:lang w:val="fr-FR"/>
        </w:rPr>
      </w:pPr>
      <w:r w:rsidRPr="00711F10">
        <w:rPr>
          <w:rFonts w:ascii="Arial" w:hAnsi="Arial" w:cs="Arial"/>
          <w:sz w:val="20"/>
          <w:szCs w:val="20"/>
          <w:lang w:val="fr-FR"/>
        </w:rPr>
        <w:t>Aux décrets de 2001 et 2008, existent d’autres réglementations (</w:t>
      </w:r>
      <w:r w:rsidR="000F5DAB" w:rsidRPr="00711F10">
        <w:rPr>
          <w:rFonts w:ascii="Arial" w:hAnsi="Arial" w:cs="Arial"/>
          <w:sz w:val="20"/>
          <w:szCs w:val="20"/>
          <w:lang w:val="fr-FR"/>
        </w:rPr>
        <w:t xml:space="preserve">§ </w:t>
      </w:r>
      <w:r w:rsidRPr="00711F10">
        <w:rPr>
          <w:rFonts w:ascii="Arial" w:hAnsi="Arial" w:cs="Arial"/>
          <w:sz w:val="20"/>
          <w:szCs w:val="20"/>
          <w:lang w:val="fr-FR"/>
        </w:rPr>
        <w:t xml:space="preserve">7.2.3) au niveau de :  </w:t>
      </w:r>
    </w:p>
    <w:p w14:paraId="5C52EA34" w14:textId="77777777" w:rsidR="00802BA9" w:rsidRPr="00711F10" w:rsidRDefault="00802BA9" w:rsidP="00711F10">
      <w:pPr>
        <w:pStyle w:val="Pardeliste"/>
        <w:numPr>
          <w:ilvl w:val="0"/>
          <w:numId w:val="40"/>
        </w:numPr>
        <w:spacing w:before="120" w:after="120" w:line="240" w:lineRule="auto"/>
        <w:rPr>
          <w:rFonts w:ascii="Arial" w:hAnsi="Arial" w:cs="Arial"/>
          <w:sz w:val="20"/>
          <w:szCs w:val="20"/>
          <w:lang w:val="fr-FR"/>
        </w:rPr>
      </w:pPr>
      <w:r w:rsidRPr="00711F10">
        <w:rPr>
          <w:rFonts w:ascii="Arial" w:hAnsi="Arial" w:cs="Arial"/>
          <w:sz w:val="20"/>
          <w:szCs w:val="20"/>
          <w:lang w:val="fr-FR"/>
        </w:rPr>
        <w:t>la préservation des ressources forestières avec le décret de 2010 fixant la liste des essences forestières protégées et des essences forestières de valeur économique</w:t>
      </w:r>
      <w:r w:rsidRPr="00711F10">
        <w:rPr>
          <w:rStyle w:val="Appelnotedebasdep"/>
          <w:rFonts w:ascii="Arial" w:hAnsi="Arial" w:cs="Arial"/>
          <w:sz w:val="20"/>
          <w:szCs w:val="20"/>
          <w:lang w:val="fr-FR"/>
        </w:rPr>
        <w:footnoteReference w:id="62"/>
      </w:r>
      <w:r w:rsidRPr="00711F10">
        <w:rPr>
          <w:rFonts w:ascii="Arial" w:hAnsi="Arial" w:cs="Arial"/>
          <w:sz w:val="20"/>
          <w:szCs w:val="20"/>
          <w:lang w:val="fr-FR"/>
        </w:rPr>
        <w:t>, le décret de 2011 déterminant les conditions et modalités d’exercice des droits conférés par les titres d’exploitation et de transport des produits forestiers</w:t>
      </w:r>
      <w:r w:rsidRPr="00711F10">
        <w:rPr>
          <w:rStyle w:val="Appelnotedebasdep"/>
          <w:rFonts w:ascii="Arial" w:hAnsi="Arial" w:cs="Arial"/>
          <w:sz w:val="20"/>
          <w:szCs w:val="20"/>
          <w:vertAlign w:val="baseline"/>
          <w:lang w:val="fr-FR"/>
        </w:rPr>
        <w:t xml:space="preserve"> </w:t>
      </w:r>
      <w:r w:rsidRPr="00711F10">
        <w:rPr>
          <w:rStyle w:val="Appelnotedebasdep"/>
          <w:rFonts w:ascii="Arial" w:hAnsi="Arial" w:cs="Arial"/>
          <w:sz w:val="20"/>
          <w:szCs w:val="20"/>
          <w:lang w:val="fr-FR"/>
        </w:rPr>
        <w:footnoteReference w:id="63"/>
      </w:r>
      <w:r w:rsidRPr="00711F10">
        <w:rPr>
          <w:rFonts w:ascii="Arial" w:hAnsi="Arial" w:cs="Arial"/>
          <w:sz w:val="20"/>
          <w:szCs w:val="20"/>
          <w:lang w:val="fr-FR"/>
        </w:rPr>
        <w:t>.</w:t>
      </w:r>
    </w:p>
    <w:p w14:paraId="73EFA993" w14:textId="77777777" w:rsidR="00802BA9" w:rsidRPr="00711F10" w:rsidRDefault="00802BA9" w:rsidP="00711F10">
      <w:pPr>
        <w:pStyle w:val="Pardeliste"/>
        <w:numPr>
          <w:ilvl w:val="0"/>
          <w:numId w:val="40"/>
        </w:numPr>
        <w:spacing w:before="120" w:after="120" w:line="240" w:lineRule="auto"/>
        <w:rPr>
          <w:rFonts w:ascii="Arial" w:hAnsi="Arial" w:cs="Arial"/>
          <w:sz w:val="20"/>
          <w:szCs w:val="20"/>
          <w:lang w:val="fr-FR"/>
        </w:rPr>
      </w:pPr>
      <w:r w:rsidRPr="00711F10">
        <w:rPr>
          <w:rFonts w:ascii="Arial" w:hAnsi="Arial" w:cs="Arial"/>
          <w:sz w:val="20"/>
          <w:szCs w:val="20"/>
          <w:lang w:val="fr-FR"/>
        </w:rPr>
        <w:t>la préservation de l’environnement et le décret de 2014 portant interdiction de la production, de l’importation et de la commercialisation de sachets plastiques non biodégradables</w:t>
      </w:r>
      <w:r w:rsidRPr="00711F10">
        <w:rPr>
          <w:rStyle w:val="Appelnotedebasdep"/>
          <w:rFonts w:ascii="Arial" w:hAnsi="Arial" w:cs="Arial"/>
          <w:sz w:val="20"/>
          <w:szCs w:val="20"/>
          <w:lang w:val="fr-FR"/>
        </w:rPr>
        <w:footnoteReference w:id="64"/>
      </w:r>
    </w:p>
    <w:p w14:paraId="4C4960B1" w14:textId="77777777" w:rsidR="00802BA9" w:rsidRPr="00711F10" w:rsidRDefault="00802BA9" w:rsidP="00711F10">
      <w:pPr>
        <w:pStyle w:val="Pardeliste"/>
        <w:numPr>
          <w:ilvl w:val="0"/>
          <w:numId w:val="40"/>
        </w:numPr>
        <w:spacing w:before="120" w:after="120" w:line="240" w:lineRule="auto"/>
        <w:rPr>
          <w:rFonts w:ascii="Arial" w:hAnsi="Arial" w:cs="Arial"/>
          <w:sz w:val="20"/>
          <w:szCs w:val="20"/>
          <w:lang w:val="fr-FR"/>
        </w:rPr>
      </w:pPr>
      <w:r w:rsidRPr="00711F10">
        <w:rPr>
          <w:rFonts w:ascii="Arial" w:hAnsi="Arial" w:cs="Arial"/>
          <w:sz w:val="20"/>
          <w:szCs w:val="20"/>
          <w:lang w:val="fr-FR"/>
        </w:rPr>
        <w:t>la sécurisation des exploitations agricoles et la loi de février 2008 relative au contrôle des engrais</w:t>
      </w:r>
      <w:r w:rsidRPr="00711F10">
        <w:rPr>
          <w:rStyle w:val="Appelnotedebasdep"/>
          <w:rFonts w:ascii="Arial" w:hAnsi="Arial" w:cs="Arial"/>
          <w:sz w:val="20"/>
          <w:szCs w:val="20"/>
          <w:lang w:val="fr-FR"/>
        </w:rPr>
        <w:footnoteReference w:id="65"/>
      </w:r>
      <w:r w:rsidRPr="00711F10">
        <w:rPr>
          <w:rFonts w:ascii="Arial" w:hAnsi="Arial" w:cs="Arial"/>
          <w:sz w:val="20"/>
          <w:szCs w:val="20"/>
          <w:lang w:val="fr-FR"/>
        </w:rPr>
        <w:t>, la loi de 2008 relative à la sécurité en biotechnologie</w:t>
      </w:r>
      <w:r w:rsidRPr="00711F10">
        <w:rPr>
          <w:rStyle w:val="Appelnotedebasdep"/>
          <w:rFonts w:ascii="Arial" w:hAnsi="Arial" w:cs="Arial"/>
          <w:sz w:val="20"/>
          <w:szCs w:val="20"/>
          <w:lang w:val="fr-FR"/>
        </w:rPr>
        <w:footnoteReference w:id="66"/>
      </w:r>
    </w:p>
    <w:p w14:paraId="360F3C8B" w14:textId="77777777" w:rsidR="004042AF" w:rsidRDefault="00802BA9" w:rsidP="00711F10">
      <w:pPr>
        <w:pStyle w:val="Pardeliste"/>
        <w:numPr>
          <w:ilvl w:val="0"/>
          <w:numId w:val="40"/>
        </w:numPr>
        <w:spacing w:before="120" w:after="120" w:line="240" w:lineRule="auto"/>
        <w:rPr>
          <w:rFonts w:ascii="Arial" w:hAnsi="Arial" w:cs="Arial"/>
          <w:sz w:val="20"/>
          <w:szCs w:val="20"/>
          <w:lang w:val="fr-FR"/>
        </w:rPr>
      </w:pPr>
      <w:r w:rsidRPr="00711F10">
        <w:rPr>
          <w:rFonts w:ascii="Arial" w:hAnsi="Arial" w:cs="Arial"/>
          <w:sz w:val="20"/>
          <w:szCs w:val="20"/>
          <w:lang w:val="fr-FR"/>
        </w:rPr>
        <w:t>la sécurisation des populations et la protection de l’environnement avec la loi de 2008 sur les installations classées</w:t>
      </w:r>
      <w:r w:rsidRPr="00711F10">
        <w:rPr>
          <w:rStyle w:val="Appelnotedebasdep"/>
          <w:rFonts w:ascii="Arial" w:hAnsi="Arial" w:cs="Arial"/>
          <w:sz w:val="20"/>
          <w:szCs w:val="20"/>
          <w:lang w:val="fr-FR"/>
        </w:rPr>
        <w:footnoteReference w:id="67"/>
      </w:r>
      <w:r w:rsidRPr="00711F10">
        <w:rPr>
          <w:rFonts w:ascii="Arial" w:hAnsi="Arial" w:cs="Arial"/>
          <w:sz w:val="20"/>
          <w:szCs w:val="20"/>
          <w:lang w:val="fr-FR"/>
        </w:rPr>
        <w:t>, le décret de 2016 instituant la Mécanisme national d’Alerte précoce et de Réponse aux risques sécuritaires</w:t>
      </w:r>
      <w:r w:rsidRPr="00711F10">
        <w:rPr>
          <w:rStyle w:val="Appelnotedebasdep"/>
          <w:rFonts w:ascii="Arial" w:hAnsi="Arial" w:cs="Arial"/>
          <w:sz w:val="20"/>
          <w:szCs w:val="20"/>
          <w:lang w:val="fr-FR"/>
        </w:rPr>
        <w:footnoteReference w:id="68"/>
      </w:r>
      <w:r w:rsidRPr="00711F10">
        <w:rPr>
          <w:rFonts w:ascii="Arial" w:hAnsi="Arial" w:cs="Arial"/>
          <w:sz w:val="20"/>
          <w:szCs w:val="20"/>
          <w:lang w:val="fr-FR"/>
        </w:rPr>
        <w:t>.</w:t>
      </w:r>
    </w:p>
    <w:p w14:paraId="01927CF6" w14:textId="77777777" w:rsidR="004042AF" w:rsidRPr="00B84254" w:rsidRDefault="004042AF" w:rsidP="004042AF">
      <w:pPr>
        <w:pStyle w:val="Pardeliste"/>
        <w:numPr>
          <w:ilvl w:val="0"/>
          <w:numId w:val="40"/>
        </w:numPr>
        <w:spacing w:before="120" w:after="120" w:line="240" w:lineRule="auto"/>
        <w:rPr>
          <w:rFonts w:ascii="Arial" w:hAnsi="Arial" w:cs="Arial"/>
          <w:sz w:val="20"/>
          <w:szCs w:val="20"/>
          <w:lang w:val="fr-FR"/>
        </w:rPr>
      </w:pPr>
      <w:r w:rsidRPr="00B84254">
        <w:rPr>
          <w:rFonts w:ascii="Arial" w:hAnsi="Arial" w:cs="Arial"/>
          <w:sz w:val="20"/>
          <w:szCs w:val="20"/>
          <w:lang w:val="fr-FR"/>
        </w:rPr>
        <w:lastRenderedPageBreak/>
        <w:t>des collectivités territoriales avec le Codes des Collectivités territoriales de 2017 où il est stipulé, entre-autres, dans l’article 22 que le Conseil Communal délibère, notamment, « </w:t>
      </w:r>
      <w:r w:rsidRPr="00B84254">
        <w:rPr>
          <w:rFonts w:ascii="Arial" w:hAnsi="Arial" w:cs="Arial"/>
          <w:i/>
          <w:iCs/>
          <w:sz w:val="20"/>
          <w:szCs w:val="20"/>
          <w:lang w:val="fr-FR"/>
        </w:rPr>
        <w:t>sur la lutte contre les pollutions et les nuisances</w:t>
      </w:r>
      <w:r w:rsidRPr="00B84254">
        <w:rPr>
          <w:rFonts w:ascii="Arial" w:hAnsi="Arial" w:cs="Arial"/>
          <w:sz w:val="20"/>
          <w:szCs w:val="20"/>
          <w:lang w:val="fr-FR"/>
        </w:rPr>
        <w:t> », dans l’article 65 que « </w:t>
      </w:r>
      <w:r w:rsidRPr="00B84254">
        <w:rPr>
          <w:rFonts w:ascii="Arial" w:hAnsi="Arial" w:cs="Arial"/>
          <w:i/>
          <w:iCs/>
          <w:sz w:val="20"/>
          <w:szCs w:val="20"/>
          <w:lang w:val="fr-FR"/>
        </w:rPr>
        <w:t>le Maire prend des règlements de police en vue d’assurer l’ordre, la sécurité, la tranquillité et la salubrité publics</w:t>
      </w:r>
      <w:r w:rsidRPr="00B84254">
        <w:rPr>
          <w:rFonts w:ascii="Arial" w:hAnsi="Arial" w:cs="Arial"/>
          <w:sz w:val="20"/>
          <w:szCs w:val="20"/>
          <w:lang w:val="fr-FR"/>
        </w:rPr>
        <w:t xml:space="preserve"> ». </w:t>
      </w:r>
    </w:p>
    <w:p w14:paraId="6BD0A263" w14:textId="77777777" w:rsidR="00802BA9" w:rsidRPr="00500D2D" w:rsidRDefault="00802BA9" w:rsidP="004042AF">
      <w:pPr>
        <w:pStyle w:val="Pardeliste"/>
        <w:spacing w:after="0" w:line="240" w:lineRule="auto"/>
        <w:ind w:left="360"/>
        <w:rPr>
          <w:rFonts w:ascii="Arial" w:hAnsi="Arial" w:cs="Arial"/>
          <w:sz w:val="20"/>
          <w:szCs w:val="20"/>
          <w:lang w:val="fr-FR"/>
        </w:rPr>
      </w:pPr>
      <w:r w:rsidRPr="00711F10">
        <w:rPr>
          <w:rFonts w:ascii="Arial" w:hAnsi="Arial" w:cs="Arial"/>
          <w:sz w:val="20"/>
          <w:szCs w:val="20"/>
          <w:lang w:val="fr-FR"/>
        </w:rPr>
        <w:t xml:space="preserve"> </w:t>
      </w:r>
    </w:p>
    <w:p w14:paraId="3DF29292" w14:textId="77777777" w:rsidR="00802BA9" w:rsidRPr="00711F10" w:rsidRDefault="00802BA9" w:rsidP="004042AF">
      <w:pPr>
        <w:spacing w:after="120" w:line="240" w:lineRule="auto"/>
        <w:rPr>
          <w:rFonts w:ascii="Arial" w:hAnsi="Arial" w:cs="Arial"/>
          <w:sz w:val="20"/>
          <w:szCs w:val="20"/>
          <w:lang w:val="fr-FR"/>
        </w:rPr>
      </w:pPr>
      <w:r w:rsidRPr="00711F10">
        <w:rPr>
          <w:rFonts w:ascii="Arial" w:hAnsi="Arial" w:cs="Arial"/>
          <w:sz w:val="20"/>
          <w:szCs w:val="20"/>
          <w:lang w:val="fr-FR"/>
        </w:rPr>
        <w:t>Enfin, le pays a produit récemment la nouvelle politique forestière nationale et son plan d’actions 2018-2022</w:t>
      </w:r>
      <w:r w:rsidRPr="00711F10">
        <w:rPr>
          <w:rStyle w:val="Appelnotedebasdep"/>
          <w:rFonts w:ascii="Arial" w:hAnsi="Arial" w:cs="Arial"/>
          <w:sz w:val="20"/>
          <w:szCs w:val="20"/>
          <w:lang w:val="fr-FR"/>
        </w:rPr>
        <w:footnoteReference w:id="69"/>
      </w:r>
      <w:r w:rsidRPr="00711F10">
        <w:rPr>
          <w:rFonts w:ascii="Arial" w:hAnsi="Arial" w:cs="Arial"/>
          <w:sz w:val="20"/>
          <w:szCs w:val="20"/>
          <w:lang w:val="fr-FR"/>
        </w:rPr>
        <w:t xml:space="preserve"> et en 2018 le décret fixant le détail des compétences de l’Etat transférées aux collectivités territoriales en matière de gestion des ressources forestières et fauniques</w:t>
      </w:r>
      <w:r w:rsidRPr="00711F10">
        <w:rPr>
          <w:rStyle w:val="Appelnotedebasdep"/>
          <w:rFonts w:ascii="Arial" w:hAnsi="Arial" w:cs="Arial"/>
          <w:sz w:val="20"/>
          <w:szCs w:val="20"/>
          <w:lang w:val="fr-FR"/>
        </w:rPr>
        <w:footnoteReference w:id="70"/>
      </w:r>
      <w:r w:rsidRPr="00711F10">
        <w:rPr>
          <w:rFonts w:ascii="Arial" w:hAnsi="Arial" w:cs="Arial"/>
          <w:sz w:val="20"/>
          <w:szCs w:val="20"/>
          <w:lang w:val="fr-FR"/>
        </w:rPr>
        <w:t>.</w:t>
      </w:r>
    </w:p>
    <w:p w14:paraId="1DEDD1EB" w14:textId="77777777" w:rsidR="00802BA9" w:rsidRDefault="00802BA9" w:rsidP="00711F10">
      <w:pPr>
        <w:spacing w:before="120" w:after="120" w:line="240" w:lineRule="auto"/>
        <w:rPr>
          <w:rFonts w:ascii="Arial" w:hAnsi="Arial" w:cs="Arial"/>
          <w:sz w:val="20"/>
          <w:szCs w:val="20"/>
          <w:lang w:val="fr-FR"/>
        </w:rPr>
      </w:pPr>
      <w:r w:rsidRPr="00711F10">
        <w:rPr>
          <w:rFonts w:ascii="Arial" w:hAnsi="Arial" w:cs="Arial"/>
          <w:sz w:val="20"/>
          <w:szCs w:val="20"/>
          <w:lang w:val="fr-FR"/>
        </w:rPr>
        <w:t xml:space="preserve">De façon générale, cette législation est peu observée/appliquée/mise en </w:t>
      </w:r>
      <w:r w:rsidR="000F5DAB" w:rsidRPr="00711F10">
        <w:rPr>
          <w:rFonts w:ascii="Arial" w:hAnsi="Arial" w:cs="Arial"/>
          <w:sz w:val="20"/>
          <w:szCs w:val="20"/>
          <w:lang w:val="fr-FR"/>
        </w:rPr>
        <w:t>œuvre</w:t>
      </w:r>
      <w:r w:rsidRPr="00711F10">
        <w:rPr>
          <w:rFonts w:ascii="Arial" w:hAnsi="Arial" w:cs="Arial"/>
          <w:sz w:val="20"/>
          <w:szCs w:val="20"/>
          <w:lang w:val="fr-FR"/>
        </w:rPr>
        <w:t>. Le pays subit les pollutions et nuisances, l’exploitation illégale de bois, est submergé par les plastiques, etc. Outre le manque de moyens humains, techniques et financiers pour le suivi/contrôle, la faible application reste liée à i) la faible connaissance de la législation environnementale, ii) la volonté politique de verbaliser. Dans le cas spécifique de l’EIES, il apparait i) une connaissance très moyenne du décret par les acteurs du niveau opérationnel comme les services techniques aux niveaux régional et local, les communes, les entreprises, ii) un arbitrage au sein des mesures mentionnées dans le PGES qui se fait parfois au détriment des mesures environnementales, iii) une faible connaissance / appropriation par les acteurs concernés des mesures environnementales et sociales proposées dans les PGES.</w:t>
      </w:r>
    </w:p>
    <w:p w14:paraId="479AE6E8" w14:textId="77777777" w:rsidR="00500D2D" w:rsidRPr="00711F10" w:rsidRDefault="00500D2D" w:rsidP="00711F10">
      <w:pPr>
        <w:spacing w:before="120" w:after="120" w:line="240" w:lineRule="auto"/>
        <w:rPr>
          <w:rFonts w:ascii="Arial" w:hAnsi="Arial" w:cs="Arial"/>
          <w:sz w:val="20"/>
          <w:szCs w:val="20"/>
          <w:lang w:val="fr-FR"/>
        </w:rPr>
      </w:pPr>
    </w:p>
    <w:p w14:paraId="1C993783" w14:textId="77777777" w:rsidR="00802BA9" w:rsidRPr="00711F10" w:rsidRDefault="00802BA9" w:rsidP="00525222">
      <w:pPr>
        <w:pStyle w:val="Titre3"/>
      </w:pPr>
      <w:bookmarkStart w:id="42" w:name="_Toc20505644"/>
      <w:r w:rsidRPr="00711F10">
        <w:t>3.1.4 La place accordée à l’approche participative dans la rédaction et la mise en œuvre des politiques, stratégies et plans d’actions dans le domaine de la protection de l’environnement</w:t>
      </w:r>
      <w:bookmarkEnd w:id="42"/>
    </w:p>
    <w:p w14:paraId="3CF35F47" w14:textId="77777777" w:rsidR="00802BA9" w:rsidRPr="00711F10" w:rsidRDefault="00802BA9" w:rsidP="00711F10">
      <w:pPr>
        <w:spacing w:before="120" w:after="120" w:line="240" w:lineRule="auto"/>
        <w:rPr>
          <w:rFonts w:ascii="Arial" w:hAnsi="Arial" w:cs="Arial"/>
          <w:sz w:val="20"/>
          <w:szCs w:val="20"/>
          <w:lang w:val="fr-FR"/>
        </w:rPr>
      </w:pPr>
      <w:r w:rsidRPr="00711F10">
        <w:rPr>
          <w:rFonts w:ascii="Arial" w:hAnsi="Arial" w:cs="Arial"/>
          <w:sz w:val="20"/>
          <w:szCs w:val="20"/>
          <w:lang w:val="fr-FR"/>
        </w:rPr>
        <w:t>La participation du public est une vraie volonté et un principe clé du G</w:t>
      </w:r>
      <w:r w:rsidR="006E6D21" w:rsidRPr="00711F10">
        <w:rPr>
          <w:rFonts w:ascii="Arial" w:hAnsi="Arial" w:cs="Arial"/>
          <w:sz w:val="20"/>
          <w:szCs w:val="20"/>
          <w:lang w:val="fr-FR"/>
        </w:rPr>
        <w:t xml:space="preserve">ouvernement du </w:t>
      </w:r>
      <w:r w:rsidRPr="00711F10">
        <w:rPr>
          <w:rFonts w:ascii="Arial" w:hAnsi="Arial" w:cs="Arial"/>
          <w:sz w:val="20"/>
          <w:szCs w:val="20"/>
          <w:lang w:val="fr-FR"/>
        </w:rPr>
        <w:t>M</w:t>
      </w:r>
      <w:r w:rsidR="006E6D21" w:rsidRPr="00711F10">
        <w:rPr>
          <w:rFonts w:ascii="Arial" w:hAnsi="Arial" w:cs="Arial"/>
          <w:sz w:val="20"/>
          <w:szCs w:val="20"/>
          <w:lang w:val="fr-FR"/>
        </w:rPr>
        <w:t>ali</w:t>
      </w:r>
      <w:r w:rsidRPr="00711F10">
        <w:rPr>
          <w:rFonts w:ascii="Arial" w:hAnsi="Arial" w:cs="Arial"/>
          <w:sz w:val="20"/>
          <w:szCs w:val="20"/>
          <w:lang w:val="fr-FR"/>
        </w:rPr>
        <w:t>. Ce principe est à l’origine de la constitution des collectivités territoriales. La population participe activement au niveau local à l’élaboration et à la mise en œuvre du Programme de Développement Social, Economique et Culturel (PDSEC) et au Plan Communal d’Action Environnementale (PCAE), là où cela existe. La société civile participe également à la mobilisation des ressources financières et à l’élaboration des conventions locales. Il existe des cadres de concertation, notamment l</w:t>
      </w:r>
      <w:r w:rsidR="00B53D8C">
        <w:rPr>
          <w:rFonts w:ascii="Arial" w:hAnsi="Arial" w:cs="Arial"/>
          <w:sz w:val="20"/>
          <w:szCs w:val="20"/>
          <w:lang w:val="fr-FR"/>
        </w:rPr>
        <w:t>e Conseil</w:t>
      </w:r>
      <w:r w:rsidRPr="00711F10">
        <w:rPr>
          <w:rFonts w:ascii="Arial" w:hAnsi="Arial" w:cs="Arial"/>
          <w:sz w:val="20"/>
          <w:szCs w:val="20"/>
          <w:lang w:val="fr-FR"/>
        </w:rPr>
        <w:t xml:space="preserve"> National de l’Environnement (CNE) et son Comité National des Changement Climatique (CNCC), qui permettent à la société civile de prendre part à l’élaboration et à la mise en œuvre des politiques et des stratégies dans le domaine de l’environnement au niveau national. La société civile est systématiquement associée à tous les niveaux à l’élaboration des grandes politiques nationales comme le CREDD ou, plus récemment, la priorisation des ODD. Les autorités administratives et politiques consultent, a priori, les principaux acteurs avant toute prise de décision pour que les populations expriment leurs préoccupations en matière d’environnement. L’arrêté interministériel N°2013-0258/MEA-MATDAT-SG du 29 janvier 2013 fixe les modalités de la consultation publique en matière d’EIES. L’information, la consultation publique et la concertation sont les activités clés de la participation du public pendant les EIES. </w:t>
      </w:r>
    </w:p>
    <w:p w14:paraId="5F9AF398" w14:textId="77777777" w:rsidR="00802BA9" w:rsidRDefault="00802BA9" w:rsidP="00711F10">
      <w:pPr>
        <w:spacing w:before="120" w:after="120" w:line="240" w:lineRule="auto"/>
        <w:rPr>
          <w:rFonts w:ascii="Arial" w:hAnsi="Arial" w:cs="Arial"/>
          <w:sz w:val="20"/>
          <w:szCs w:val="20"/>
          <w:lang w:val="fr-FR"/>
        </w:rPr>
      </w:pPr>
      <w:r w:rsidRPr="00711F10">
        <w:rPr>
          <w:rFonts w:ascii="Arial" w:hAnsi="Arial" w:cs="Arial"/>
          <w:sz w:val="20"/>
          <w:szCs w:val="20"/>
          <w:lang w:val="fr-FR"/>
        </w:rPr>
        <w:t>Néanmoins, il existe encore certaines insuffisances : (i) le public ne participe que partiellement aux décisions politiques nationales, le mandat d</w:t>
      </w:r>
      <w:r w:rsidR="00B53D8C">
        <w:rPr>
          <w:rFonts w:ascii="Arial" w:hAnsi="Arial" w:cs="Arial"/>
          <w:sz w:val="20"/>
          <w:szCs w:val="20"/>
          <w:lang w:val="fr-FR"/>
        </w:rPr>
        <w:t>u</w:t>
      </w:r>
      <w:r w:rsidRPr="00711F10">
        <w:rPr>
          <w:rFonts w:ascii="Arial" w:hAnsi="Arial" w:cs="Arial"/>
          <w:sz w:val="20"/>
          <w:szCs w:val="20"/>
          <w:lang w:val="fr-FR"/>
        </w:rPr>
        <w:t xml:space="preserve"> CNE est consultatif ; (ii) au niveau local, les documents nécessaire pour suivre les EIES et les PGES sont souvent absents ; (iii)  le public est associé au suivi et au contrôle uniquement comme informant pour les services techniques, (iv) la transparence et la participation publique à quelques décisions stratégiques du pays, notamment l’attribution des concessions et des grands périmètres irrigués, restent très limitées aux procédures des EIES et (v) la grande responsabilité accordée aux populations pour la mise en œuvre des actions environnementales n’est pas accompagnée d’un transfert suffisant de ressources nécessaires (financières, appui technique).</w:t>
      </w:r>
    </w:p>
    <w:p w14:paraId="567FEF06" w14:textId="77777777" w:rsidR="00500D2D" w:rsidRPr="00711F10" w:rsidRDefault="00500D2D" w:rsidP="00711F10">
      <w:pPr>
        <w:spacing w:before="120" w:after="120" w:line="240" w:lineRule="auto"/>
        <w:rPr>
          <w:rFonts w:ascii="Arial" w:hAnsi="Arial" w:cs="Arial"/>
          <w:sz w:val="20"/>
          <w:szCs w:val="20"/>
          <w:lang w:val="fr-FR"/>
        </w:rPr>
      </w:pPr>
    </w:p>
    <w:p w14:paraId="0501AD19" w14:textId="77777777" w:rsidR="00802BA9" w:rsidRPr="00711F10" w:rsidRDefault="00802BA9" w:rsidP="00525222">
      <w:pPr>
        <w:pStyle w:val="Titre3"/>
      </w:pPr>
      <w:bookmarkStart w:id="43" w:name="_Toc20505645"/>
      <w:r w:rsidRPr="00711F10">
        <w:t>3.1.5 La décentralisation des thématiques liées à l’environnement et le transfert des compétences aux collectivités territoriales</w:t>
      </w:r>
      <w:bookmarkEnd w:id="43"/>
    </w:p>
    <w:p w14:paraId="2C5A4B7C" w14:textId="77777777" w:rsidR="00802BA9" w:rsidRPr="00500D2D" w:rsidRDefault="00802BA9" w:rsidP="00500D2D">
      <w:pPr>
        <w:autoSpaceDE w:val="0"/>
        <w:autoSpaceDN w:val="0"/>
        <w:adjustRightInd w:val="0"/>
        <w:spacing w:before="120" w:after="120" w:line="240" w:lineRule="auto"/>
        <w:rPr>
          <w:rFonts w:ascii="Arial" w:eastAsiaTheme="minorHAnsi" w:hAnsi="Arial" w:cs="Arial"/>
          <w:sz w:val="20"/>
          <w:szCs w:val="20"/>
          <w:lang w:val="fr-FR"/>
        </w:rPr>
      </w:pPr>
      <w:r w:rsidRPr="00711F10">
        <w:rPr>
          <w:rFonts w:ascii="Arial" w:eastAsiaTheme="minorHAnsi" w:hAnsi="Arial" w:cs="Arial"/>
          <w:sz w:val="20"/>
          <w:szCs w:val="20"/>
          <w:lang w:val="fr-FR"/>
        </w:rPr>
        <w:t xml:space="preserve">La loi promulguant les conditions de l'autonomie des collectivités territoriales a été révisée en 2017. En vertu de cette loi, l'autorité locale exécute les tâches de conception, de planification, de mise en œuvre, de suivi et d'évaluation pour les projets de développement économique, social et culturel d'intérêt régional ou local. Le décret N°2018 – 0079/P-PM du 29 janvier 2018 concerne le détail des compétences de l’Etat transférées aux collectivités territoriales en matière de gestion des ressources forestières et fauniques. Conformément aux </w:t>
      </w:r>
      <w:r w:rsidRPr="00711F10">
        <w:rPr>
          <w:rFonts w:ascii="Arial" w:eastAsiaTheme="minorHAnsi" w:hAnsi="Arial" w:cs="Arial"/>
          <w:sz w:val="20"/>
          <w:szCs w:val="20"/>
          <w:lang w:val="fr-FR"/>
        </w:rPr>
        <w:lastRenderedPageBreak/>
        <w:t xml:space="preserve">décrets de transferts, les services de l'éducation, de la santé, de l'élevage et de la pêche ont transféré des ressources financières. Ce qui n’est pas le cas d'autres secteurs. </w:t>
      </w:r>
    </w:p>
    <w:p w14:paraId="1F0E9EC1" w14:textId="77777777" w:rsidR="00802BA9" w:rsidRDefault="004042AF" w:rsidP="00711F10">
      <w:pPr>
        <w:spacing w:before="120" w:after="120" w:line="240" w:lineRule="auto"/>
        <w:ind w:right="-46"/>
        <w:rPr>
          <w:rFonts w:ascii="Arial" w:hAnsi="Arial" w:cs="Arial"/>
          <w:sz w:val="20"/>
          <w:szCs w:val="20"/>
          <w:lang w:val="fr-FR"/>
        </w:rPr>
      </w:pPr>
      <w:r w:rsidRPr="00B84254">
        <w:rPr>
          <w:rFonts w:ascii="Arial" w:hAnsi="Arial" w:cs="Arial"/>
          <w:sz w:val="20"/>
          <w:szCs w:val="20"/>
          <w:lang w:val="fr-FR"/>
        </w:rPr>
        <w:t>Selon l</w:t>
      </w:r>
      <w:r w:rsidR="00802BA9" w:rsidRPr="00B84254">
        <w:rPr>
          <w:rFonts w:ascii="Arial" w:hAnsi="Arial" w:cs="Arial"/>
          <w:sz w:val="20"/>
          <w:szCs w:val="20"/>
          <w:lang w:val="fr-FR"/>
        </w:rPr>
        <w:t>e code des collectivités territoriales de 20</w:t>
      </w:r>
      <w:r w:rsidRPr="00B84254">
        <w:rPr>
          <w:rFonts w:ascii="Arial" w:hAnsi="Arial" w:cs="Arial"/>
          <w:sz w:val="20"/>
          <w:szCs w:val="20"/>
          <w:lang w:val="fr-FR"/>
        </w:rPr>
        <w:t>17</w:t>
      </w:r>
      <w:r w:rsidR="00802BA9" w:rsidRPr="00B84254">
        <w:rPr>
          <w:rFonts w:ascii="Arial" w:hAnsi="Arial" w:cs="Arial"/>
          <w:sz w:val="20"/>
          <w:szCs w:val="20"/>
          <w:lang w:val="fr-FR"/>
        </w:rPr>
        <w:t xml:space="preserve"> </w:t>
      </w:r>
      <w:r w:rsidRPr="00B84254">
        <w:rPr>
          <w:rFonts w:ascii="Arial" w:hAnsi="Arial" w:cs="Arial"/>
          <w:sz w:val="20"/>
          <w:szCs w:val="20"/>
          <w:lang w:val="fr-FR"/>
        </w:rPr>
        <w:t>les rôles et</w:t>
      </w:r>
      <w:r w:rsidR="00802BA9" w:rsidRPr="00B84254">
        <w:rPr>
          <w:rFonts w:ascii="Arial" w:hAnsi="Arial" w:cs="Arial"/>
          <w:sz w:val="20"/>
          <w:szCs w:val="20"/>
          <w:lang w:val="fr-FR"/>
        </w:rPr>
        <w:t xml:space="preserve"> responsabilité</w:t>
      </w:r>
      <w:r w:rsidRPr="00B84254">
        <w:rPr>
          <w:rFonts w:ascii="Arial" w:hAnsi="Arial" w:cs="Arial"/>
          <w:sz w:val="20"/>
          <w:szCs w:val="20"/>
          <w:lang w:val="fr-FR"/>
        </w:rPr>
        <w:t>s</w:t>
      </w:r>
      <w:r w:rsidR="00802BA9" w:rsidRPr="00B84254">
        <w:rPr>
          <w:rFonts w:ascii="Arial" w:hAnsi="Arial" w:cs="Arial"/>
          <w:sz w:val="20"/>
          <w:szCs w:val="20"/>
          <w:lang w:val="fr-FR"/>
        </w:rPr>
        <w:t xml:space="preserve"> </w:t>
      </w:r>
      <w:r w:rsidRPr="00B84254">
        <w:rPr>
          <w:rFonts w:ascii="Arial" w:hAnsi="Arial" w:cs="Arial"/>
          <w:sz w:val="20"/>
          <w:szCs w:val="20"/>
          <w:lang w:val="fr-FR"/>
        </w:rPr>
        <w:t>des</w:t>
      </w:r>
      <w:r w:rsidR="00802BA9" w:rsidRPr="00B84254">
        <w:rPr>
          <w:rFonts w:ascii="Arial" w:hAnsi="Arial" w:cs="Arial"/>
          <w:sz w:val="20"/>
          <w:szCs w:val="20"/>
          <w:lang w:val="fr-FR"/>
        </w:rPr>
        <w:t xml:space="preserve"> collectivités territoriales en matière de gestion environnementale</w:t>
      </w:r>
      <w:r w:rsidRPr="00B84254">
        <w:rPr>
          <w:rFonts w:ascii="Arial" w:hAnsi="Arial" w:cs="Arial"/>
          <w:sz w:val="20"/>
          <w:szCs w:val="20"/>
          <w:lang w:val="fr-FR"/>
        </w:rPr>
        <w:t xml:space="preserve"> se sont élargies. Le Code aborde les questions liées</w:t>
      </w:r>
      <w:r w:rsidR="00802BA9" w:rsidRPr="00B84254">
        <w:rPr>
          <w:rFonts w:ascii="Arial" w:hAnsi="Arial" w:cs="Arial"/>
          <w:sz w:val="20"/>
          <w:szCs w:val="20"/>
          <w:lang w:val="fr-FR"/>
        </w:rPr>
        <w:t xml:space="preserve"> à la gestion domaniale et foncière, la création et la gestion des équipements collectifs, les plans d’occupation et d’aménagement. Parmi </w:t>
      </w:r>
      <w:r w:rsidRPr="00B84254">
        <w:rPr>
          <w:rFonts w:ascii="Arial" w:hAnsi="Arial" w:cs="Arial"/>
          <w:sz w:val="20"/>
          <w:szCs w:val="20"/>
          <w:lang w:val="fr-FR"/>
        </w:rPr>
        <w:t>ces derniers, on peut citer le Plan Communal d’Action E</w:t>
      </w:r>
      <w:r w:rsidR="00802BA9" w:rsidRPr="00B84254">
        <w:rPr>
          <w:rFonts w:ascii="Arial" w:hAnsi="Arial" w:cs="Arial"/>
          <w:sz w:val="20"/>
          <w:szCs w:val="20"/>
          <w:lang w:val="fr-FR"/>
        </w:rPr>
        <w:t>nvironnementale (PCAE), qui est un élément constitutif du Plan de Développement Communal Economique Social et Culturel (PDESC) et constitue un cadre privilégié des préoccupations environnementales. Il accorde une place prioritaire à la planification concertée de l’espace (incluant les besoins de la protection de l’environnement dans les Schémas d’Aménagement Territoriaux) et un transfert du mandat de contrôle ou la cogestion de ce mandat avec les services techniques.</w:t>
      </w:r>
      <w:r w:rsidR="00802BA9" w:rsidRPr="00B84254">
        <w:rPr>
          <w:rFonts w:ascii="Arial" w:eastAsia="Calibri" w:hAnsi="Arial" w:cs="Arial"/>
          <w:sz w:val="20"/>
          <w:szCs w:val="20"/>
          <w:lang w:eastAsia="fr-FR"/>
        </w:rPr>
        <w:t xml:space="preserve"> </w:t>
      </w:r>
      <w:r w:rsidR="00802BA9" w:rsidRPr="00B84254">
        <w:rPr>
          <w:rFonts w:ascii="Arial" w:hAnsi="Arial" w:cs="Arial"/>
          <w:sz w:val="20"/>
          <w:szCs w:val="20"/>
          <w:lang w:val="fr-FR"/>
        </w:rPr>
        <w:t>Malgré des avancés en matière d’élaboration des SAT et PDESC (3</w:t>
      </w:r>
      <w:r w:rsidR="00802BA9" w:rsidRPr="00B84254">
        <w:rPr>
          <w:rFonts w:ascii="Arial" w:hAnsi="Arial" w:cs="Arial"/>
          <w:sz w:val="20"/>
          <w:szCs w:val="20"/>
          <w:vertAlign w:val="superscript"/>
          <w:lang w:val="fr-FR"/>
        </w:rPr>
        <w:t>ème</w:t>
      </w:r>
      <w:r w:rsidR="00802BA9" w:rsidRPr="00B84254">
        <w:rPr>
          <w:rFonts w:ascii="Arial" w:hAnsi="Arial" w:cs="Arial"/>
          <w:sz w:val="20"/>
          <w:szCs w:val="20"/>
          <w:lang w:val="fr-FR"/>
        </w:rPr>
        <w:t xml:space="preserve"> génération) / PCAE, la gestion environnementale locale connait de</w:t>
      </w:r>
      <w:r w:rsidR="00D1703E" w:rsidRPr="00B84254">
        <w:rPr>
          <w:rFonts w:ascii="Arial" w:hAnsi="Arial" w:cs="Arial"/>
          <w:sz w:val="20"/>
          <w:szCs w:val="20"/>
          <w:lang w:val="fr-FR"/>
        </w:rPr>
        <w:t>s</w:t>
      </w:r>
      <w:r w:rsidR="00802BA9" w:rsidRPr="00B84254">
        <w:rPr>
          <w:rFonts w:ascii="Arial" w:hAnsi="Arial" w:cs="Arial"/>
          <w:sz w:val="20"/>
          <w:szCs w:val="20"/>
          <w:lang w:val="fr-FR"/>
        </w:rPr>
        <w:t xml:space="preserve"> problèmes importants : la plupart des élus ne connaissent pas la législation liée</w:t>
      </w:r>
      <w:r w:rsidR="000F5DAB" w:rsidRPr="00B84254">
        <w:rPr>
          <w:rFonts w:ascii="Arial" w:hAnsi="Arial" w:cs="Arial"/>
          <w:sz w:val="20"/>
          <w:szCs w:val="20"/>
          <w:lang w:val="fr-FR"/>
        </w:rPr>
        <w:t xml:space="preserve"> à l’environnement (annexe 7.2.3</w:t>
      </w:r>
      <w:r w:rsidR="00802BA9" w:rsidRPr="00B84254">
        <w:rPr>
          <w:rFonts w:ascii="Arial" w:hAnsi="Arial" w:cs="Arial"/>
          <w:sz w:val="20"/>
          <w:szCs w:val="20"/>
          <w:lang w:val="fr-FR"/>
        </w:rPr>
        <w:t>) et ils ont rarement les compétences et</w:t>
      </w:r>
      <w:r w:rsidR="00802BA9" w:rsidRPr="00711F10">
        <w:rPr>
          <w:rFonts w:ascii="Arial" w:hAnsi="Arial" w:cs="Arial"/>
          <w:sz w:val="20"/>
          <w:szCs w:val="20"/>
          <w:lang w:val="fr-FR"/>
        </w:rPr>
        <w:t xml:space="preserve"> surtout pas les moyens financiers pour mettre en œuvre PDESC et/ou PCAE là où ils existent. L’aspect financier est prépondérant. Malgré des opportunités favorables aux investissements environnementaux des communes à travers l’appui de l’ANICT (participation des communes réduite de 20 à 3 % pour les investissements environnementaux), celles-ci sont rarement connues et utilisées par les communes. Quand dans une commune, il faut s’occuper de développer l’accès à l’eau potable, l’éducation, la santé, etc., le traitement des déchets et les mesures environnementales, créant des bénéfices en général peu visibles à court terme, deviennent secondaires. Le transfert de compétences de gestion des ressources naturelles est une chance de responsabilisation des communes, mais aussi un risque assez élevé « d’utiliser » les ressources naturelles pour alimenter le budget des communes à court terme, toujours très déficitaire. Un bon encadrement des communes et du processus est nécessaire pour éviter les mauvaises expériences déjà vécues tels les marchés ruraux. Enfin il faut noter aussi, que la commune hésite à dresser des procès-verbaux, le contrôle et la sanction n’étant pas dans la culture des élus.</w:t>
      </w:r>
    </w:p>
    <w:p w14:paraId="0EED0944" w14:textId="77777777" w:rsidR="00500D2D" w:rsidRPr="00711F10" w:rsidRDefault="00500D2D" w:rsidP="00711F10">
      <w:pPr>
        <w:spacing w:before="120" w:after="120" w:line="240" w:lineRule="auto"/>
        <w:ind w:right="-46"/>
        <w:rPr>
          <w:rFonts w:ascii="Arial" w:hAnsi="Arial" w:cs="Arial"/>
          <w:sz w:val="20"/>
          <w:szCs w:val="20"/>
          <w:lang w:val="fr-FR"/>
        </w:rPr>
      </w:pPr>
    </w:p>
    <w:p w14:paraId="36891D31" w14:textId="77777777" w:rsidR="00802BA9" w:rsidRPr="00711F10" w:rsidRDefault="00802BA9" w:rsidP="00525222">
      <w:pPr>
        <w:pStyle w:val="Titre3"/>
      </w:pPr>
      <w:bookmarkStart w:id="44" w:name="_Toc20505646"/>
      <w:r w:rsidRPr="00711F10">
        <w:t>3.1.6 La situation du Mali au regard des principales conventions et alliances internationales et régionales</w:t>
      </w:r>
      <w:bookmarkEnd w:id="44"/>
      <w:r w:rsidRPr="00711F10">
        <w:t xml:space="preserve"> </w:t>
      </w:r>
    </w:p>
    <w:p w14:paraId="4531B013" w14:textId="77777777" w:rsidR="00802BA9" w:rsidRPr="00500D2D" w:rsidRDefault="00802BA9" w:rsidP="00500D2D">
      <w:pPr>
        <w:autoSpaceDE w:val="0"/>
        <w:autoSpaceDN w:val="0"/>
        <w:adjustRightInd w:val="0"/>
        <w:spacing w:before="120" w:after="120" w:line="240" w:lineRule="auto"/>
        <w:rPr>
          <w:rFonts w:ascii="Arial" w:hAnsi="Arial" w:cs="Arial"/>
          <w:sz w:val="20"/>
          <w:szCs w:val="20"/>
          <w:lang w:val="fr-FR"/>
        </w:rPr>
      </w:pPr>
      <w:r w:rsidRPr="00711F10">
        <w:rPr>
          <w:rFonts w:ascii="Arial" w:hAnsi="Arial" w:cs="Arial"/>
          <w:sz w:val="20"/>
          <w:szCs w:val="20"/>
          <w:lang w:val="fr-FR"/>
        </w:rPr>
        <w:t>Le Mali a ratifié la majorité des Accords Multilatéraux sur l’Environnement ou AME (</w:t>
      </w:r>
      <w:r w:rsidR="00153352" w:rsidRPr="00711F10">
        <w:rPr>
          <w:rFonts w:ascii="Arial" w:hAnsi="Arial" w:cs="Arial"/>
          <w:sz w:val="20"/>
          <w:szCs w:val="20"/>
          <w:lang w:val="fr-FR"/>
        </w:rPr>
        <w:t>§</w:t>
      </w:r>
      <w:r w:rsidRPr="00711F10">
        <w:rPr>
          <w:rFonts w:ascii="Arial" w:hAnsi="Arial" w:cs="Arial"/>
          <w:sz w:val="20"/>
          <w:szCs w:val="20"/>
          <w:lang w:val="fr-FR"/>
        </w:rPr>
        <w:t xml:space="preserve"> 7.2.2), notamment : i) la Convention Cadre des Nations Unies sur les Changements Climatiques (CCNUCC) le 28/12/ 1994 ii) la Convention internationale sur la Diversité Biologique le 29/09/1995, iii) la Convention des Nations Unies sur la Lutte Cont</w:t>
      </w:r>
      <w:r w:rsidRPr="00B84254">
        <w:rPr>
          <w:rFonts w:ascii="Arial" w:hAnsi="Arial" w:cs="Arial"/>
          <w:sz w:val="20"/>
          <w:szCs w:val="20"/>
          <w:lang w:val="fr-FR"/>
        </w:rPr>
        <w:t xml:space="preserve">re la Désertification (CNULCD) le 31 octobre 1995, iv) l’élaboration de la Communication Nationale Initiale en 2000, v) le Protocole de Kyoto le 28/03/ 2002. Récemment, il a ratifié i) l’amendement de Doha au protocole de Kyoto 12/2015, ii) la convention de Minamata sur le mercure le 17/05/2016, iii) l’accord de Paris sur le climat le </w:t>
      </w:r>
      <w:r w:rsidR="00D1703E" w:rsidRPr="00B84254">
        <w:rPr>
          <w:rFonts w:ascii="Arial" w:hAnsi="Arial" w:cs="Arial"/>
          <w:sz w:val="20"/>
          <w:szCs w:val="20"/>
          <w:lang w:val="fr-FR"/>
        </w:rPr>
        <w:t>23/09/2016 et l’élaboration de la Contribution Déterminée Nationale (CDN)</w:t>
      </w:r>
      <w:r w:rsidRPr="00B84254">
        <w:rPr>
          <w:rFonts w:ascii="Arial" w:hAnsi="Arial" w:cs="Arial"/>
          <w:sz w:val="20"/>
          <w:szCs w:val="20"/>
          <w:lang w:val="fr-FR"/>
        </w:rPr>
        <w:t>, iv) l’amendement de Kigali au protocole de Montréal relatif aux substances qui appauvrissent la couche d’ozone le 31/</w:t>
      </w:r>
      <w:r w:rsidRPr="00711F10">
        <w:rPr>
          <w:rFonts w:ascii="Arial" w:hAnsi="Arial" w:cs="Arial"/>
          <w:sz w:val="20"/>
          <w:szCs w:val="20"/>
          <w:lang w:val="fr-FR"/>
        </w:rPr>
        <w:t xml:space="preserve">03/2017 </w:t>
      </w:r>
      <w:r w:rsidRPr="00711F10">
        <w:rPr>
          <w:rFonts w:ascii="Arial" w:eastAsia="Calibri" w:hAnsi="Arial" w:cs="Arial"/>
          <w:sz w:val="20"/>
          <w:szCs w:val="20"/>
          <w:lang w:val="fr-FR" w:eastAsia="fr-FR"/>
        </w:rPr>
        <w:t xml:space="preserve">De même, le pays participe activement aux COP avec, pour les plus récentes, </w:t>
      </w:r>
      <w:r w:rsidR="00A748BB">
        <w:rPr>
          <w:rFonts w:ascii="Arial" w:eastAsia="Calibri" w:hAnsi="Arial" w:cs="Arial"/>
          <w:sz w:val="20"/>
          <w:szCs w:val="20"/>
          <w:lang w:val="fr-FR" w:eastAsia="fr-FR"/>
        </w:rPr>
        <w:t>la 24</w:t>
      </w:r>
      <w:r w:rsidR="00A748BB" w:rsidRPr="00A748BB">
        <w:rPr>
          <w:rFonts w:ascii="Arial" w:eastAsia="Calibri" w:hAnsi="Arial" w:cs="Arial"/>
          <w:sz w:val="20"/>
          <w:szCs w:val="20"/>
          <w:vertAlign w:val="superscript"/>
          <w:lang w:val="fr-FR" w:eastAsia="fr-FR"/>
        </w:rPr>
        <w:t>ème</w:t>
      </w:r>
      <w:r w:rsidR="00A748BB">
        <w:rPr>
          <w:rFonts w:ascii="Arial" w:eastAsia="Calibri" w:hAnsi="Arial" w:cs="Arial"/>
          <w:sz w:val="20"/>
          <w:szCs w:val="20"/>
          <w:lang w:val="fr-FR" w:eastAsia="fr-FR"/>
        </w:rPr>
        <w:t xml:space="preserve"> COP de la CCNUCC à Katowice en décembre 2018, </w:t>
      </w:r>
      <w:r w:rsidRPr="00711F10">
        <w:rPr>
          <w:rFonts w:ascii="Arial" w:eastAsia="Calibri" w:hAnsi="Arial" w:cs="Arial"/>
          <w:sz w:val="20"/>
          <w:szCs w:val="20"/>
          <w:lang w:val="fr-FR" w:eastAsia="fr-FR"/>
        </w:rPr>
        <w:t>la 13</w:t>
      </w:r>
      <w:r w:rsidRPr="00711F10">
        <w:rPr>
          <w:rFonts w:ascii="Arial" w:eastAsia="Calibri" w:hAnsi="Arial" w:cs="Arial"/>
          <w:sz w:val="20"/>
          <w:szCs w:val="20"/>
          <w:vertAlign w:val="superscript"/>
          <w:lang w:val="fr-FR" w:eastAsia="fr-FR"/>
        </w:rPr>
        <w:t>ème</w:t>
      </w:r>
      <w:r w:rsidRPr="00711F10">
        <w:rPr>
          <w:rFonts w:ascii="Arial" w:eastAsia="Calibri" w:hAnsi="Arial" w:cs="Arial"/>
          <w:sz w:val="20"/>
          <w:szCs w:val="20"/>
          <w:lang w:val="fr-FR" w:eastAsia="fr-FR"/>
        </w:rPr>
        <w:t xml:space="preserve"> COP CCNULCD à Ordos en Chine en septembre 2017, la 23</w:t>
      </w:r>
      <w:r w:rsidRPr="00711F10">
        <w:rPr>
          <w:rFonts w:ascii="Arial" w:eastAsia="Calibri" w:hAnsi="Arial" w:cs="Arial"/>
          <w:sz w:val="20"/>
          <w:szCs w:val="20"/>
          <w:vertAlign w:val="superscript"/>
          <w:lang w:val="fr-FR" w:eastAsia="fr-FR"/>
        </w:rPr>
        <w:t>ème</w:t>
      </w:r>
      <w:r w:rsidRPr="00711F10">
        <w:rPr>
          <w:rFonts w:ascii="Arial" w:eastAsia="Calibri" w:hAnsi="Arial" w:cs="Arial"/>
          <w:sz w:val="20"/>
          <w:szCs w:val="20"/>
          <w:lang w:val="fr-FR" w:eastAsia="fr-FR"/>
        </w:rPr>
        <w:t xml:space="preserve"> conférence de la CCNUCC à Bonn en novembre 2017. </w:t>
      </w:r>
      <w:r w:rsidRPr="00711F10">
        <w:rPr>
          <w:rFonts w:ascii="Arial" w:hAnsi="Arial" w:cs="Arial"/>
          <w:sz w:val="20"/>
          <w:szCs w:val="20"/>
          <w:lang w:val="fr-FR"/>
        </w:rPr>
        <w:t>Les AME (conventions, accords et traités) sont gérés par plusieurs structures focales, coordonnés par l’AEDD, et intégrés dans les politiques et stratégies nationales.</w:t>
      </w:r>
    </w:p>
    <w:p w14:paraId="1E3CA97D" w14:textId="77777777" w:rsidR="00802BA9" w:rsidRPr="00711F10" w:rsidRDefault="00802BA9" w:rsidP="00711F10">
      <w:pPr>
        <w:spacing w:before="120" w:after="120" w:line="240" w:lineRule="auto"/>
        <w:rPr>
          <w:rFonts w:ascii="Arial" w:hAnsi="Arial" w:cs="Arial"/>
          <w:sz w:val="20"/>
          <w:szCs w:val="20"/>
          <w:lang w:val="fr-FR" w:eastAsia="fr-FR"/>
        </w:rPr>
      </w:pPr>
      <w:r w:rsidRPr="00711F10">
        <w:rPr>
          <w:rFonts w:ascii="Arial" w:hAnsi="Arial" w:cs="Arial"/>
          <w:sz w:val="20"/>
          <w:szCs w:val="20"/>
          <w:lang w:val="fr-FR" w:eastAsia="fr-FR"/>
        </w:rPr>
        <w:t xml:space="preserve">Le Mali fait partie, depuis le lancement en décembre 2012, de l’Alliance Globale pour la Résilience (AGIR) – Sahel et Afrique de l’Ouest. L’objectif d’AGIR est de « réduire structurellement et de manière durable la vulnérabilité alimentaire et nutritionnelle en accompagnant la mise en œuvre des politiques sahéliennes et ouest-africaines ». Notamment, le pilier 3 d’AGIR vise à « améliorer durablement la productivité agricole ». </w:t>
      </w:r>
    </w:p>
    <w:p w14:paraId="183ED90F" w14:textId="77777777" w:rsidR="00802BA9" w:rsidRPr="00711F10" w:rsidRDefault="00802BA9" w:rsidP="00711F10">
      <w:pPr>
        <w:spacing w:before="120" w:after="120" w:line="240" w:lineRule="auto"/>
        <w:rPr>
          <w:rFonts w:ascii="Arial" w:hAnsi="Arial" w:cs="Arial"/>
          <w:sz w:val="20"/>
          <w:szCs w:val="20"/>
          <w:lang w:val="fr-FR"/>
        </w:rPr>
      </w:pPr>
      <w:r w:rsidRPr="00711F10">
        <w:rPr>
          <w:rFonts w:ascii="Arial" w:hAnsi="Arial" w:cs="Arial"/>
          <w:sz w:val="20"/>
          <w:szCs w:val="20"/>
          <w:lang w:val="fr-FR" w:eastAsia="fr-FR"/>
        </w:rPr>
        <w:t xml:space="preserve">Par ailleurs, dans le cadre des bassins hydrographiques transfrontaliers et de la préservation des zones humides, le Mali est membre des </w:t>
      </w:r>
      <w:r w:rsidRPr="00711F10">
        <w:rPr>
          <w:rFonts w:ascii="Arial" w:hAnsi="Arial" w:cs="Arial"/>
          <w:sz w:val="20"/>
          <w:szCs w:val="20"/>
          <w:lang w:val="fr-FR"/>
        </w:rPr>
        <w:t xml:space="preserve">organisations suivantes : </w:t>
      </w:r>
    </w:p>
    <w:p w14:paraId="3E19D437" w14:textId="77777777" w:rsidR="00802BA9" w:rsidRPr="00711F10" w:rsidRDefault="00802BA9" w:rsidP="00711F10">
      <w:pPr>
        <w:pStyle w:val="PuceBleue"/>
        <w:numPr>
          <w:ilvl w:val="0"/>
          <w:numId w:val="37"/>
        </w:numPr>
        <w:spacing w:before="120" w:after="120" w:line="240" w:lineRule="auto"/>
        <w:rPr>
          <w:rFonts w:ascii="Arial" w:hAnsi="Arial" w:cs="Arial"/>
          <w:sz w:val="20"/>
          <w:szCs w:val="20"/>
          <w:lang w:val="fr-FR"/>
        </w:rPr>
      </w:pPr>
      <w:r w:rsidRPr="00711F10">
        <w:rPr>
          <w:rFonts w:ascii="Arial" w:hAnsi="Arial" w:cs="Arial"/>
          <w:sz w:val="20"/>
          <w:szCs w:val="20"/>
          <w:lang w:val="fr-FR"/>
        </w:rPr>
        <w:t>l’Autorité du Bassin du Niger (ABN) mise en place en 1980 et responsable de la Gestion Intégrée des Ressources en Eau (GIRE) du fleuve Niger (Bénin, Burkina Faso, Cameroun, Côte d’Ivoire, Guinée, Mali, Niger, Nigeria et le Tchad) ;</w:t>
      </w:r>
    </w:p>
    <w:p w14:paraId="7FEF0B8E" w14:textId="77777777" w:rsidR="00802BA9" w:rsidRPr="00711F10" w:rsidRDefault="00802BA9" w:rsidP="00711F10">
      <w:pPr>
        <w:pStyle w:val="Pardeliste"/>
        <w:numPr>
          <w:ilvl w:val="0"/>
          <w:numId w:val="37"/>
        </w:numPr>
        <w:spacing w:before="120" w:after="120" w:line="240" w:lineRule="auto"/>
        <w:rPr>
          <w:rFonts w:ascii="Arial" w:hAnsi="Arial" w:cs="Arial"/>
          <w:sz w:val="20"/>
          <w:szCs w:val="20"/>
          <w:lang w:val="fr-FR"/>
        </w:rPr>
      </w:pPr>
      <w:r w:rsidRPr="00711F10">
        <w:rPr>
          <w:rFonts w:ascii="Arial" w:hAnsi="Arial" w:cs="Arial"/>
          <w:sz w:val="20"/>
          <w:szCs w:val="20"/>
          <w:lang w:val="fr-FR"/>
        </w:rPr>
        <w:t>l’Organisation pour la Mise en Valeur du fleuve Sénégal (OMVS), mise en place en 1972 par trois des quatre Etats riverains (Mali, Sénégal et Mauritanie) ;</w:t>
      </w:r>
    </w:p>
    <w:p w14:paraId="109B5507" w14:textId="77777777" w:rsidR="00802BA9" w:rsidRPr="00500D2D" w:rsidRDefault="00802BA9" w:rsidP="00711F10">
      <w:pPr>
        <w:pStyle w:val="Pardeliste"/>
        <w:numPr>
          <w:ilvl w:val="0"/>
          <w:numId w:val="37"/>
        </w:numPr>
        <w:spacing w:before="120" w:after="120" w:line="240" w:lineRule="auto"/>
        <w:rPr>
          <w:rFonts w:ascii="Arial" w:hAnsi="Arial" w:cs="Arial"/>
          <w:sz w:val="20"/>
          <w:szCs w:val="20"/>
          <w:lang w:val="fr-FR"/>
        </w:rPr>
      </w:pPr>
      <w:r w:rsidRPr="00711F10">
        <w:rPr>
          <w:rFonts w:ascii="Arial" w:hAnsi="Arial" w:cs="Arial"/>
          <w:sz w:val="20"/>
          <w:szCs w:val="20"/>
          <w:lang w:val="fr-FR"/>
        </w:rPr>
        <w:t>l’Autorité pour le Développement Intégré de la Région du Liptako – Gourma (ALG) mise en place en 1970.</w:t>
      </w:r>
    </w:p>
    <w:p w14:paraId="3219AC8F" w14:textId="77777777" w:rsidR="00802BA9" w:rsidRPr="00711F10" w:rsidRDefault="00802BA9" w:rsidP="00711F10">
      <w:pPr>
        <w:spacing w:before="120" w:after="120" w:line="240" w:lineRule="auto"/>
        <w:rPr>
          <w:rFonts w:ascii="Arial" w:hAnsi="Arial" w:cs="Arial"/>
          <w:color w:val="000000" w:themeColor="text1"/>
          <w:sz w:val="20"/>
          <w:szCs w:val="20"/>
          <w:lang w:val="fr-FR"/>
        </w:rPr>
      </w:pPr>
      <w:r w:rsidRPr="00711F10">
        <w:rPr>
          <w:rFonts w:ascii="Arial" w:eastAsia="Calibri" w:hAnsi="Arial" w:cs="Arial"/>
          <w:sz w:val="20"/>
          <w:szCs w:val="20"/>
          <w:lang w:val="fr-FR" w:eastAsia="fr-FR"/>
        </w:rPr>
        <w:t xml:space="preserve">Dans le cadre d’un développement durable, ces structures se réunissent comme, par exemple, entre l’ABN, l’OMVS et l’organisation de la mise en valeur de la Gambie (OMVG) pour l’adoption de pratiques protectrices </w:t>
      </w:r>
      <w:r w:rsidRPr="00711F10">
        <w:rPr>
          <w:rFonts w:ascii="Arial" w:eastAsia="Calibri" w:hAnsi="Arial" w:cs="Arial"/>
          <w:sz w:val="20"/>
          <w:szCs w:val="20"/>
          <w:lang w:val="fr-FR" w:eastAsia="fr-FR"/>
        </w:rPr>
        <w:lastRenderedPageBreak/>
        <w:t xml:space="preserve">des sources de fleuves transfrontaliers (OMVS, 2007). </w:t>
      </w:r>
      <w:r w:rsidRPr="00711F10">
        <w:rPr>
          <w:rFonts w:ascii="Arial" w:hAnsi="Arial" w:cs="Arial"/>
          <w:sz w:val="20"/>
          <w:szCs w:val="20"/>
          <w:lang w:val="fr-FR"/>
        </w:rPr>
        <w:t xml:space="preserve">Enfin, le Mali a également signé des protocoles d’accord avec la République de Guinée (pour la connaissance, la gestion, la mobilisation et l’utilisation des ressources en eau du bassin du fleuve Niger supérieur) et la République du Niger (pour une coopération dans l’utilisation des ressources en eau du fleuve Niger et de ses affluents). Toutefois, le Mali n’a pas ratifié la </w:t>
      </w:r>
      <w:r w:rsidRPr="00711F10">
        <w:rPr>
          <w:rFonts w:ascii="Arial" w:hAnsi="Arial" w:cs="Arial"/>
          <w:color w:val="000000" w:themeColor="text1"/>
          <w:sz w:val="20"/>
          <w:szCs w:val="20"/>
          <w:lang w:val="fr-FR"/>
        </w:rPr>
        <w:t>Convention des Nations Unies sur le droit relatif aux utilisations des cours d’eau internationaux à des fins autres que la navigation du 21 mai 1997 qui est entré en vigueur en août 2014 après la ratification du 35</w:t>
      </w:r>
      <w:r w:rsidRPr="00711F10">
        <w:rPr>
          <w:rFonts w:ascii="Arial" w:hAnsi="Arial" w:cs="Arial"/>
          <w:color w:val="000000" w:themeColor="text1"/>
          <w:sz w:val="20"/>
          <w:szCs w:val="20"/>
          <w:vertAlign w:val="superscript"/>
          <w:lang w:val="fr-FR"/>
        </w:rPr>
        <w:t>ème</w:t>
      </w:r>
      <w:r w:rsidRPr="00711F10">
        <w:rPr>
          <w:rFonts w:ascii="Arial" w:hAnsi="Arial" w:cs="Arial"/>
          <w:color w:val="000000" w:themeColor="text1"/>
          <w:sz w:val="20"/>
          <w:szCs w:val="20"/>
          <w:lang w:val="fr-FR"/>
        </w:rPr>
        <w:t xml:space="preserve"> Etat.</w:t>
      </w:r>
    </w:p>
    <w:p w14:paraId="1DFDBA93" w14:textId="77777777" w:rsidR="00802BA9" w:rsidRPr="00F15A62" w:rsidRDefault="00802BA9" w:rsidP="00802BA9">
      <w:pPr>
        <w:spacing w:after="0" w:line="240" w:lineRule="auto"/>
        <w:rPr>
          <w:color w:val="000000" w:themeColor="text1"/>
          <w:lang w:val="fr-FR"/>
        </w:rPr>
      </w:pPr>
    </w:p>
    <w:p w14:paraId="29EB5DF7" w14:textId="77777777" w:rsidR="00802BA9" w:rsidRPr="00F15A62" w:rsidRDefault="00802BA9" w:rsidP="00802BA9">
      <w:pPr>
        <w:pStyle w:val="Titre2"/>
        <w:rPr>
          <w:lang w:eastAsia="fr-FR"/>
        </w:rPr>
      </w:pPr>
      <w:bookmarkStart w:id="45" w:name="_Toc20505647"/>
      <w:r>
        <w:rPr>
          <w:lang w:eastAsia="fr-FR"/>
        </w:rPr>
        <w:t>3</w:t>
      </w:r>
      <w:r w:rsidRPr="00F15A62">
        <w:rPr>
          <w:lang w:eastAsia="fr-FR"/>
        </w:rPr>
        <w:t>.2. Cadre institutionnel en matière d’environnement</w:t>
      </w:r>
      <w:bookmarkEnd w:id="45"/>
    </w:p>
    <w:p w14:paraId="458087EC" w14:textId="77777777" w:rsidR="00802BA9" w:rsidRPr="00C518A4" w:rsidRDefault="00802BA9" w:rsidP="00525222">
      <w:pPr>
        <w:pStyle w:val="Titre3"/>
      </w:pPr>
      <w:bookmarkStart w:id="46" w:name="_Toc20505648"/>
      <w:r w:rsidRPr="00C518A4">
        <w:t>3.2.1 Les structures institutionnelles et distribution des responsabilités</w:t>
      </w:r>
      <w:bookmarkEnd w:id="46"/>
      <w:r w:rsidRPr="00C518A4">
        <w:t xml:space="preserve"> </w:t>
      </w:r>
    </w:p>
    <w:p w14:paraId="6EEB559A" w14:textId="77777777" w:rsidR="00802BA9" w:rsidRPr="00C518A4" w:rsidRDefault="00802BA9" w:rsidP="00500D2D">
      <w:pPr>
        <w:spacing w:before="120" w:after="120" w:line="240" w:lineRule="auto"/>
        <w:rPr>
          <w:rFonts w:ascii="Arial" w:eastAsia="Calibri" w:hAnsi="Arial" w:cs="Arial"/>
          <w:sz w:val="20"/>
          <w:szCs w:val="20"/>
        </w:rPr>
      </w:pPr>
      <w:r w:rsidRPr="00C518A4">
        <w:rPr>
          <w:rFonts w:ascii="Arial" w:eastAsia="Calibri" w:hAnsi="Arial" w:cs="Arial"/>
          <w:sz w:val="20"/>
          <w:szCs w:val="20"/>
        </w:rPr>
        <w:t xml:space="preserve">Les questions environnementales et des ressources naturelles relève, entre autres, du </w:t>
      </w:r>
      <w:r w:rsidRPr="00C518A4">
        <w:rPr>
          <w:rFonts w:ascii="Arial" w:eastAsia="Calibri" w:hAnsi="Arial" w:cs="Arial"/>
          <w:b/>
          <w:sz w:val="20"/>
          <w:szCs w:val="20"/>
        </w:rPr>
        <w:t>Ministère de l’Environnement, de l’Assainissement et du Développement Durable</w:t>
      </w:r>
      <w:r w:rsidRPr="00C518A4">
        <w:rPr>
          <w:rFonts w:ascii="Arial" w:eastAsia="Calibri" w:hAnsi="Arial" w:cs="Arial"/>
          <w:sz w:val="20"/>
          <w:szCs w:val="20"/>
        </w:rPr>
        <w:t xml:space="preserve"> (MEADD) créé en 2005. Le MEADD est chargé de la mise en œuvre de la politique nationale dans les domaines de l’environnement et de l’assainissement et veille à la prise en compte des questions de développement durable à l’occasion de la formulation et de la mise en œuvre des politiques publiques. En matière d’évaluation environnementale, le MEADD délivre le permis environnemental nécessaire à tous les projets, politiques, plans, programmes ou activités ayant fait l’objet d’évaluation et d’audit environnementaux.</w:t>
      </w:r>
    </w:p>
    <w:p w14:paraId="553FF239" w14:textId="77777777" w:rsidR="00802BA9" w:rsidRPr="00C518A4" w:rsidRDefault="00802BA9" w:rsidP="00500D2D">
      <w:pPr>
        <w:spacing w:before="120" w:after="120" w:line="240" w:lineRule="auto"/>
        <w:rPr>
          <w:rFonts w:ascii="Arial" w:eastAsia="Calibri" w:hAnsi="Arial" w:cs="Arial"/>
          <w:sz w:val="20"/>
          <w:szCs w:val="20"/>
          <w:lang w:val="fr-CA" w:eastAsia="fr-FR"/>
        </w:rPr>
      </w:pPr>
      <w:r w:rsidRPr="00C518A4">
        <w:rPr>
          <w:rFonts w:ascii="Arial" w:eastAsia="Calibri" w:hAnsi="Arial" w:cs="Arial"/>
          <w:sz w:val="20"/>
          <w:szCs w:val="20"/>
          <w:lang w:val="fr-CA" w:eastAsia="fr-FR"/>
        </w:rPr>
        <w:t xml:space="preserve">Le </w:t>
      </w:r>
      <w:r w:rsidRPr="00C518A4">
        <w:rPr>
          <w:rFonts w:ascii="Arial" w:eastAsia="Calibri" w:hAnsi="Arial" w:cs="Arial"/>
          <w:b/>
          <w:sz w:val="20"/>
          <w:szCs w:val="20"/>
          <w:lang w:val="fr-CA" w:eastAsia="fr-FR"/>
        </w:rPr>
        <w:t>Conseil National de l’Environnement</w:t>
      </w:r>
      <w:r w:rsidRPr="00C518A4">
        <w:rPr>
          <w:rFonts w:ascii="Arial" w:eastAsia="Calibri" w:hAnsi="Arial" w:cs="Arial"/>
          <w:sz w:val="20"/>
          <w:szCs w:val="20"/>
          <w:lang w:val="fr-CA" w:eastAsia="fr-FR"/>
        </w:rPr>
        <w:t xml:space="preserve"> (CNE), créé par le Décret N°10-390/PM-RM du 26 Juillet 2010, </w:t>
      </w:r>
      <w:r w:rsidRPr="00C518A4">
        <w:rPr>
          <w:rFonts w:ascii="Arial" w:eastAsia="Calibri" w:hAnsi="Arial" w:cs="Arial"/>
          <w:sz w:val="20"/>
          <w:szCs w:val="20"/>
          <w:lang w:val="fr-FR" w:eastAsia="fr-FR"/>
        </w:rPr>
        <w:t xml:space="preserve">regroupe tous les acteurs étatiques, la société civile, le secteur privé et les collectivités territoriales et </w:t>
      </w:r>
      <w:r w:rsidRPr="00C518A4">
        <w:rPr>
          <w:rFonts w:ascii="Arial" w:eastAsia="Calibri" w:hAnsi="Arial" w:cs="Arial"/>
          <w:sz w:val="20"/>
          <w:szCs w:val="20"/>
          <w:lang w:val="fr-CA" w:eastAsia="fr-FR"/>
        </w:rPr>
        <w:t xml:space="preserve">a pour mission de donner un avis et formuler des propositions et recommandations sur les questions se rapportant à l’environnement. Outre le CNE, le Comité National des Changements Climatiques (CNCC) a été créé en 2011 comme un </w:t>
      </w:r>
      <w:r w:rsidRPr="001D0C63">
        <w:rPr>
          <w:rFonts w:ascii="Arial" w:eastAsia="Calibri" w:hAnsi="Arial" w:cs="Arial"/>
          <w:sz w:val="20"/>
          <w:szCs w:val="20"/>
          <w:lang w:val="fr-CA" w:eastAsia="fr-FR"/>
        </w:rPr>
        <w:t>organe d</w:t>
      </w:r>
      <w:r w:rsidR="00FB456D" w:rsidRPr="001D0C63">
        <w:rPr>
          <w:rFonts w:ascii="Arial" w:eastAsia="Calibri" w:hAnsi="Arial" w:cs="Arial"/>
          <w:sz w:val="20"/>
          <w:szCs w:val="20"/>
          <w:lang w:val="fr-CA" w:eastAsia="fr-FR"/>
        </w:rPr>
        <w:t>u</w:t>
      </w:r>
      <w:r w:rsidRPr="001D0C63">
        <w:rPr>
          <w:rFonts w:ascii="Arial" w:eastAsia="Calibri" w:hAnsi="Arial" w:cs="Arial"/>
          <w:sz w:val="20"/>
          <w:szCs w:val="20"/>
          <w:lang w:val="fr-CA" w:eastAsia="fr-FR"/>
        </w:rPr>
        <w:t xml:space="preserve"> CNE </w:t>
      </w:r>
      <w:r w:rsidRPr="00C518A4">
        <w:rPr>
          <w:rFonts w:ascii="Arial" w:eastAsia="Calibri" w:hAnsi="Arial" w:cs="Arial"/>
          <w:sz w:val="20"/>
          <w:szCs w:val="20"/>
          <w:lang w:val="fr-CA" w:eastAsia="fr-FR"/>
        </w:rPr>
        <w:t xml:space="preserve">par décret du premier ministre avec pour rôle d`aider le gouvernement dans la mise en œuvre d’actions bénéfiques en matière de lutte contre les Changements Climatiques. Le Ministre du MEADD est le président de ce comité et l`AEDD assure le rôle de secrétariat permanent </w:t>
      </w:r>
      <w:r w:rsidRPr="00C518A4">
        <w:rPr>
          <w:rFonts w:ascii="Arial" w:eastAsia="Calibri" w:hAnsi="Arial" w:cs="Arial"/>
          <w:color w:val="C00000"/>
          <w:sz w:val="20"/>
          <w:szCs w:val="20"/>
          <w:lang w:val="fr-CA" w:eastAsia="fr-FR"/>
        </w:rPr>
        <w:t>d</w:t>
      </w:r>
      <w:r w:rsidR="00FB456D" w:rsidRPr="00C518A4">
        <w:rPr>
          <w:rFonts w:ascii="Arial" w:eastAsia="Calibri" w:hAnsi="Arial" w:cs="Arial"/>
          <w:color w:val="C00000"/>
          <w:sz w:val="20"/>
          <w:szCs w:val="20"/>
          <w:lang w:val="fr-CA" w:eastAsia="fr-FR"/>
        </w:rPr>
        <w:t>u</w:t>
      </w:r>
      <w:r w:rsidRPr="00C518A4">
        <w:rPr>
          <w:rFonts w:ascii="Arial" w:eastAsia="Calibri" w:hAnsi="Arial" w:cs="Arial"/>
          <w:sz w:val="20"/>
          <w:szCs w:val="20"/>
          <w:lang w:val="fr-CA" w:eastAsia="fr-FR"/>
        </w:rPr>
        <w:t xml:space="preserve"> CNE et du CNCC. Les deux structures sont actuellement fonctionnelles.</w:t>
      </w:r>
    </w:p>
    <w:p w14:paraId="113C6986" w14:textId="77777777" w:rsidR="00802BA9" w:rsidRPr="00C518A4" w:rsidRDefault="00802BA9" w:rsidP="00500D2D">
      <w:pPr>
        <w:spacing w:before="120" w:after="120" w:line="240" w:lineRule="auto"/>
        <w:rPr>
          <w:rFonts w:ascii="Arial" w:eastAsia="Calibri" w:hAnsi="Arial" w:cs="Arial"/>
          <w:sz w:val="20"/>
          <w:szCs w:val="20"/>
          <w:lang w:val="fr-CA" w:eastAsia="fr-FR"/>
        </w:rPr>
      </w:pPr>
      <w:r w:rsidRPr="00C518A4">
        <w:rPr>
          <w:rFonts w:ascii="Arial" w:eastAsia="Calibri" w:hAnsi="Arial" w:cs="Arial"/>
          <w:sz w:val="20"/>
          <w:szCs w:val="20"/>
          <w:lang w:val="fr-CA" w:eastAsia="fr-FR"/>
        </w:rPr>
        <w:t xml:space="preserve">Au MEADD, sont rattachés plusieurs </w:t>
      </w:r>
      <w:r w:rsidRPr="00C518A4">
        <w:rPr>
          <w:rFonts w:ascii="Arial" w:eastAsia="Calibri" w:hAnsi="Arial" w:cs="Arial"/>
          <w:b/>
          <w:sz w:val="20"/>
          <w:szCs w:val="20"/>
          <w:lang w:val="fr-CA" w:eastAsia="fr-FR"/>
        </w:rPr>
        <w:t>services techniques et organismes</w:t>
      </w:r>
    </w:p>
    <w:p w14:paraId="55A8F3F9" w14:textId="77777777" w:rsidR="00802BA9" w:rsidRPr="00C518A4" w:rsidRDefault="00802BA9" w:rsidP="00500D2D">
      <w:pPr>
        <w:pStyle w:val="Pardeliste"/>
        <w:numPr>
          <w:ilvl w:val="0"/>
          <w:numId w:val="55"/>
        </w:numPr>
        <w:spacing w:before="120" w:after="120" w:line="240" w:lineRule="auto"/>
        <w:ind w:left="426"/>
        <w:rPr>
          <w:rFonts w:ascii="Arial" w:eastAsia="Calibri" w:hAnsi="Arial" w:cs="Arial"/>
          <w:sz w:val="20"/>
          <w:szCs w:val="20"/>
          <w:lang w:val="fr-CA" w:eastAsia="fr-FR"/>
        </w:rPr>
      </w:pPr>
      <w:r w:rsidRPr="00C518A4">
        <w:rPr>
          <w:rFonts w:ascii="Arial" w:hAnsi="Arial" w:cs="Arial"/>
          <w:snapToGrid w:val="0"/>
          <w:sz w:val="20"/>
          <w:szCs w:val="20"/>
        </w:rPr>
        <w:t>La</w:t>
      </w:r>
      <w:r w:rsidRPr="00C518A4">
        <w:rPr>
          <w:rFonts w:ascii="Arial" w:hAnsi="Arial" w:cs="Arial"/>
          <w:b/>
          <w:snapToGrid w:val="0"/>
          <w:sz w:val="20"/>
          <w:szCs w:val="20"/>
        </w:rPr>
        <w:t xml:space="preserve"> Direction Nationale de l'Assainissement et du Contrôle des Pollutions et des Nuisances </w:t>
      </w:r>
      <w:r w:rsidRPr="00C518A4">
        <w:rPr>
          <w:rFonts w:ascii="Arial" w:hAnsi="Arial" w:cs="Arial"/>
          <w:snapToGrid w:val="0"/>
          <w:sz w:val="20"/>
          <w:szCs w:val="20"/>
        </w:rPr>
        <w:t>(DNACPN), c</w:t>
      </w:r>
      <w:r w:rsidRPr="00C518A4">
        <w:rPr>
          <w:rFonts w:ascii="Arial" w:eastAsia="Calibri" w:hAnsi="Arial" w:cs="Arial"/>
          <w:sz w:val="20"/>
          <w:szCs w:val="20"/>
        </w:rPr>
        <w:t xml:space="preserve">réée par l’Ordonnance N° 98-027/P-RM. Elle </w:t>
      </w:r>
      <w:r w:rsidRPr="00C518A4">
        <w:rPr>
          <w:rFonts w:ascii="Arial" w:eastAsia="Calibri" w:hAnsi="Arial" w:cs="Arial"/>
          <w:snapToGrid w:val="0"/>
          <w:sz w:val="20"/>
          <w:szCs w:val="20"/>
        </w:rPr>
        <w:t>a pour mission l'élaboration des éléments de la politique nationale en matière d'assainissement et du contrôle des pollutions et des nuisances et d'en assurer l'exécution. Dans le cadre de l’amélioration du cadre de vie, elle est chargée de : (i) l’application du décret sur les EIES et les EES, (ii) l’intégration des considérations environnementales dans les programmes, politiques et plan de développement du Mali, (iii) la surveillance et le contrôle environnemental et (iv) l’accompagnement des collectivités décentralisées dans le cadre de leur mandat relatif à la gestion de l’assainissement des communes.</w:t>
      </w:r>
    </w:p>
    <w:p w14:paraId="4DA47D6F" w14:textId="77777777" w:rsidR="00802BA9" w:rsidRPr="00C518A4" w:rsidRDefault="00802BA9" w:rsidP="00500D2D">
      <w:pPr>
        <w:pStyle w:val="Pardeliste"/>
        <w:numPr>
          <w:ilvl w:val="0"/>
          <w:numId w:val="55"/>
        </w:numPr>
        <w:spacing w:before="120" w:after="120" w:line="240" w:lineRule="auto"/>
        <w:ind w:left="426"/>
        <w:rPr>
          <w:rFonts w:ascii="Arial" w:eastAsia="Calibri" w:hAnsi="Arial" w:cs="Arial"/>
          <w:sz w:val="20"/>
          <w:szCs w:val="20"/>
          <w:lang w:val="fr-CA" w:eastAsia="fr-FR"/>
        </w:rPr>
      </w:pPr>
      <w:r w:rsidRPr="00C518A4">
        <w:rPr>
          <w:rFonts w:ascii="Arial" w:hAnsi="Arial" w:cs="Arial"/>
          <w:sz w:val="20"/>
          <w:szCs w:val="20"/>
        </w:rPr>
        <w:t xml:space="preserve">La </w:t>
      </w:r>
      <w:r w:rsidRPr="00C518A4">
        <w:rPr>
          <w:rFonts w:ascii="Arial" w:hAnsi="Arial" w:cs="Arial"/>
          <w:b/>
          <w:sz w:val="20"/>
          <w:szCs w:val="20"/>
        </w:rPr>
        <w:t>Direction Nationale des Eaux et Forêts</w:t>
      </w:r>
      <w:r w:rsidRPr="00C518A4">
        <w:rPr>
          <w:rFonts w:ascii="Arial" w:hAnsi="Arial" w:cs="Arial"/>
          <w:sz w:val="20"/>
          <w:szCs w:val="20"/>
        </w:rPr>
        <w:t xml:space="preserve"> ou DNEF ((loi N°09-028 du 27/07/2009 qui remplace la Direction Nationale de la Conservation de la Nature). Elle se </w:t>
      </w:r>
      <w:r w:rsidRPr="00C518A4">
        <w:rPr>
          <w:rFonts w:ascii="Arial" w:eastAsia="Calibri" w:hAnsi="Arial" w:cs="Arial"/>
          <w:sz w:val="20"/>
          <w:szCs w:val="20"/>
          <w:lang w:val="fr-CA" w:eastAsia="fr-FR"/>
        </w:rPr>
        <w:t xml:space="preserve">consacre à la protection du domaine forestier à travers la surveillance des principales formations forestières, parcs nationaux et aires protégées pour la conservation de la biodiversité via ses directions régionales et ses cantonnements. Depuis 2008 (décision n°0221/MEA-SG du 22/07/08), cette direction accueille le Système d’Information Forestier (SIFOR), référentiel au plan national pour la gestion et le suivi des ressources naturelles. La DNEF, par le biais de ses directions régionales (DREF) et de ses cantonnements est impliquée dans les activités de reboisement, de restauration des sols et de conservation des eaux. </w:t>
      </w:r>
    </w:p>
    <w:p w14:paraId="3A6CED55" w14:textId="77777777" w:rsidR="00802BA9" w:rsidRPr="00C518A4" w:rsidRDefault="00802BA9" w:rsidP="00C518A4">
      <w:pPr>
        <w:pStyle w:val="Pardeliste"/>
        <w:numPr>
          <w:ilvl w:val="0"/>
          <w:numId w:val="55"/>
        </w:numPr>
        <w:spacing w:before="120" w:after="120" w:line="240" w:lineRule="auto"/>
        <w:ind w:left="426"/>
        <w:rPr>
          <w:rFonts w:ascii="Arial" w:eastAsia="Calibri" w:hAnsi="Arial" w:cs="Arial"/>
          <w:sz w:val="20"/>
          <w:szCs w:val="20"/>
        </w:rPr>
      </w:pPr>
      <w:r w:rsidRPr="00C518A4">
        <w:rPr>
          <w:rFonts w:ascii="Arial" w:hAnsi="Arial" w:cs="Arial"/>
          <w:b/>
          <w:sz w:val="20"/>
          <w:szCs w:val="20"/>
        </w:rPr>
        <w:t>L’Agence de l’Environnement et du développement Durable</w:t>
      </w:r>
      <w:r w:rsidRPr="00C518A4">
        <w:rPr>
          <w:rFonts w:ascii="Arial" w:hAnsi="Arial" w:cs="Arial"/>
          <w:sz w:val="20"/>
          <w:szCs w:val="20"/>
        </w:rPr>
        <w:t xml:space="preserve"> </w:t>
      </w:r>
      <w:r w:rsidRPr="00C518A4">
        <w:rPr>
          <w:rFonts w:ascii="Arial" w:eastAsia="Calibri" w:hAnsi="Arial" w:cs="Arial"/>
          <w:sz w:val="20"/>
          <w:szCs w:val="20"/>
        </w:rPr>
        <w:t xml:space="preserve">(AEDD), créée par la Loi N° 10-027/P-RM du 12 juillet 2010 sous forme d’un Etablissement Public à caractère Administratif (EPA). Elle a pour mission d’assurer la coordination de la mise en œuvre de la Politique Nationale de Protection de l’Environnement de 1998 (PNPE) et de veiller à l’intégration de la dimension environnementale dans les politiques. L’AEDD a comme mandat principal d’assurer l’intégration transversale des questions environnementales dans tous les secteurs (§ 3.1.2). L’agence suit le niveau de mise en œuvre des conventions internationales, continentales et régionales ratifiées par le Mali dans le domaine de l’environnement et des changements </w:t>
      </w:r>
      <w:r w:rsidRPr="001D0C63">
        <w:rPr>
          <w:rFonts w:ascii="Arial" w:eastAsia="Calibri" w:hAnsi="Arial" w:cs="Arial"/>
          <w:sz w:val="20"/>
          <w:szCs w:val="20"/>
        </w:rPr>
        <w:t xml:space="preserve">climatiques. </w:t>
      </w:r>
      <w:r w:rsidR="008E4055" w:rsidRPr="001D0C63">
        <w:rPr>
          <w:rFonts w:ascii="Arial" w:eastAsia="Calibri" w:hAnsi="Arial" w:cs="Arial"/>
          <w:sz w:val="20"/>
          <w:szCs w:val="20"/>
        </w:rPr>
        <w:t xml:space="preserve">Sous le contrôle de la </w:t>
      </w:r>
      <w:r w:rsidRPr="001D0C63">
        <w:rPr>
          <w:rFonts w:ascii="Arial" w:eastAsia="Calibri" w:hAnsi="Arial" w:cs="Arial"/>
          <w:sz w:val="20"/>
          <w:szCs w:val="20"/>
        </w:rPr>
        <w:t>DNACPN</w:t>
      </w:r>
      <w:r w:rsidR="008E4055" w:rsidRPr="001D0C63">
        <w:rPr>
          <w:rFonts w:ascii="Arial" w:eastAsia="Calibri" w:hAnsi="Arial" w:cs="Arial"/>
          <w:sz w:val="20"/>
          <w:szCs w:val="20"/>
        </w:rPr>
        <w:t xml:space="preserve"> (cf. ci-dessus)</w:t>
      </w:r>
      <w:r w:rsidRPr="001D0C63">
        <w:rPr>
          <w:rFonts w:ascii="Arial" w:eastAsia="Calibri" w:hAnsi="Arial" w:cs="Arial"/>
          <w:sz w:val="20"/>
          <w:szCs w:val="20"/>
        </w:rPr>
        <w:t>, l’AE</w:t>
      </w:r>
      <w:r w:rsidRPr="00C518A4">
        <w:rPr>
          <w:rFonts w:ascii="Arial" w:eastAsia="Calibri" w:hAnsi="Arial" w:cs="Arial"/>
          <w:sz w:val="20"/>
          <w:szCs w:val="20"/>
        </w:rPr>
        <w:t xml:space="preserve">DD participe à la validation des documents d’analyse environnementale (TdR et rapports). L’AEDD a mis en place 28 points focaux dans la plupart des ministères sectoriels. En 2018, </w:t>
      </w:r>
      <w:r w:rsidR="00441CB0" w:rsidRPr="00603729">
        <w:rPr>
          <w:rFonts w:ascii="Arial" w:eastAsia="Calibri" w:hAnsi="Arial" w:cs="Arial"/>
          <w:sz w:val="20"/>
          <w:szCs w:val="20"/>
        </w:rPr>
        <w:t>liées à de faibles ressources humaines sur les plans qualitatifs et quantitatifs</w:t>
      </w:r>
      <w:r w:rsidR="00441CB0">
        <w:rPr>
          <w:rFonts w:ascii="Arial" w:eastAsia="Calibri" w:hAnsi="Arial" w:cs="Arial"/>
          <w:sz w:val="20"/>
          <w:szCs w:val="20"/>
        </w:rPr>
        <w:t xml:space="preserve">, </w:t>
      </w:r>
      <w:r w:rsidRPr="00C518A4">
        <w:rPr>
          <w:rFonts w:ascii="Arial" w:eastAsia="Calibri" w:hAnsi="Arial" w:cs="Arial"/>
          <w:sz w:val="20"/>
          <w:szCs w:val="20"/>
        </w:rPr>
        <w:t>cette structure rencontre toujours des difficultés pour se positionner, vulgariser les outils existants et assurer la généralisation d’une Gestion Environnementale effective et la mise en œuvre des multiples stratégies sectorielles et sous-sectorielles.</w:t>
      </w:r>
    </w:p>
    <w:p w14:paraId="7FD99FD4" w14:textId="77777777" w:rsidR="00802BA9" w:rsidRPr="00C518A4" w:rsidRDefault="00802BA9" w:rsidP="00C518A4">
      <w:pPr>
        <w:pStyle w:val="Pardeliste"/>
        <w:numPr>
          <w:ilvl w:val="0"/>
          <w:numId w:val="55"/>
        </w:numPr>
        <w:spacing w:before="120" w:after="120" w:line="240" w:lineRule="auto"/>
        <w:ind w:left="426"/>
        <w:rPr>
          <w:rFonts w:ascii="Arial" w:eastAsia="Calibri" w:hAnsi="Arial" w:cs="Arial"/>
          <w:sz w:val="20"/>
          <w:szCs w:val="20"/>
        </w:rPr>
      </w:pPr>
      <w:r w:rsidRPr="00C518A4">
        <w:rPr>
          <w:rFonts w:ascii="Arial" w:hAnsi="Arial" w:cs="Arial"/>
          <w:sz w:val="20"/>
          <w:szCs w:val="20"/>
        </w:rPr>
        <w:lastRenderedPageBreak/>
        <w:t>L’</w:t>
      </w:r>
      <w:r w:rsidRPr="00C518A4">
        <w:rPr>
          <w:rFonts w:ascii="Arial" w:hAnsi="Arial" w:cs="Arial"/>
          <w:b/>
          <w:sz w:val="20"/>
          <w:szCs w:val="20"/>
        </w:rPr>
        <w:t>Agence Nationale de Gestion des Stations d’Epuration du Mali</w:t>
      </w:r>
      <w:r w:rsidRPr="00C518A4">
        <w:rPr>
          <w:rFonts w:ascii="Arial" w:hAnsi="Arial" w:cs="Arial"/>
          <w:sz w:val="20"/>
          <w:szCs w:val="20"/>
        </w:rPr>
        <w:t xml:space="preserve"> (ANGESEM) </w:t>
      </w:r>
      <w:r w:rsidRPr="00C518A4">
        <w:rPr>
          <w:rFonts w:ascii="Arial" w:eastAsia="Calibri" w:hAnsi="Arial" w:cs="Arial"/>
          <w:sz w:val="20"/>
          <w:szCs w:val="20"/>
          <w:lang w:val="fr-CA" w:eastAsia="fr-FR"/>
        </w:rPr>
        <w:t>créée en 2007</w:t>
      </w:r>
      <w:r w:rsidRPr="00C518A4">
        <w:rPr>
          <w:rStyle w:val="Appelnotedebasdep"/>
          <w:rFonts w:ascii="Arial" w:eastAsia="Calibri" w:hAnsi="Arial" w:cs="Arial"/>
          <w:sz w:val="20"/>
          <w:szCs w:val="20"/>
          <w:lang w:val="fr-CA" w:eastAsia="fr-FR"/>
        </w:rPr>
        <w:footnoteReference w:id="71"/>
      </w:r>
      <w:r w:rsidRPr="00C518A4">
        <w:rPr>
          <w:rFonts w:ascii="Arial" w:eastAsia="Calibri" w:hAnsi="Arial" w:cs="Arial"/>
          <w:sz w:val="20"/>
          <w:szCs w:val="20"/>
          <w:lang w:val="fr-CA" w:eastAsia="fr-FR"/>
        </w:rPr>
        <w:t xml:space="preserve"> est un EPA qui </w:t>
      </w:r>
      <w:r w:rsidRPr="00C518A4">
        <w:rPr>
          <w:rFonts w:ascii="Arial" w:hAnsi="Arial" w:cs="Arial"/>
          <w:sz w:val="20"/>
          <w:szCs w:val="20"/>
        </w:rPr>
        <w:t>a pour mission d’assurer la gestion durable des stations d’épuration des eaux usées et ouvrages annexes (§ 2.2.10).</w:t>
      </w:r>
    </w:p>
    <w:p w14:paraId="5AD592EE" w14:textId="77777777" w:rsidR="00802BA9" w:rsidRPr="00C518A4" w:rsidRDefault="00802BA9" w:rsidP="00500D2D">
      <w:pPr>
        <w:pStyle w:val="Pardeliste"/>
        <w:numPr>
          <w:ilvl w:val="0"/>
          <w:numId w:val="55"/>
        </w:numPr>
        <w:spacing w:before="120" w:after="120" w:line="240" w:lineRule="auto"/>
        <w:ind w:left="426"/>
        <w:rPr>
          <w:rFonts w:ascii="Arial" w:eastAsia="Calibri" w:hAnsi="Arial" w:cs="Arial"/>
          <w:sz w:val="20"/>
          <w:szCs w:val="20"/>
          <w:lang w:val="fr-CA" w:eastAsia="fr-FR"/>
        </w:rPr>
      </w:pPr>
      <w:r w:rsidRPr="00C518A4">
        <w:rPr>
          <w:rFonts w:ascii="Arial" w:eastAsia="Calibri" w:hAnsi="Arial" w:cs="Arial"/>
          <w:sz w:val="20"/>
          <w:szCs w:val="20"/>
          <w:lang w:val="fr-CA" w:eastAsia="fr-FR"/>
        </w:rPr>
        <w:t>L’</w:t>
      </w:r>
      <w:r w:rsidRPr="00C518A4">
        <w:rPr>
          <w:rFonts w:ascii="Arial" w:eastAsia="Calibri" w:hAnsi="Arial" w:cs="Arial"/>
          <w:b/>
          <w:sz w:val="20"/>
          <w:szCs w:val="20"/>
          <w:lang w:val="fr-CA" w:eastAsia="fr-FR"/>
        </w:rPr>
        <w:t>Agence du bassin du fleuve Niger</w:t>
      </w:r>
      <w:r w:rsidRPr="00C518A4">
        <w:rPr>
          <w:rFonts w:ascii="Arial" w:eastAsia="Calibri" w:hAnsi="Arial" w:cs="Arial"/>
          <w:sz w:val="20"/>
          <w:szCs w:val="20"/>
          <w:lang w:val="fr-CA" w:eastAsia="fr-FR"/>
        </w:rPr>
        <w:t xml:space="preserve"> (ABFN</w:t>
      </w:r>
      <w:r w:rsidRPr="001D0C63">
        <w:rPr>
          <w:rFonts w:ascii="Arial" w:eastAsia="Calibri" w:hAnsi="Arial" w:cs="Arial"/>
          <w:sz w:val="20"/>
          <w:szCs w:val="20"/>
          <w:lang w:val="fr-CA" w:eastAsia="fr-FR"/>
        </w:rPr>
        <w:t>)</w:t>
      </w:r>
      <w:r w:rsidRPr="001D0C63">
        <w:rPr>
          <w:rStyle w:val="Appelnotedebasdep"/>
          <w:rFonts w:ascii="Arial" w:eastAsia="Calibri" w:hAnsi="Arial" w:cs="Arial"/>
          <w:sz w:val="20"/>
          <w:szCs w:val="20"/>
          <w:lang w:val="fr-CA" w:eastAsia="fr-FR"/>
        </w:rPr>
        <w:footnoteReference w:id="72"/>
      </w:r>
      <w:r w:rsidRPr="001D0C63">
        <w:rPr>
          <w:rFonts w:ascii="Arial" w:eastAsia="Calibri" w:hAnsi="Arial" w:cs="Arial"/>
          <w:sz w:val="20"/>
          <w:szCs w:val="20"/>
          <w:lang w:val="fr-CA" w:eastAsia="fr-FR"/>
        </w:rPr>
        <w:t xml:space="preserve">, </w:t>
      </w:r>
      <w:r w:rsidR="008962D8" w:rsidRPr="001D0C63">
        <w:rPr>
          <w:rFonts w:ascii="Arial" w:eastAsia="Calibri" w:hAnsi="Arial" w:cs="Arial"/>
          <w:sz w:val="20"/>
          <w:szCs w:val="20"/>
          <w:lang w:val="fr-CA" w:eastAsia="fr-FR"/>
        </w:rPr>
        <w:t>Établissement</w:t>
      </w:r>
      <w:r w:rsidR="00A61463" w:rsidRPr="001D0C63">
        <w:rPr>
          <w:rFonts w:ascii="Arial" w:eastAsia="Calibri" w:hAnsi="Arial" w:cs="Arial"/>
          <w:sz w:val="20"/>
          <w:szCs w:val="20"/>
          <w:lang w:val="fr-CA" w:eastAsia="fr-FR"/>
        </w:rPr>
        <w:t xml:space="preserve"> Public à caractère Administratif (</w:t>
      </w:r>
      <w:r w:rsidRPr="001D0C63">
        <w:rPr>
          <w:rFonts w:ascii="Arial" w:eastAsia="Calibri" w:hAnsi="Arial" w:cs="Arial"/>
          <w:sz w:val="20"/>
          <w:szCs w:val="20"/>
          <w:lang w:val="fr-CA" w:eastAsia="fr-FR"/>
        </w:rPr>
        <w:t>EP</w:t>
      </w:r>
      <w:r w:rsidRPr="00C518A4">
        <w:rPr>
          <w:rFonts w:ascii="Arial" w:eastAsia="Calibri" w:hAnsi="Arial" w:cs="Arial"/>
          <w:sz w:val="20"/>
          <w:szCs w:val="20"/>
          <w:lang w:val="fr-CA" w:eastAsia="fr-FR"/>
        </w:rPr>
        <w:t>A</w:t>
      </w:r>
      <w:r w:rsidR="00A61463" w:rsidRPr="00C518A4">
        <w:rPr>
          <w:rFonts w:ascii="Arial" w:eastAsia="Calibri" w:hAnsi="Arial" w:cs="Arial"/>
          <w:sz w:val="20"/>
          <w:szCs w:val="20"/>
          <w:lang w:val="fr-CA" w:eastAsia="fr-FR"/>
        </w:rPr>
        <w:t>)</w:t>
      </w:r>
      <w:r w:rsidRPr="00C518A4">
        <w:rPr>
          <w:rFonts w:ascii="Arial" w:eastAsia="Calibri" w:hAnsi="Arial" w:cs="Arial"/>
          <w:sz w:val="20"/>
          <w:szCs w:val="20"/>
          <w:lang w:val="fr-CA" w:eastAsia="fr-FR"/>
        </w:rPr>
        <w:t xml:space="preserve"> créé en 2002 qui a pour mission la sauvegarde du fleuve Niger, de ses affluents et de leurs bassins versants sur le territoire de la République du Mali et la gestion intégrée de ses ressources (Autorité du Bassin du Niger (ABN) qui est chargée de la gestion régionale du bassin du fleuve Niger).</w:t>
      </w:r>
    </w:p>
    <w:p w14:paraId="4E72ABAC" w14:textId="77777777" w:rsidR="00802BA9" w:rsidRPr="00C518A4" w:rsidRDefault="00802BA9" w:rsidP="00500D2D">
      <w:pPr>
        <w:spacing w:before="120" w:after="120" w:line="240" w:lineRule="auto"/>
        <w:rPr>
          <w:rFonts w:ascii="Arial" w:eastAsia="Calibri" w:hAnsi="Arial" w:cs="Arial"/>
          <w:sz w:val="20"/>
          <w:szCs w:val="20"/>
          <w:lang w:val="fr-CA" w:eastAsia="fr-FR"/>
        </w:rPr>
      </w:pPr>
      <w:r w:rsidRPr="00C518A4">
        <w:rPr>
          <w:rFonts w:ascii="Arial" w:eastAsia="Calibri" w:hAnsi="Arial" w:cs="Arial"/>
          <w:sz w:val="20"/>
          <w:szCs w:val="20"/>
          <w:lang w:val="fr-CA" w:eastAsia="fr-FR"/>
        </w:rPr>
        <w:t xml:space="preserve">Rattachée au Ministère de l’Energie et de l’Eau (MEE), la </w:t>
      </w:r>
      <w:r w:rsidRPr="00C518A4">
        <w:rPr>
          <w:rFonts w:ascii="Arial" w:eastAsia="Calibri" w:hAnsi="Arial" w:cs="Arial"/>
          <w:b/>
          <w:sz w:val="20"/>
          <w:szCs w:val="20"/>
          <w:lang w:val="fr-CA" w:eastAsia="fr-FR"/>
        </w:rPr>
        <w:t xml:space="preserve">Direction Nationale de l’Hydraulique </w:t>
      </w:r>
      <w:r w:rsidRPr="00C518A4">
        <w:rPr>
          <w:rFonts w:ascii="Arial" w:eastAsia="Calibri" w:hAnsi="Arial" w:cs="Arial"/>
          <w:sz w:val="20"/>
          <w:szCs w:val="20"/>
          <w:lang w:val="fr-CA" w:eastAsia="fr-FR"/>
        </w:rPr>
        <w:t>(DNH)</w:t>
      </w:r>
      <w:r w:rsidRPr="00C518A4">
        <w:rPr>
          <w:rStyle w:val="Appelnotedebasdep"/>
          <w:rFonts w:ascii="Arial" w:eastAsia="Calibri" w:hAnsi="Arial" w:cs="Arial"/>
          <w:sz w:val="20"/>
          <w:szCs w:val="20"/>
          <w:lang w:val="fr-CA" w:eastAsia="fr-FR"/>
        </w:rPr>
        <w:footnoteReference w:id="73"/>
      </w:r>
      <w:r w:rsidRPr="00C518A4">
        <w:rPr>
          <w:rFonts w:ascii="Arial" w:eastAsia="Calibri" w:hAnsi="Arial" w:cs="Arial"/>
          <w:sz w:val="20"/>
          <w:szCs w:val="20"/>
          <w:lang w:val="fr-CA" w:eastAsia="fr-FR"/>
        </w:rPr>
        <w:t xml:space="preserve"> est chargée d’élaborer et mettre en œuvre les éléments de la Politique Nationale de l’Eau au Mali (études, gestion, mobilisation, mise en valeur, législation sur l’utilisation, suivi quantitatif et qualitatif de l’eau). Sur le plan environnemental, elle participe via ses organes déconcentrés (directions régionales et services locaux de l’hydraulique) à la connaissance et au suivi des ressources en eaux pour la mise en œuvre de la Gestion Intégrée des Ressources en Eau (GIRE). Depuis 2004, la DNH travaille conjointement avec la DNACPN au niveau du Programme Sectoriel Eau Potable et Assainissement (PROSEA). </w:t>
      </w:r>
    </w:p>
    <w:p w14:paraId="2030BEF3" w14:textId="77777777" w:rsidR="00066B1E" w:rsidRPr="00C518A4" w:rsidRDefault="006E6D21" w:rsidP="00500D2D">
      <w:pPr>
        <w:spacing w:before="120" w:after="120" w:line="240" w:lineRule="auto"/>
        <w:rPr>
          <w:rFonts w:ascii="Arial" w:eastAsia="Calibri" w:hAnsi="Arial" w:cs="Arial"/>
          <w:sz w:val="20"/>
          <w:szCs w:val="20"/>
          <w:lang w:val="fr-CA" w:eastAsia="fr-FR"/>
        </w:rPr>
      </w:pPr>
      <w:r w:rsidRPr="00C518A4">
        <w:rPr>
          <w:rFonts w:ascii="Arial" w:eastAsia="Calibri" w:hAnsi="Arial" w:cs="Arial"/>
          <w:sz w:val="20"/>
          <w:szCs w:val="20"/>
          <w:lang w:val="fr-CA" w:eastAsia="fr-FR"/>
        </w:rPr>
        <w:t>De même, reliée au MME, l</w:t>
      </w:r>
      <w:r w:rsidR="00066B1E" w:rsidRPr="00C518A4">
        <w:rPr>
          <w:rFonts w:ascii="Arial" w:eastAsia="Calibri" w:hAnsi="Arial" w:cs="Arial"/>
          <w:sz w:val="20"/>
          <w:szCs w:val="20"/>
          <w:lang w:val="fr-CA" w:eastAsia="fr-FR"/>
        </w:rPr>
        <w:t xml:space="preserve">a </w:t>
      </w:r>
      <w:r w:rsidR="00066B1E" w:rsidRPr="00C518A4">
        <w:rPr>
          <w:rFonts w:ascii="Arial" w:eastAsia="Calibri" w:hAnsi="Arial" w:cs="Arial"/>
          <w:b/>
          <w:sz w:val="20"/>
          <w:szCs w:val="20"/>
          <w:lang w:val="fr-CA" w:eastAsia="fr-FR"/>
        </w:rPr>
        <w:t>Direction Nationale de l’Energie</w:t>
      </w:r>
      <w:r w:rsidR="00066B1E" w:rsidRPr="00C518A4">
        <w:rPr>
          <w:rFonts w:ascii="Arial" w:eastAsia="Calibri" w:hAnsi="Arial" w:cs="Arial"/>
          <w:sz w:val="20"/>
          <w:szCs w:val="20"/>
          <w:lang w:val="fr-CA" w:eastAsia="fr-FR"/>
        </w:rPr>
        <w:t xml:space="preserve"> (DNE) est chargée de </w:t>
      </w:r>
      <w:r w:rsidRPr="00C518A4">
        <w:rPr>
          <w:rFonts w:ascii="Arial" w:eastAsia="Calibri" w:hAnsi="Arial" w:cs="Arial"/>
          <w:sz w:val="20"/>
          <w:szCs w:val="20"/>
          <w:lang w:val="fr-CA" w:eastAsia="fr-FR"/>
        </w:rPr>
        <w:t xml:space="preserve">la </w:t>
      </w:r>
      <w:r w:rsidR="00066B1E" w:rsidRPr="00C518A4">
        <w:rPr>
          <w:rFonts w:ascii="Arial" w:eastAsia="Calibri" w:hAnsi="Arial" w:cs="Arial"/>
          <w:sz w:val="20"/>
          <w:szCs w:val="20"/>
          <w:lang w:val="fr-CA" w:eastAsia="fr-FR"/>
        </w:rPr>
        <w:t>politique et du contrôle des infrastructures énergétiques et des opérateurs du secteur.</w:t>
      </w:r>
    </w:p>
    <w:p w14:paraId="091A4579" w14:textId="77777777" w:rsidR="00066B1E" w:rsidRPr="00C518A4" w:rsidRDefault="006E6D21" w:rsidP="00500D2D">
      <w:pPr>
        <w:spacing w:before="120" w:after="120" w:line="240" w:lineRule="auto"/>
        <w:rPr>
          <w:rFonts w:ascii="Arial" w:hAnsi="Arial" w:cs="Arial"/>
          <w:sz w:val="20"/>
          <w:szCs w:val="20"/>
        </w:rPr>
      </w:pPr>
      <w:r w:rsidRPr="00C518A4">
        <w:rPr>
          <w:rFonts w:ascii="Arial" w:eastAsia="Calibri" w:hAnsi="Arial" w:cs="Arial"/>
          <w:sz w:val="20"/>
          <w:szCs w:val="20"/>
          <w:lang w:val="fr-CA" w:eastAsia="fr-FR"/>
        </w:rPr>
        <w:t>L’</w:t>
      </w:r>
      <w:r w:rsidR="00802BA9" w:rsidRPr="00C518A4">
        <w:rPr>
          <w:rFonts w:ascii="Arial" w:eastAsia="Calibri" w:hAnsi="Arial" w:cs="Arial"/>
          <w:b/>
          <w:sz w:val="20"/>
          <w:szCs w:val="20"/>
          <w:lang w:val="fr-CA" w:eastAsia="fr-FR"/>
        </w:rPr>
        <w:t xml:space="preserve">Agence Malienne pour le Développement de l'Energie Domestique et l'Électrification Rurale </w:t>
      </w:r>
      <w:r w:rsidR="00802BA9" w:rsidRPr="00C518A4">
        <w:rPr>
          <w:rFonts w:ascii="Arial" w:eastAsia="Calibri" w:hAnsi="Arial" w:cs="Arial"/>
          <w:sz w:val="20"/>
          <w:szCs w:val="20"/>
          <w:lang w:val="fr-CA" w:eastAsia="fr-FR"/>
        </w:rPr>
        <w:t>(AMADER</w:t>
      </w:r>
      <w:r w:rsidR="00802BA9" w:rsidRPr="001D0C63">
        <w:rPr>
          <w:rFonts w:ascii="Arial" w:eastAsia="Calibri" w:hAnsi="Arial" w:cs="Arial"/>
          <w:sz w:val="20"/>
          <w:szCs w:val="20"/>
          <w:lang w:val="fr-CA" w:eastAsia="fr-FR"/>
        </w:rPr>
        <w:t xml:space="preserve">) est un EPA </w:t>
      </w:r>
      <w:r w:rsidR="007E04E7" w:rsidRPr="001D0C63">
        <w:rPr>
          <w:rFonts w:ascii="Arial" w:eastAsia="Calibri" w:hAnsi="Arial" w:cs="Arial"/>
          <w:sz w:val="20"/>
          <w:szCs w:val="20"/>
          <w:lang w:val="fr-CA" w:eastAsia="fr-FR"/>
        </w:rPr>
        <w:t>(</w:t>
      </w:r>
      <w:r w:rsidR="008962D8" w:rsidRPr="001D0C63">
        <w:rPr>
          <w:rFonts w:ascii="Arial" w:eastAsia="Calibri" w:hAnsi="Arial" w:cs="Arial"/>
          <w:sz w:val="20"/>
          <w:szCs w:val="20"/>
          <w:lang w:val="fr-CA" w:eastAsia="fr-FR"/>
        </w:rPr>
        <w:t>Établissement</w:t>
      </w:r>
      <w:r w:rsidR="007E04E7" w:rsidRPr="001D0C63">
        <w:rPr>
          <w:rFonts w:ascii="Arial" w:eastAsia="Calibri" w:hAnsi="Arial" w:cs="Arial"/>
          <w:sz w:val="20"/>
          <w:szCs w:val="20"/>
          <w:lang w:val="fr-CA" w:eastAsia="fr-FR"/>
        </w:rPr>
        <w:t xml:space="preserve"> Public à caractère Administratif) </w:t>
      </w:r>
      <w:r w:rsidR="00802BA9" w:rsidRPr="001D0C63">
        <w:rPr>
          <w:rFonts w:ascii="Arial" w:eastAsia="Calibri" w:hAnsi="Arial" w:cs="Arial"/>
          <w:sz w:val="20"/>
          <w:szCs w:val="20"/>
          <w:lang w:val="fr-CA" w:eastAsia="fr-FR"/>
        </w:rPr>
        <w:t>créée en mai 2003</w:t>
      </w:r>
      <w:r w:rsidR="00802BA9" w:rsidRPr="001D0C63">
        <w:rPr>
          <w:rStyle w:val="Appelnotedebasdep"/>
          <w:rFonts w:ascii="Arial" w:eastAsia="Calibri" w:hAnsi="Arial" w:cs="Arial"/>
          <w:sz w:val="20"/>
          <w:szCs w:val="20"/>
          <w:lang w:val="fr-CA" w:eastAsia="fr-FR"/>
        </w:rPr>
        <w:footnoteReference w:id="74"/>
      </w:r>
      <w:r w:rsidR="00802BA9" w:rsidRPr="001D0C63">
        <w:rPr>
          <w:rFonts w:ascii="Arial" w:eastAsia="Calibri" w:hAnsi="Arial" w:cs="Arial"/>
          <w:sz w:val="20"/>
          <w:szCs w:val="20"/>
          <w:lang w:val="fr-CA" w:eastAsia="fr-FR"/>
        </w:rPr>
        <w:t xml:space="preserve"> qui a pour missions le dé</w:t>
      </w:r>
      <w:r w:rsidR="00802BA9" w:rsidRPr="00C518A4">
        <w:rPr>
          <w:rFonts w:ascii="Arial" w:eastAsia="Calibri" w:hAnsi="Arial" w:cs="Arial"/>
          <w:sz w:val="20"/>
          <w:szCs w:val="20"/>
          <w:lang w:val="fr-CA" w:eastAsia="fr-FR"/>
        </w:rPr>
        <w:t>veloppement de l'accès à l'électricité au milieu rural et périurbain et la maîtrise de la consommation d'énergie domestique. Dans le cadre de cette dernière mission, la mise en place de Schéma Directeurs d’Approvisionnement en Combustibles Domestiques et de march</w:t>
      </w:r>
      <w:r w:rsidR="00C518A4">
        <w:rPr>
          <w:rFonts w:ascii="Arial" w:eastAsia="Calibri" w:hAnsi="Arial" w:cs="Arial"/>
          <w:sz w:val="20"/>
          <w:szCs w:val="20"/>
          <w:lang w:val="fr-CA" w:eastAsia="fr-FR"/>
        </w:rPr>
        <w:t xml:space="preserve">és ruraux de bois ont permis de </w:t>
      </w:r>
      <w:r w:rsidR="00802BA9" w:rsidRPr="00C518A4">
        <w:rPr>
          <w:rFonts w:ascii="Arial" w:eastAsia="Calibri" w:hAnsi="Arial" w:cs="Arial"/>
          <w:sz w:val="20"/>
          <w:szCs w:val="20"/>
          <w:lang w:val="fr-CA" w:eastAsia="fr-FR"/>
        </w:rPr>
        <w:t>mieux gérer les ressources forestières et de limiter la déforestation.</w:t>
      </w:r>
      <w:r w:rsidR="00153352" w:rsidRPr="00C518A4">
        <w:rPr>
          <w:rFonts w:ascii="Arial" w:hAnsi="Arial" w:cs="Arial"/>
          <w:sz w:val="20"/>
          <w:szCs w:val="20"/>
        </w:rPr>
        <w:t xml:space="preserve"> </w:t>
      </w:r>
    </w:p>
    <w:p w14:paraId="4FE7FA96" w14:textId="77777777" w:rsidR="00802BA9" w:rsidRPr="00B84254" w:rsidRDefault="00066B1E" w:rsidP="00500D2D">
      <w:pPr>
        <w:spacing w:before="120" w:after="120" w:line="240" w:lineRule="auto"/>
        <w:rPr>
          <w:rFonts w:ascii="Arial" w:eastAsia="Calibri" w:hAnsi="Arial" w:cs="Arial"/>
          <w:sz w:val="20"/>
          <w:szCs w:val="20"/>
          <w:lang w:val="fr-CA" w:eastAsia="fr-FR"/>
        </w:rPr>
      </w:pPr>
      <w:r w:rsidRPr="00C518A4">
        <w:rPr>
          <w:rFonts w:ascii="Arial" w:eastAsia="Calibri" w:hAnsi="Arial" w:cs="Arial"/>
          <w:sz w:val="20"/>
          <w:szCs w:val="20"/>
          <w:lang w:val="fr-CA" w:eastAsia="fr-FR"/>
        </w:rPr>
        <w:t>L’</w:t>
      </w:r>
      <w:r w:rsidR="00153352" w:rsidRPr="00C518A4">
        <w:rPr>
          <w:rFonts w:ascii="Arial" w:eastAsia="Calibri" w:hAnsi="Arial" w:cs="Arial"/>
          <w:b/>
          <w:sz w:val="20"/>
          <w:szCs w:val="20"/>
          <w:lang w:val="fr-CA" w:eastAsia="fr-FR"/>
        </w:rPr>
        <w:t xml:space="preserve">Agence des </w:t>
      </w:r>
      <w:r w:rsidR="000B3421" w:rsidRPr="00B84254">
        <w:rPr>
          <w:rFonts w:ascii="Arial" w:eastAsia="Calibri" w:hAnsi="Arial" w:cs="Arial"/>
          <w:b/>
          <w:sz w:val="20"/>
          <w:szCs w:val="20"/>
          <w:lang w:val="fr-CA" w:eastAsia="fr-FR"/>
        </w:rPr>
        <w:t>Énergies</w:t>
      </w:r>
      <w:r w:rsidR="00153352" w:rsidRPr="00B84254">
        <w:rPr>
          <w:rFonts w:ascii="Arial" w:eastAsia="Calibri" w:hAnsi="Arial" w:cs="Arial"/>
          <w:b/>
          <w:sz w:val="20"/>
          <w:szCs w:val="20"/>
          <w:lang w:val="fr-CA" w:eastAsia="fr-FR"/>
        </w:rPr>
        <w:t xml:space="preserve"> Renouvelables du Mali</w:t>
      </w:r>
      <w:r w:rsidR="00153352" w:rsidRPr="00B84254">
        <w:rPr>
          <w:rFonts w:ascii="Arial" w:eastAsia="Calibri" w:hAnsi="Arial" w:cs="Arial"/>
          <w:sz w:val="20"/>
          <w:szCs w:val="20"/>
          <w:lang w:val="fr-CA" w:eastAsia="fr-FR"/>
        </w:rPr>
        <w:t xml:space="preserve"> (AER-Mali) cré</w:t>
      </w:r>
      <w:r w:rsidR="000B3421" w:rsidRPr="00B84254">
        <w:rPr>
          <w:rFonts w:ascii="Arial" w:eastAsia="Calibri" w:hAnsi="Arial" w:cs="Arial"/>
          <w:sz w:val="20"/>
          <w:szCs w:val="20"/>
          <w:lang w:val="fr-CA" w:eastAsia="fr-FR"/>
        </w:rPr>
        <w:t>é</w:t>
      </w:r>
      <w:r w:rsidR="00153352" w:rsidRPr="00B84254">
        <w:rPr>
          <w:rFonts w:ascii="Arial" w:eastAsia="Calibri" w:hAnsi="Arial" w:cs="Arial"/>
          <w:sz w:val="20"/>
          <w:szCs w:val="20"/>
          <w:lang w:val="fr-CA" w:eastAsia="fr-FR"/>
        </w:rPr>
        <w:t>e en octobre 2014</w:t>
      </w:r>
      <w:r w:rsidR="00CA1C87" w:rsidRPr="00B84254">
        <w:rPr>
          <w:rStyle w:val="Appelnotedebasdep"/>
          <w:rFonts w:ascii="Arial" w:eastAsia="Calibri" w:hAnsi="Arial" w:cs="Arial"/>
          <w:sz w:val="20"/>
          <w:szCs w:val="20"/>
          <w:lang w:val="fr-CA" w:eastAsia="fr-FR"/>
        </w:rPr>
        <w:footnoteReference w:id="75"/>
      </w:r>
      <w:r w:rsidR="00153352" w:rsidRPr="00B84254">
        <w:rPr>
          <w:rFonts w:ascii="Arial" w:eastAsia="Calibri" w:hAnsi="Arial" w:cs="Arial"/>
          <w:sz w:val="20"/>
          <w:szCs w:val="20"/>
          <w:lang w:val="fr-CA" w:eastAsia="fr-FR"/>
        </w:rPr>
        <w:t xml:space="preserve"> en lieu</w:t>
      </w:r>
      <w:r w:rsidRPr="00B84254">
        <w:rPr>
          <w:rFonts w:ascii="Arial" w:eastAsia="Calibri" w:hAnsi="Arial" w:cs="Arial"/>
          <w:sz w:val="20"/>
          <w:szCs w:val="20"/>
          <w:lang w:val="fr-CA" w:eastAsia="fr-FR"/>
        </w:rPr>
        <w:t xml:space="preserve"> </w:t>
      </w:r>
      <w:r w:rsidR="00153352" w:rsidRPr="00B84254">
        <w:rPr>
          <w:rFonts w:ascii="Arial" w:eastAsia="Calibri" w:hAnsi="Arial" w:cs="Arial"/>
          <w:sz w:val="20"/>
          <w:szCs w:val="20"/>
          <w:lang w:val="fr-CA" w:eastAsia="fr-FR"/>
        </w:rPr>
        <w:t xml:space="preserve">et place du Centre National de l’Energie Solaire et des </w:t>
      </w:r>
      <w:r w:rsidR="000B3421" w:rsidRPr="00B84254">
        <w:rPr>
          <w:rFonts w:ascii="Arial" w:eastAsia="Calibri" w:hAnsi="Arial" w:cs="Arial"/>
          <w:sz w:val="20"/>
          <w:szCs w:val="20"/>
          <w:lang w:val="fr-CA" w:eastAsia="fr-FR"/>
        </w:rPr>
        <w:t>Énergies</w:t>
      </w:r>
      <w:r w:rsidR="00153352" w:rsidRPr="00B84254">
        <w:rPr>
          <w:rFonts w:ascii="Arial" w:eastAsia="Calibri" w:hAnsi="Arial" w:cs="Arial"/>
          <w:sz w:val="20"/>
          <w:szCs w:val="20"/>
          <w:lang w:val="fr-CA" w:eastAsia="fr-FR"/>
        </w:rPr>
        <w:t xml:space="preserve"> Renouvelables</w:t>
      </w:r>
      <w:r w:rsidRPr="00B84254">
        <w:rPr>
          <w:rFonts w:ascii="Arial" w:eastAsia="Calibri" w:hAnsi="Arial" w:cs="Arial"/>
          <w:sz w:val="20"/>
          <w:szCs w:val="20"/>
          <w:lang w:val="fr-CA" w:eastAsia="fr-FR"/>
        </w:rPr>
        <w:t xml:space="preserve"> (CNESOLER) est</w:t>
      </w:r>
      <w:r w:rsidR="00153352" w:rsidRPr="00B84254">
        <w:rPr>
          <w:rFonts w:ascii="Arial" w:eastAsia="Calibri" w:hAnsi="Arial" w:cs="Arial"/>
          <w:sz w:val="20"/>
          <w:szCs w:val="20"/>
          <w:lang w:val="fr-CA" w:eastAsia="fr-FR"/>
        </w:rPr>
        <w:t xml:space="preserve"> chargée du développem</w:t>
      </w:r>
      <w:r w:rsidRPr="00B84254">
        <w:rPr>
          <w:rFonts w:ascii="Arial" w:eastAsia="Calibri" w:hAnsi="Arial" w:cs="Arial"/>
          <w:sz w:val="20"/>
          <w:szCs w:val="20"/>
          <w:lang w:val="fr-CA" w:eastAsia="fr-FR"/>
        </w:rPr>
        <w:t>ent des énergies renouvelables.</w:t>
      </w:r>
    </w:p>
    <w:p w14:paraId="11853F36" w14:textId="77777777" w:rsidR="00D1703E" w:rsidRPr="00B84254" w:rsidRDefault="00D1703E" w:rsidP="00D1703E">
      <w:pPr>
        <w:spacing w:after="0" w:line="240" w:lineRule="auto"/>
        <w:rPr>
          <w:rFonts w:ascii="Arial" w:eastAsia="Calibri" w:hAnsi="Arial" w:cs="Arial"/>
          <w:sz w:val="20"/>
          <w:szCs w:val="20"/>
          <w:lang w:val="fr-CA" w:eastAsia="fr-FR"/>
        </w:rPr>
      </w:pPr>
      <w:r w:rsidRPr="00B84254">
        <w:rPr>
          <w:rFonts w:ascii="Arial" w:eastAsia="Calibri" w:hAnsi="Arial" w:cs="Arial"/>
          <w:sz w:val="20"/>
          <w:szCs w:val="20"/>
          <w:lang w:val="fr-CA" w:eastAsia="fr-FR"/>
        </w:rPr>
        <w:t>L’</w:t>
      </w:r>
      <w:r w:rsidRPr="00B84254">
        <w:rPr>
          <w:rFonts w:ascii="Arial" w:eastAsia="Calibri" w:hAnsi="Arial" w:cs="Arial"/>
          <w:b/>
          <w:bCs/>
          <w:sz w:val="20"/>
          <w:szCs w:val="20"/>
          <w:lang w:val="fr-CA" w:eastAsia="fr-FR"/>
        </w:rPr>
        <w:t xml:space="preserve">Agence Nationale de la Météorologie </w:t>
      </w:r>
      <w:r w:rsidRPr="00B84254">
        <w:rPr>
          <w:rFonts w:ascii="Arial" w:eastAsia="Calibri" w:hAnsi="Arial" w:cs="Arial"/>
          <w:sz w:val="20"/>
          <w:szCs w:val="20"/>
          <w:lang w:val="fr-CA" w:eastAsia="fr-FR"/>
        </w:rPr>
        <w:t>(Mali-Météo) créée en février 2012</w:t>
      </w:r>
      <w:r w:rsidRPr="00B84254">
        <w:rPr>
          <w:rFonts w:ascii="Arial" w:eastAsia="Calibri" w:hAnsi="Arial" w:cs="Arial"/>
          <w:sz w:val="20"/>
          <w:szCs w:val="20"/>
          <w:vertAlign w:val="superscript"/>
          <w:lang w:val="fr-CA" w:eastAsia="fr-FR"/>
        </w:rPr>
        <w:footnoteReference w:id="76"/>
      </w:r>
      <w:r w:rsidRPr="00B84254">
        <w:rPr>
          <w:rFonts w:ascii="Arial" w:eastAsia="Calibri" w:hAnsi="Arial" w:cs="Arial"/>
          <w:sz w:val="20"/>
          <w:szCs w:val="20"/>
          <w:lang w:val="fr-CA" w:eastAsia="fr-FR"/>
        </w:rPr>
        <w:t xml:space="preserve"> qui a pour mission l’observation et l’étude du temps, du climat et des constituants atmosphériques de l’environnement en vue d’assurer la sécurité des personnes et des biens et de contribuer au développement économique et social du Mali par la fourniture d’informations et de services appropriés à tous les usagers.</w:t>
      </w:r>
    </w:p>
    <w:p w14:paraId="3FD6B19D" w14:textId="77777777" w:rsidR="00802BA9" w:rsidRPr="00B84254" w:rsidRDefault="00802BA9" w:rsidP="00500D2D">
      <w:pPr>
        <w:spacing w:before="120" w:after="120" w:line="240" w:lineRule="auto"/>
        <w:rPr>
          <w:rFonts w:ascii="Arial" w:eastAsia="Calibri" w:hAnsi="Arial" w:cs="Arial"/>
          <w:sz w:val="20"/>
          <w:szCs w:val="20"/>
          <w:lang w:val="fr-CA" w:eastAsia="fr-FR"/>
        </w:rPr>
      </w:pPr>
      <w:r w:rsidRPr="00B84254">
        <w:rPr>
          <w:rFonts w:ascii="Arial" w:eastAsia="Calibri" w:hAnsi="Arial" w:cs="Arial"/>
          <w:sz w:val="20"/>
          <w:szCs w:val="20"/>
          <w:lang w:val="fr-CA" w:eastAsia="fr-FR"/>
        </w:rPr>
        <w:t xml:space="preserve">Ce cadre institutionnel est complété par de nombreux Conseils nationaux, des Commissariats spéciaux, etc. A cette liste, s’ajoutent les acteurs non gouvernementaux (ONG, associations de producteurs, organisations socio professionnelles, société civile), collectivités territoriales et toutes les structures régionales auquel appartient le Mali (CEDEAO, CILSS, ABN, OMVS…). Elles ont toutes une grande responsabilité dans la gestion environnementale et dans la mise en œuvre des actions environnementales. </w:t>
      </w:r>
    </w:p>
    <w:p w14:paraId="2A68BA50" w14:textId="77777777" w:rsidR="00936D88" w:rsidRPr="00B84254" w:rsidRDefault="00936D88" w:rsidP="00500D2D">
      <w:pPr>
        <w:spacing w:before="120" w:after="120" w:line="240" w:lineRule="auto"/>
        <w:rPr>
          <w:rFonts w:ascii="Arial" w:eastAsia="Calibri" w:hAnsi="Arial" w:cs="Arial"/>
          <w:sz w:val="20"/>
          <w:szCs w:val="20"/>
          <w:lang w:val="fr-CA" w:eastAsia="fr-FR"/>
        </w:rPr>
      </w:pPr>
    </w:p>
    <w:p w14:paraId="0EC06695" w14:textId="77777777" w:rsidR="00715A3F" w:rsidRPr="00B84254" w:rsidRDefault="00802BA9" w:rsidP="00525222">
      <w:pPr>
        <w:pStyle w:val="Titre3"/>
      </w:pPr>
      <w:bookmarkStart w:id="47" w:name="_Toc20505649"/>
      <w:r w:rsidRPr="00B84254">
        <w:t>3.2.2 La coordination entre les diverses institutions ou ministères impliqués dans la gestion des ressources naturelles</w:t>
      </w:r>
      <w:bookmarkEnd w:id="47"/>
    </w:p>
    <w:p w14:paraId="062C1B9A" w14:textId="77777777" w:rsidR="00802BA9" w:rsidRPr="00B84254" w:rsidRDefault="00802BA9" w:rsidP="00500D2D">
      <w:pPr>
        <w:spacing w:before="120" w:after="120" w:line="240" w:lineRule="auto"/>
        <w:rPr>
          <w:rFonts w:ascii="Arial" w:hAnsi="Arial" w:cs="Arial"/>
          <w:sz w:val="20"/>
          <w:szCs w:val="20"/>
          <w:lang w:val="fr-FR" w:eastAsia="fr-FR"/>
        </w:rPr>
      </w:pPr>
      <w:r w:rsidRPr="00B84254">
        <w:rPr>
          <w:rFonts w:ascii="Arial" w:hAnsi="Arial" w:cs="Arial"/>
          <w:sz w:val="20"/>
          <w:szCs w:val="20"/>
          <w:lang w:val="fr-FR"/>
        </w:rPr>
        <w:t xml:space="preserve">La </w:t>
      </w:r>
      <w:r w:rsidRPr="00B84254">
        <w:rPr>
          <w:rFonts w:ascii="Arial" w:hAnsi="Arial" w:cs="Arial"/>
          <w:b/>
          <w:sz w:val="20"/>
          <w:szCs w:val="20"/>
          <w:lang w:val="fr-FR"/>
        </w:rPr>
        <w:t>coordination entre les diverses institutions</w:t>
      </w:r>
      <w:r w:rsidRPr="00B84254">
        <w:rPr>
          <w:rFonts w:ascii="Arial" w:hAnsi="Arial" w:cs="Arial"/>
          <w:sz w:val="20"/>
          <w:szCs w:val="20"/>
          <w:lang w:val="fr-FR"/>
        </w:rPr>
        <w:t xml:space="preserve">, la réussite d’une </w:t>
      </w:r>
      <w:r w:rsidRPr="00B84254">
        <w:rPr>
          <w:rFonts w:ascii="Arial" w:hAnsi="Arial" w:cs="Arial"/>
          <w:sz w:val="20"/>
          <w:szCs w:val="20"/>
        </w:rPr>
        <w:t>mise en œuvre</w:t>
      </w:r>
      <w:r w:rsidRPr="00B84254">
        <w:rPr>
          <w:rFonts w:ascii="Arial" w:hAnsi="Arial" w:cs="Arial"/>
          <w:b/>
          <w:sz w:val="20"/>
          <w:szCs w:val="20"/>
        </w:rPr>
        <w:t xml:space="preserve"> repose sur l’existence d’un cadre institutionnel solide</w:t>
      </w:r>
      <w:r w:rsidRPr="00B84254">
        <w:rPr>
          <w:rFonts w:ascii="Arial" w:hAnsi="Arial" w:cs="Arial"/>
          <w:sz w:val="20"/>
          <w:szCs w:val="20"/>
        </w:rPr>
        <w:t xml:space="preserve"> doté de rôles et responsabilités et de mécanismes de responsabilisation distincts mais complémentaires, ce qui n’est pas le cas actuellement. L</w:t>
      </w:r>
      <w:r w:rsidR="007E04E7" w:rsidRPr="00B84254">
        <w:rPr>
          <w:rFonts w:ascii="Arial" w:hAnsi="Arial" w:cs="Arial"/>
          <w:sz w:val="20"/>
          <w:szCs w:val="20"/>
        </w:rPr>
        <w:t>e</w:t>
      </w:r>
      <w:r w:rsidRPr="00B84254">
        <w:rPr>
          <w:rFonts w:ascii="Arial" w:hAnsi="Arial" w:cs="Arial"/>
          <w:sz w:val="20"/>
          <w:szCs w:val="20"/>
        </w:rPr>
        <w:t xml:space="preserve"> Co</w:t>
      </w:r>
      <w:r w:rsidR="007E04E7" w:rsidRPr="00B84254">
        <w:rPr>
          <w:rFonts w:ascii="Arial" w:hAnsi="Arial" w:cs="Arial"/>
          <w:sz w:val="20"/>
          <w:szCs w:val="20"/>
        </w:rPr>
        <w:t>nseil</w:t>
      </w:r>
      <w:r w:rsidRPr="00B84254">
        <w:rPr>
          <w:rFonts w:ascii="Arial" w:hAnsi="Arial" w:cs="Arial"/>
          <w:sz w:val="20"/>
          <w:szCs w:val="20"/>
        </w:rPr>
        <w:t xml:space="preserve"> National de l’Environnement (CNE), comme le Comité National des Changements Climatiques (CNCC) ont pour président le Ministre chargé de l’Environnement ou son représentant et le Secrétariat Permanent est assuré par l’AEDD (§ 3.2.1). Ces deux structures, et notamment l</w:t>
      </w:r>
      <w:r w:rsidR="00B53D8C" w:rsidRPr="00B84254">
        <w:rPr>
          <w:rFonts w:ascii="Arial" w:hAnsi="Arial" w:cs="Arial"/>
          <w:sz w:val="20"/>
          <w:szCs w:val="20"/>
        </w:rPr>
        <w:t>e</w:t>
      </w:r>
      <w:r w:rsidRPr="00B84254">
        <w:rPr>
          <w:rFonts w:ascii="Arial" w:hAnsi="Arial" w:cs="Arial"/>
          <w:sz w:val="20"/>
          <w:szCs w:val="20"/>
        </w:rPr>
        <w:t xml:space="preserve"> CNE, sont </w:t>
      </w:r>
      <w:r w:rsidRPr="00B84254">
        <w:rPr>
          <w:rFonts w:ascii="Arial" w:eastAsia="Calibri" w:hAnsi="Arial" w:cs="Arial"/>
          <w:sz w:val="20"/>
          <w:szCs w:val="20"/>
          <w:lang w:val="fr-FR" w:eastAsia="fr-FR"/>
        </w:rPr>
        <w:t>particulièrement appréciés car elles favorisent le dialogue entre les différentes parties prenantes. Toutefois, ces deux organes ont un mandat consultatif et la prise en compte des recommandations par les décideurs du parlement n’est pas garantie. De ce fait, il est souhaitable / important que l</w:t>
      </w:r>
      <w:r w:rsidR="00B53D8C" w:rsidRPr="00B84254">
        <w:rPr>
          <w:rFonts w:ascii="Arial" w:eastAsia="Calibri" w:hAnsi="Arial" w:cs="Arial"/>
          <w:sz w:val="20"/>
          <w:szCs w:val="20"/>
          <w:lang w:val="fr-FR" w:eastAsia="fr-FR"/>
        </w:rPr>
        <w:t>e</w:t>
      </w:r>
      <w:r w:rsidRPr="00B84254">
        <w:rPr>
          <w:rFonts w:ascii="Arial" w:eastAsia="Calibri" w:hAnsi="Arial" w:cs="Arial"/>
          <w:sz w:val="20"/>
          <w:szCs w:val="20"/>
          <w:lang w:val="fr-FR" w:eastAsia="fr-FR"/>
        </w:rPr>
        <w:t xml:space="preserve"> CNE et l</w:t>
      </w:r>
      <w:r w:rsidR="00B53D8C" w:rsidRPr="00B84254">
        <w:rPr>
          <w:rFonts w:ascii="Arial" w:eastAsia="Calibri" w:hAnsi="Arial" w:cs="Arial"/>
          <w:sz w:val="20"/>
          <w:szCs w:val="20"/>
          <w:lang w:val="fr-FR" w:eastAsia="fr-FR"/>
        </w:rPr>
        <w:t>e</w:t>
      </w:r>
      <w:r w:rsidRPr="00B84254">
        <w:rPr>
          <w:rFonts w:ascii="Arial" w:eastAsia="Calibri" w:hAnsi="Arial" w:cs="Arial"/>
          <w:sz w:val="20"/>
          <w:szCs w:val="20"/>
          <w:lang w:val="fr-FR" w:eastAsia="fr-FR"/>
        </w:rPr>
        <w:t xml:space="preserve"> CNCC </w:t>
      </w:r>
      <w:r w:rsidRPr="00B84254">
        <w:rPr>
          <w:rFonts w:ascii="Arial" w:hAnsi="Arial" w:cs="Arial"/>
          <w:sz w:val="20"/>
          <w:szCs w:val="20"/>
        </w:rPr>
        <w:t>soient rattachés à un niveau supérieur telle la primature, à l’instar du Conseil Supérieur de l’Agriculture où le président du conseil est le Président de la République</w:t>
      </w:r>
      <w:r w:rsidRPr="00B84254">
        <w:rPr>
          <w:rStyle w:val="Appelnotedebasdep"/>
          <w:rFonts w:ascii="Arial" w:hAnsi="Arial" w:cs="Arial"/>
          <w:sz w:val="20"/>
          <w:szCs w:val="20"/>
        </w:rPr>
        <w:footnoteReference w:id="77"/>
      </w:r>
      <w:r w:rsidRPr="00B84254">
        <w:rPr>
          <w:rFonts w:ascii="Arial" w:hAnsi="Arial" w:cs="Arial"/>
          <w:sz w:val="20"/>
          <w:szCs w:val="20"/>
        </w:rPr>
        <w:t>.</w:t>
      </w:r>
    </w:p>
    <w:p w14:paraId="652BA2A2" w14:textId="77777777" w:rsidR="00802BA9" w:rsidRPr="00C518A4" w:rsidRDefault="00802BA9" w:rsidP="00500D2D">
      <w:pPr>
        <w:spacing w:before="120" w:after="120" w:line="240" w:lineRule="auto"/>
        <w:rPr>
          <w:rFonts w:ascii="Arial" w:hAnsi="Arial" w:cs="Arial"/>
          <w:color w:val="7030A0"/>
          <w:sz w:val="20"/>
          <w:szCs w:val="20"/>
          <w:lang w:val="fr-FR" w:eastAsia="fr-FR"/>
        </w:rPr>
      </w:pPr>
      <w:r w:rsidRPr="00B84254">
        <w:rPr>
          <w:rFonts w:ascii="Arial" w:eastAsia="Calibri" w:hAnsi="Arial" w:cs="Arial"/>
          <w:sz w:val="20"/>
          <w:szCs w:val="20"/>
          <w:lang w:val="fr-CA" w:eastAsia="fr-FR"/>
        </w:rPr>
        <w:lastRenderedPageBreak/>
        <w:t>Au stade actuel, au niveau central,</w:t>
      </w:r>
      <w:r w:rsidRPr="00B84254">
        <w:rPr>
          <w:rFonts w:ascii="Arial" w:eastAsia="Calibri" w:hAnsi="Arial" w:cs="Arial"/>
          <w:b/>
          <w:sz w:val="20"/>
          <w:szCs w:val="20"/>
          <w:lang w:val="fr-CA" w:eastAsia="fr-FR"/>
        </w:rPr>
        <w:t xml:space="preserve"> l’atomisation institutionnelle de la gestion environnementale perdure</w:t>
      </w:r>
      <w:r w:rsidRPr="00B84254">
        <w:rPr>
          <w:rFonts w:ascii="Arial" w:eastAsia="Calibri" w:hAnsi="Arial" w:cs="Arial"/>
          <w:sz w:val="20"/>
          <w:szCs w:val="20"/>
          <w:lang w:val="fr-CA" w:eastAsia="fr-FR"/>
        </w:rPr>
        <w:t>. La concertation entre les acteurs (§ 3.2.1) reste faible mais, toutefois, s’est améliorée grâce à la mise en place de points focaux dans les ministères sectoriels (AEDD dispose de 28 points focaux</w:t>
      </w:r>
      <w:r w:rsidR="00D1703E" w:rsidRPr="00B84254">
        <w:rPr>
          <w:rFonts w:ascii="Arial" w:eastAsia="Calibri" w:hAnsi="Arial" w:cs="Arial"/>
          <w:sz w:val="20"/>
          <w:szCs w:val="20"/>
          <w:lang w:val="fr-CA" w:eastAsia="fr-FR"/>
        </w:rPr>
        <w:t>, à une cellule d’appui à la Décentralisation et à la Déconcentration (CADD) au sein du MEADD)</w:t>
      </w:r>
      <w:r w:rsidRPr="00B84254">
        <w:rPr>
          <w:rFonts w:ascii="Arial" w:eastAsia="Calibri" w:hAnsi="Arial" w:cs="Arial"/>
          <w:sz w:val="20"/>
          <w:szCs w:val="20"/>
          <w:lang w:val="fr-CA" w:eastAsia="fr-FR"/>
        </w:rPr>
        <w:t>, au développement de missions conjointes. Toutefois, il convient de renforcer les synergies et d’éviter les chevauc</w:t>
      </w:r>
      <w:r w:rsidRPr="00C518A4">
        <w:rPr>
          <w:rFonts w:ascii="Arial" w:eastAsia="Calibri" w:hAnsi="Arial" w:cs="Arial"/>
          <w:sz w:val="20"/>
          <w:szCs w:val="20"/>
          <w:lang w:val="fr-CA" w:eastAsia="fr-FR"/>
        </w:rPr>
        <w:t xml:space="preserve">hements entre les missions des différentes structures ; chevauchements se traduisant par des duplications fonctionnelles et des conflits de compétences dans la définition et l’exercice de leurs missions. </w:t>
      </w:r>
    </w:p>
    <w:p w14:paraId="560B09D3" w14:textId="77777777" w:rsidR="00802BA9" w:rsidRDefault="00802BA9" w:rsidP="00500D2D">
      <w:pPr>
        <w:spacing w:before="120" w:after="120" w:line="240" w:lineRule="auto"/>
        <w:rPr>
          <w:rFonts w:ascii="Arial" w:eastAsia="Calibri" w:hAnsi="Arial" w:cs="Arial"/>
          <w:sz w:val="20"/>
          <w:szCs w:val="20"/>
          <w:lang w:val="fr-FR" w:eastAsia="fr-FR"/>
        </w:rPr>
      </w:pPr>
      <w:r w:rsidRPr="00C518A4">
        <w:rPr>
          <w:rFonts w:ascii="Arial" w:eastAsia="Calibri" w:hAnsi="Arial" w:cs="Arial"/>
          <w:sz w:val="20"/>
          <w:szCs w:val="20"/>
          <w:lang w:eastAsia="fr-FR"/>
        </w:rPr>
        <w:t xml:space="preserve">Les structures décentralisées (régions, </w:t>
      </w:r>
      <w:r w:rsidRPr="00C518A4">
        <w:rPr>
          <w:rFonts w:ascii="Arial" w:eastAsia="Calibri" w:hAnsi="Arial" w:cs="Arial"/>
          <w:sz w:val="20"/>
          <w:szCs w:val="20"/>
          <w:lang w:val="fr-FR" w:eastAsia="fr-FR"/>
        </w:rPr>
        <w:t xml:space="preserve">cercles et communes) ont des Comités d’Orientation, de Coordination et de Suivi des Actions de Développement (CROCSAD, CLOCSAD, CCOCSAD créés par le décret N°08-95 du 21 février 2008) ayant pour mission de promouvoir la synergie des actions de développement entre les différents intervenants. A chaque échelon territorial, ces comités regroupent l’ensemble des parties prenantes au développement et sont structurés en groupes thématiques incluant celui de l’environnement. </w:t>
      </w:r>
      <w:r w:rsidRPr="00C518A4">
        <w:rPr>
          <w:rFonts w:ascii="Arial" w:eastAsia="Calibri" w:hAnsi="Arial" w:cs="Arial"/>
          <w:sz w:val="20"/>
          <w:szCs w:val="20"/>
          <w:lang w:eastAsia="fr-FR"/>
        </w:rPr>
        <w:t xml:space="preserve">Les Commissions Foncières (COFO) locales interviennent en cas de conflits fonciers. </w:t>
      </w:r>
      <w:r w:rsidRPr="00C518A4">
        <w:rPr>
          <w:rFonts w:ascii="Arial" w:eastAsia="Calibri" w:hAnsi="Arial" w:cs="Arial"/>
          <w:sz w:val="20"/>
          <w:szCs w:val="20"/>
          <w:lang w:val="fr-FR" w:eastAsia="fr-FR"/>
        </w:rPr>
        <w:t xml:space="preserve">Toutefois, le nombre élevé de ces comités et l’absence de moyens de fonctionnement, les rend peu fonctionnels et la prise en compte des questions environnementales dépend de l’engagement personnel des personnes concernées. </w:t>
      </w:r>
    </w:p>
    <w:p w14:paraId="0084CFDA" w14:textId="77777777" w:rsidR="00C518A4" w:rsidRPr="00C518A4" w:rsidRDefault="00C518A4" w:rsidP="00500D2D">
      <w:pPr>
        <w:spacing w:before="120" w:after="120" w:line="240" w:lineRule="auto"/>
        <w:rPr>
          <w:rFonts w:ascii="Arial" w:eastAsia="Calibri" w:hAnsi="Arial" w:cs="Arial"/>
          <w:sz w:val="20"/>
          <w:szCs w:val="20"/>
          <w:lang w:val="fr-FR" w:eastAsia="fr-FR"/>
        </w:rPr>
      </w:pPr>
    </w:p>
    <w:p w14:paraId="02269CC4" w14:textId="77777777" w:rsidR="00802BA9" w:rsidRPr="00C518A4" w:rsidRDefault="00802BA9" w:rsidP="00525222">
      <w:pPr>
        <w:pStyle w:val="Titre3"/>
      </w:pPr>
      <w:bookmarkStart w:id="48" w:name="_Toc20505650"/>
      <w:r w:rsidRPr="00C518A4">
        <w:t>3.2.3 Le rôle actuel et potentiel de la société civile et du secteur privé</w:t>
      </w:r>
      <w:bookmarkEnd w:id="48"/>
    </w:p>
    <w:p w14:paraId="1E58B205" w14:textId="77777777" w:rsidR="00802BA9" w:rsidRPr="00C518A4" w:rsidRDefault="00802BA9" w:rsidP="00500D2D">
      <w:pPr>
        <w:spacing w:before="120" w:after="120" w:line="240" w:lineRule="auto"/>
        <w:rPr>
          <w:rFonts w:ascii="Arial" w:eastAsia="Calibri" w:hAnsi="Arial" w:cs="Arial"/>
          <w:sz w:val="20"/>
          <w:szCs w:val="20"/>
          <w:lang w:val="fr-FR" w:eastAsia="fr-FR"/>
        </w:rPr>
      </w:pPr>
      <w:r w:rsidRPr="00C518A4">
        <w:rPr>
          <w:rFonts w:ascii="Arial" w:eastAsia="Calibri" w:hAnsi="Arial" w:cs="Arial"/>
          <w:sz w:val="20"/>
          <w:szCs w:val="20"/>
          <w:lang w:val="fr-FR" w:eastAsia="fr-FR"/>
        </w:rPr>
        <w:t>Le gouvernement du Mali évolue d’une concentration de son mandat régalien et de développement des politiques / stratégies vers la délégation / responsabilisation de la société civile pour la gestion environnementale et les activités opérationnelles dans tous les domaines liés. En plus des collectivités territoriales (§ 3.1.5 décentralisation), les ONG et le secteur privé national et international deviennent des acteurs de plus en plus importants de l’action environnementale.</w:t>
      </w:r>
    </w:p>
    <w:p w14:paraId="4BB22C3D" w14:textId="77777777" w:rsidR="00802BA9" w:rsidRPr="00C518A4" w:rsidRDefault="00802BA9" w:rsidP="00500D2D">
      <w:pPr>
        <w:spacing w:before="120" w:after="120" w:line="240" w:lineRule="auto"/>
        <w:rPr>
          <w:rFonts w:ascii="Arial" w:eastAsia="Calibri" w:hAnsi="Arial" w:cs="Arial"/>
          <w:sz w:val="20"/>
          <w:szCs w:val="20"/>
          <w:lang w:val="fr-FR" w:eastAsia="fr-FR"/>
        </w:rPr>
      </w:pPr>
      <w:r w:rsidRPr="00C518A4">
        <w:rPr>
          <w:rFonts w:ascii="Arial" w:eastAsia="Calibri" w:hAnsi="Arial" w:cs="Arial"/>
          <w:sz w:val="20"/>
          <w:szCs w:val="20"/>
          <w:lang w:val="fr-FR" w:eastAsia="fr-FR"/>
        </w:rPr>
        <w:t>Il existe, au Mali, des milliers d’ONG et d’associations nationales et locales, qui travaillent sur la gestion des terres, la préservation de l’environnement et les effets du changement climatique.</w:t>
      </w:r>
      <w:r w:rsidRPr="00C518A4">
        <w:rPr>
          <w:rFonts w:ascii="Arial" w:eastAsia="Times New Roman" w:hAnsi="Arial" w:cs="Arial"/>
          <w:sz w:val="20"/>
          <w:szCs w:val="20"/>
          <w:lang w:val="fr-FR"/>
        </w:rPr>
        <w:t xml:space="preserve"> </w:t>
      </w:r>
      <w:r w:rsidRPr="00C518A4">
        <w:rPr>
          <w:rFonts w:ascii="Arial" w:eastAsia="Calibri" w:hAnsi="Arial" w:cs="Arial"/>
          <w:sz w:val="20"/>
          <w:szCs w:val="20"/>
          <w:lang w:val="fr-FR" w:eastAsia="fr-FR"/>
        </w:rPr>
        <w:t xml:space="preserve">Les ONG sont regroupées au sein de plusieurs cadres de concertation (Reso Climat Mali, SECO/ONG, CCA/ONG, etc.). Reso Climat Mali, regroupant environ 150 ONG plus leurs associations locales affilées, est actuellement le cadre des ONG le plus actif et pertinent dans le domaine environnemental et du changement climatique. Les ONG jouent le rôle crucial d’appui au millier d’associations de la population pour les actions concrètes sur le terrain. La tendance des PTF de passer par les ONG pour la mise en œuvre des projets d’appui se renforce. Dans le domaine du changement climatique, la moitié des projets financés par les PTF est déjà mis en œuvre à travers des ONG qui travaillent en partenariat avec les collectivités et les organisations socio – professionnelles telles les coopératives, les associations (GIZ, 10/2017). </w:t>
      </w:r>
      <w:r w:rsidR="00A748BB">
        <w:rPr>
          <w:rFonts w:ascii="Arial" w:eastAsia="Calibri" w:hAnsi="Arial" w:cs="Arial"/>
          <w:sz w:val="20"/>
          <w:szCs w:val="20"/>
          <w:lang w:val="fr-FR" w:eastAsia="fr-FR"/>
        </w:rPr>
        <w:t xml:space="preserve">Une </w:t>
      </w:r>
      <w:r w:rsidR="00A748BB" w:rsidRPr="00A748BB">
        <w:rPr>
          <w:rFonts w:ascii="Arial" w:eastAsia="Calibri" w:hAnsi="Arial" w:cs="Arial"/>
          <w:sz w:val="20"/>
          <w:szCs w:val="20"/>
          <w:lang w:val="fr-FR" w:eastAsia="fr-FR"/>
        </w:rPr>
        <w:t>alli</w:t>
      </w:r>
      <w:r w:rsidR="00A748BB">
        <w:rPr>
          <w:rFonts w:ascii="Arial" w:eastAsia="Calibri" w:hAnsi="Arial" w:cs="Arial"/>
          <w:sz w:val="20"/>
          <w:szCs w:val="20"/>
          <w:lang w:val="fr-FR" w:eastAsia="fr-FR"/>
        </w:rPr>
        <w:t>ance pour la protection des forê</w:t>
      </w:r>
      <w:r w:rsidR="00A748BB" w:rsidRPr="00A748BB">
        <w:rPr>
          <w:rFonts w:ascii="Arial" w:eastAsia="Calibri" w:hAnsi="Arial" w:cs="Arial"/>
          <w:sz w:val="20"/>
          <w:szCs w:val="20"/>
          <w:lang w:val="fr-FR" w:eastAsia="fr-FR"/>
        </w:rPr>
        <w:t xml:space="preserve">ts </w:t>
      </w:r>
      <w:r w:rsidR="00A748BB">
        <w:rPr>
          <w:rFonts w:ascii="Arial" w:eastAsia="Calibri" w:hAnsi="Arial" w:cs="Arial"/>
          <w:sz w:val="20"/>
          <w:szCs w:val="20"/>
          <w:lang w:val="fr-FR" w:eastAsia="fr-FR"/>
        </w:rPr>
        <w:t xml:space="preserve">a été lancée </w:t>
      </w:r>
      <w:r w:rsidR="00A748BB" w:rsidRPr="00A748BB">
        <w:rPr>
          <w:rFonts w:ascii="Arial" w:eastAsia="Calibri" w:hAnsi="Arial" w:cs="Arial"/>
          <w:sz w:val="20"/>
          <w:szCs w:val="20"/>
          <w:lang w:val="fr-FR" w:eastAsia="fr-FR"/>
        </w:rPr>
        <w:t>le 3 octobre 2019</w:t>
      </w:r>
      <w:r w:rsidR="00A748BB">
        <w:rPr>
          <w:rFonts w:ascii="Arial" w:eastAsia="Calibri" w:hAnsi="Arial" w:cs="Arial"/>
          <w:sz w:val="20"/>
          <w:szCs w:val="20"/>
          <w:lang w:val="fr-FR" w:eastAsia="fr-FR"/>
        </w:rPr>
        <w:t xml:space="preserve">. </w:t>
      </w:r>
      <w:r w:rsidRPr="00C518A4">
        <w:rPr>
          <w:rFonts w:ascii="Arial" w:eastAsia="Calibri" w:hAnsi="Arial" w:cs="Arial"/>
          <w:sz w:val="20"/>
          <w:szCs w:val="20"/>
          <w:lang w:val="fr-FR" w:eastAsia="fr-FR"/>
        </w:rPr>
        <w:t xml:space="preserve">La </w:t>
      </w:r>
      <w:r w:rsidRPr="00C518A4">
        <w:rPr>
          <w:rFonts w:ascii="Arial" w:eastAsia="Calibri" w:hAnsi="Arial" w:cs="Arial"/>
          <w:b/>
          <w:sz w:val="20"/>
          <w:szCs w:val="20"/>
          <w:lang w:val="fr-FR" w:eastAsia="fr-FR"/>
        </w:rPr>
        <w:t>société civile</w:t>
      </w:r>
      <w:r w:rsidRPr="00C518A4">
        <w:rPr>
          <w:rFonts w:ascii="Arial" w:eastAsia="Calibri" w:hAnsi="Arial" w:cs="Arial"/>
          <w:sz w:val="20"/>
          <w:szCs w:val="20"/>
          <w:lang w:val="fr-FR" w:eastAsia="fr-FR"/>
        </w:rPr>
        <w:t xml:space="preserve"> est de plus en plus associée aux planifications à tous les niveaux et à l’action environnementale. Il y a également une tendance des services techniques à l’associer au contrôle du respect de la réglementation environnementale en ce qui concerne la gestion des ressources naturelles. Néanmoins, la société civile reste peu associée aux contrôles dans l’application des PGES et des pollutions. La société civile commence à faire des plaidoyers pour l’environnement par les média internet (Facebook, mali actu,…), néanmoins les actions restent encore timidement organisées (p.ex. la mission de plaidoyer du Reso – Climat, Pacte environnemental pour un Mali nouveau en 2012, salon de l’énergie renouvelable,..) pour devenir une masse critique, qui peut jouer un rôle important de contrôle et de réclamation des droits environnementaux ; les actions organisées de plaidoyer dépendant généralement de financements externes. L’autonomie financière, la transparence et surtout la bonne information sont indispensables pour que la société civile puisse vraiment remplir ce rôle.   </w:t>
      </w:r>
    </w:p>
    <w:p w14:paraId="0D57F71E" w14:textId="77777777" w:rsidR="00802BA9" w:rsidRPr="00C518A4" w:rsidRDefault="00802BA9" w:rsidP="00500D2D">
      <w:pPr>
        <w:autoSpaceDE w:val="0"/>
        <w:autoSpaceDN w:val="0"/>
        <w:adjustRightInd w:val="0"/>
        <w:spacing w:before="120" w:after="120" w:line="240" w:lineRule="auto"/>
        <w:rPr>
          <w:rFonts w:ascii="Arial" w:eastAsia="Calibri" w:hAnsi="Arial" w:cs="Arial"/>
          <w:sz w:val="20"/>
          <w:szCs w:val="20"/>
          <w:lang w:val="fr-FR" w:eastAsia="fr-FR"/>
        </w:rPr>
      </w:pPr>
      <w:r w:rsidRPr="00C518A4">
        <w:rPr>
          <w:rFonts w:ascii="Arial" w:eastAsia="Calibri" w:hAnsi="Arial" w:cs="Arial"/>
          <w:sz w:val="20"/>
          <w:szCs w:val="20"/>
          <w:lang w:val="fr-FR" w:eastAsia="fr-FR"/>
        </w:rPr>
        <w:t xml:space="preserve">L’engagement du </w:t>
      </w:r>
      <w:r w:rsidRPr="00C518A4">
        <w:rPr>
          <w:rFonts w:ascii="Arial" w:eastAsia="Calibri" w:hAnsi="Arial" w:cs="Arial"/>
          <w:b/>
          <w:sz w:val="20"/>
          <w:szCs w:val="20"/>
          <w:lang w:val="fr-FR" w:eastAsia="fr-FR"/>
        </w:rPr>
        <w:t>secteur privé</w:t>
      </w:r>
      <w:r w:rsidRPr="00C518A4">
        <w:rPr>
          <w:rFonts w:ascii="Arial" w:eastAsia="Calibri" w:hAnsi="Arial" w:cs="Arial"/>
          <w:sz w:val="20"/>
          <w:szCs w:val="20"/>
          <w:lang w:val="fr-FR" w:eastAsia="fr-FR"/>
        </w:rPr>
        <w:t xml:space="preserve"> dans les domaines de l’environnement et des changements climatiques reste encore timide en dehors des GIE et entreprises contractées dans les domaines d’assainissement, d’entretien des infrastructures d’adduction d’eau et de gestion des centrales électriques isolées et des premiers Partenariats Publics Privés (foresterie, gestion de déchets, énergie). Il existe une vingtaine d’opérateurs intervenant dans le domaine des Energies Renouvelables (EnR), incluant les sociétés de services décentralisées qui gèrent quelques mini réseaux d’électrification rurale à base d’EnR, ainsi que les distributeurs de matériel électrique, d’éclairage et d’équipements d’efficacité énergétique.</w:t>
      </w:r>
    </w:p>
    <w:p w14:paraId="02AFF8B1" w14:textId="77777777" w:rsidR="00802BA9" w:rsidRPr="00C518A4" w:rsidRDefault="00802BA9" w:rsidP="00500D2D">
      <w:pPr>
        <w:autoSpaceDE w:val="0"/>
        <w:autoSpaceDN w:val="0"/>
        <w:adjustRightInd w:val="0"/>
        <w:spacing w:before="120" w:after="120" w:line="240" w:lineRule="auto"/>
        <w:rPr>
          <w:rFonts w:ascii="Arial" w:eastAsia="Calibri" w:hAnsi="Arial" w:cs="Arial"/>
          <w:sz w:val="20"/>
          <w:szCs w:val="20"/>
          <w:lang w:val="fr-FR" w:eastAsia="fr-FR"/>
        </w:rPr>
      </w:pPr>
      <w:r w:rsidRPr="00C518A4">
        <w:rPr>
          <w:rFonts w:ascii="Arial" w:eastAsia="Calibri" w:hAnsi="Arial" w:cs="Arial"/>
          <w:sz w:val="20"/>
          <w:szCs w:val="20"/>
          <w:lang w:val="fr-FR" w:eastAsia="fr-FR"/>
        </w:rPr>
        <w:t>Malgré l’inscription de « </w:t>
      </w:r>
      <w:r w:rsidRPr="00C518A4">
        <w:rPr>
          <w:rFonts w:ascii="Arial" w:eastAsia="Calibri" w:hAnsi="Arial" w:cs="Arial"/>
          <w:i/>
          <w:sz w:val="20"/>
          <w:szCs w:val="20"/>
          <w:lang w:val="fr-FR" w:eastAsia="fr-FR"/>
        </w:rPr>
        <w:t>l’incitation du secteur privé à participer à l’effort national en matière de changements climatiques »</w:t>
      </w:r>
      <w:r w:rsidRPr="00C518A4">
        <w:rPr>
          <w:rFonts w:ascii="Arial" w:eastAsia="Calibri" w:hAnsi="Arial" w:cs="Arial"/>
          <w:sz w:val="20"/>
          <w:szCs w:val="20"/>
          <w:lang w:val="fr-FR" w:eastAsia="fr-FR"/>
        </w:rPr>
        <w:t xml:space="preserve"> comme axe stratégique de la SNCC, très peu d’initiatives sont engagées pour une meilleure participation des PME. Les initiatives se limitent à l’offre de sensibilisations et de formations (climat expert) des PME à travers l’Agence de Promotion d’investissement (API) et le Conseil National du Patronat du Mali (CNPM) organisés par quelques PTF (ex. l’outil ‘climate expert’). La sensibilité et l’engagement du secteur privé reste encore très bas et atteint au maximum le respect des obligations dans le cadre des EIES. Plusieurs grandes entreprises ignorent souvent même ces obligations dans la pratique quotidienne car le contrôle est rarement effectif (ex. CMDT). Les potentialités de création des métiers « verts » (p.ex. </w:t>
      </w:r>
      <w:r w:rsidRPr="00C518A4">
        <w:rPr>
          <w:rFonts w:ascii="Arial" w:eastAsia="Calibri" w:hAnsi="Arial" w:cs="Arial"/>
          <w:sz w:val="20"/>
          <w:szCs w:val="20"/>
          <w:lang w:val="fr-FR" w:eastAsia="fr-FR"/>
        </w:rPr>
        <w:lastRenderedPageBreak/>
        <w:t xml:space="preserve">valorisation des déchets, production locale de semences résistantes et d’engrais organique, écoconception des constructions) sont largement sous - exploitées. Seules quelques grandes entreprises de communication (Orange, Malitel) cherchent à se donner une image « verte » par l’installation de panneaux solaires au siège ou le financement de quelques actions pendant « La quinzaine de l’Environnement », actions toujours utiles à la publicité de l’entreprise. Les industriels internationaux, notamment les mines, disposent tous de divisions de gestion environnementale et plusieurs se sont engagées dans le processus volontaire de « Responsabilité Sociale des Entreprises », afin de répondre aux pressions croissantes de la société civile internationale. Néanmoins, les mesures sociales, mieux visibles que les mesures environnementales, sont en général privilégiées. </w:t>
      </w:r>
    </w:p>
    <w:p w14:paraId="33E45A05" w14:textId="77777777" w:rsidR="00802BA9" w:rsidRDefault="00802BA9" w:rsidP="00500D2D">
      <w:pPr>
        <w:autoSpaceDE w:val="0"/>
        <w:autoSpaceDN w:val="0"/>
        <w:adjustRightInd w:val="0"/>
        <w:spacing w:before="120" w:after="120" w:line="240" w:lineRule="auto"/>
        <w:rPr>
          <w:rFonts w:ascii="Arial" w:eastAsia="Calibri" w:hAnsi="Arial" w:cs="Arial"/>
          <w:sz w:val="20"/>
          <w:szCs w:val="20"/>
          <w:lang w:val="fr-FR" w:eastAsia="fr-FR"/>
        </w:rPr>
      </w:pPr>
      <w:r w:rsidRPr="00C518A4">
        <w:rPr>
          <w:rFonts w:ascii="Arial" w:eastAsia="Calibri" w:hAnsi="Arial" w:cs="Arial"/>
          <w:sz w:val="20"/>
          <w:szCs w:val="20"/>
          <w:lang w:val="fr-FR" w:eastAsia="fr-FR"/>
        </w:rPr>
        <w:t xml:space="preserve">La mise en œuvre de la vision &lt;&lt; </w:t>
      </w:r>
      <w:r w:rsidRPr="00C518A4">
        <w:rPr>
          <w:rFonts w:ascii="Arial" w:eastAsia="Calibri" w:hAnsi="Arial" w:cs="Arial"/>
          <w:i/>
          <w:sz w:val="20"/>
          <w:szCs w:val="20"/>
          <w:lang w:val="fr-FR" w:eastAsia="fr-FR"/>
        </w:rPr>
        <w:t>construction d’un Mali émergent</w:t>
      </w:r>
      <w:r w:rsidRPr="00C518A4">
        <w:rPr>
          <w:rFonts w:ascii="Arial" w:eastAsia="Calibri" w:hAnsi="Arial" w:cs="Arial"/>
          <w:sz w:val="20"/>
          <w:szCs w:val="20"/>
          <w:lang w:val="fr-FR" w:eastAsia="fr-FR"/>
        </w:rPr>
        <w:t xml:space="preserve"> &gt;&gt; passe nécessairement par des investissements privés massifs dans les secteurs porteurs et prioritaires de l’économie nationale (agriculture, énergie, foresterie et changements d’affectation des terres). L’Accord de Paris a réaffirmé le rôle majeur que devra jouer le secteur privé dans la lutte contre les changements climatiques. La mise en place et l’opérationnalisation de fonds spécialisés (fonds vert, fonds climat Mali) sont des opportunités pour accélérer les investissements privés. Malgré l’inscription d’une ligne spécifique dans le fonds vert à travers la Banque de Développement du Mali (BDM-SA) pour le secteur privé, il reste encore un travail important de facilitation et d’assurance des investisseurs potentiels. L’intensification des Partenariats Public Privé (PPP) et des contrats de prestation de services sont des pistes pour un engagement plus fort du secteur privé dans les domaines environnementaux. Néanmoins, cela demande encore un renforcement de leurs capacités techniques et une amélioration du climat d’investissement (crédits bancaires, garanties du secteur privé).</w:t>
      </w:r>
    </w:p>
    <w:p w14:paraId="5A5E42BD" w14:textId="77777777" w:rsidR="00C518A4" w:rsidRPr="00C518A4" w:rsidRDefault="00C518A4" w:rsidP="00500D2D">
      <w:pPr>
        <w:autoSpaceDE w:val="0"/>
        <w:autoSpaceDN w:val="0"/>
        <w:adjustRightInd w:val="0"/>
        <w:spacing w:before="120" w:after="120" w:line="240" w:lineRule="auto"/>
        <w:rPr>
          <w:rFonts w:ascii="Arial" w:eastAsia="Calibri" w:hAnsi="Arial" w:cs="Arial"/>
          <w:sz w:val="20"/>
          <w:szCs w:val="20"/>
          <w:lang w:val="fr-FR" w:eastAsia="fr-FR"/>
        </w:rPr>
      </w:pPr>
    </w:p>
    <w:p w14:paraId="6D334418" w14:textId="77777777" w:rsidR="00802BA9" w:rsidRPr="00C518A4" w:rsidRDefault="00802BA9" w:rsidP="00525222">
      <w:pPr>
        <w:pStyle w:val="Titre3"/>
      </w:pPr>
      <w:bookmarkStart w:id="49" w:name="_Toc20505651"/>
      <w:r w:rsidRPr="00C518A4">
        <w:t>3.2.4 Les capacités et moyens disponibles au niveau des autorités responsables de la gestion de l’environnement.</w:t>
      </w:r>
      <w:bookmarkEnd w:id="49"/>
    </w:p>
    <w:p w14:paraId="62C83B16" w14:textId="77777777" w:rsidR="004C4A1B" w:rsidRPr="00C518A4" w:rsidRDefault="00802BA9" w:rsidP="00C518A4">
      <w:pPr>
        <w:spacing w:before="120" w:after="120" w:line="240" w:lineRule="auto"/>
        <w:rPr>
          <w:rFonts w:ascii="Arial" w:eastAsia="Calibri" w:hAnsi="Arial" w:cs="Arial"/>
          <w:sz w:val="20"/>
          <w:szCs w:val="20"/>
          <w:lang w:val="fr-FR" w:eastAsia="fr-FR"/>
        </w:rPr>
      </w:pPr>
      <w:r w:rsidRPr="00C518A4">
        <w:rPr>
          <w:rFonts w:ascii="Arial" w:eastAsia="Calibri" w:hAnsi="Arial" w:cs="Arial"/>
          <w:sz w:val="20"/>
          <w:szCs w:val="20"/>
          <w:lang w:val="fr-FR" w:eastAsia="fr-FR"/>
        </w:rPr>
        <w:t xml:space="preserve">Le MEADD et ses structures sont confrontés à de nombreuses difficultés institutionnelles, financières et humaines. Le Gouvernement du Mali affecte moins de 1% des dépenses publiques globales à la catégorie fonctionnelle « </w:t>
      </w:r>
      <w:r w:rsidRPr="00C518A4">
        <w:rPr>
          <w:rFonts w:ascii="Arial" w:eastAsia="Calibri" w:hAnsi="Arial" w:cs="Arial"/>
          <w:i/>
          <w:sz w:val="20"/>
          <w:szCs w:val="20"/>
          <w:lang w:val="fr-FR" w:eastAsia="fr-FR"/>
        </w:rPr>
        <w:t>Protection de l’environnement</w:t>
      </w:r>
      <w:r w:rsidRPr="00C518A4">
        <w:rPr>
          <w:rFonts w:ascii="Arial" w:eastAsia="Calibri" w:hAnsi="Arial" w:cs="Arial"/>
          <w:sz w:val="20"/>
          <w:szCs w:val="20"/>
          <w:lang w:val="fr-FR" w:eastAsia="fr-FR"/>
        </w:rPr>
        <w:t xml:space="preserve"> »</w:t>
      </w:r>
      <w:r w:rsidRPr="00C518A4">
        <w:rPr>
          <w:rStyle w:val="Appelnotedebasdep"/>
          <w:rFonts w:ascii="Arial" w:eastAsia="Calibri" w:hAnsi="Arial" w:cs="Arial"/>
          <w:sz w:val="20"/>
          <w:szCs w:val="20"/>
          <w:lang w:val="fr-FR" w:eastAsia="fr-FR"/>
        </w:rPr>
        <w:footnoteReference w:id="78"/>
      </w:r>
      <w:r w:rsidRPr="00C518A4">
        <w:rPr>
          <w:rFonts w:ascii="Arial" w:eastAsia="Calibri" w:hAnsi="Arial" w:cs="Arial"/>
          <w:sz w:val="20"/>
          <w:szCs w:val="20"/>
          <w:lang w:val="fr-FR" w:eastAsia="fr-FR"/>
        </w:rPr>
        <w:t xml:space="preserve"> et celle des PTF représente entre 1 et 2 % de l’aide global apportée (MEF, 2016)</w:t>
      </w:r>
      <w:r w:rsidRPr="00C518A4">
        <w:rPr>
          <w:rStyle w:val="Appelnotedebasdep"/>
          <w:rFonts w:ascii="Arial" w:eastAsia="Calibri" w:hAnsi="Arial" w:cs="Arial"/>
          <w:sz w:val="20"/>
          <w:szCs w:val="20"/>
          <w:lang w:val="fr-FR" w:eastAsia="fr-FR"/>
        </w:rPr>
        <w:footnoteReference w:id="79"/>
      </w:r>
      <w:r w:rsidRPr="00C518A4">
        <w:rPr>
          <w:rFonts w:ascii="Arial" w:eastAsia="Calibri" w:hAnsi="Arial" w:cs="Arial"/>
          <w:sz w:val="20"/>
          <w:szCs w:val="20"/>
          <w:lang w:val="fr-FR" w:eastAsia="fr-FR"/>
        </w:rPr>
        <w:t xml:space="preserve"> . En outre, au sein du secteur « </w:t>
      </w:r>
      <w:r w:rsidRPr="00C518A4">
        <w:rPr>
          <w:rFonts w:ascii="Arial" w:eastAsia="Calibri" w:hAnsi="Arial" w:cs="Arial"/>
          <w:i/>
          <w:sz w:val="20"/>
          <w:szCs w:val="20"/>
          <w:lang w:val="fr-FR" w:eastAsia="fr-FR"/>
        </w:rPr>
        <w:t>eau et assainissement</w:t>
      </w:r>
      <w:r w:rsidRPr="00C518A4">
        <w:rPr>
          <w:rFonts w:ascii="Arial" w:eastAsia="Calibri" w:hAnsi="Arial" w:cs="Arial"/>
          <w:sz w:val="20"/>
          <w:szCs w:val="20"/>
          <w:lang w:val="fr-FR" w:eastAsia="fr-FR"/>
        </w:rPr>
        <w:t> », la dotation budgétaire « </w:t>
      </w:r>
      <w:r w:rsidRPr="00C518A4">
        <w:rPr>
          <w:rFonts w:ascii="Arial" w:eastAsia="Calibri" w:hAnsi="Arial" w:cs="Arial"/>
          <w:i/>
          <w:sz w:val="20"/>
          <w:szCs w:val="20"/>
          <w:lang w:val="fr-FR" w:eastAsia="fr-FR"/>
        </w:rPr>
        <w:t>assainissement </w:t>
      </w:r>
      <w:r w:rsidRPr="00C518A4">
        <w:rPr>
          <w:rFonts w:ascii="Arial" w:eastAsia="Calibri" w:hAnsi="Arial" w:cs="Arial"/>
          <w:sz w:val="20"/>
          <w:szCs w:val="20"/>
          <w:lang w:val="fr-FR" w:eastAsia="fr-FR"/>
        </w:rPr>
        <w:t>» est environ 10 fois moins importante que celle de l’eau (Com. DNACPN le 6/09/2018). Ce faible niveau des dépenses publiques, se ramenant en grande partie au budget de fonctionnement, limite la capacité du MEADD et des autres intervenants dans le secteur de l’environnement à assurer les fonctions de surveillance, de suivi, de contrôle et de diffusion de l’information.</w:t>
      </w:r>
    </w:p>
    <w:p w14:paraId="368FAA43" w14:textId="77777777" w:rsidR="00802BA9" w:rsidRPr="00C518A4" w:rsidRDefault="004C4A1B" w:rsidP="00C518A4">
      <w:pPr>
        <w:spacing w:before="120" w:after="120" w:line="240" w:lineRule="auto"/>
        <w:ind w:right="-45"/>
        <w:rPr>
          <w:rFonts w:ascii="Arial" w:eastAsia="Calibri" w:hAnsi="Arial" w:cs="Arial"/>
          <w:sz w:val="20"/>
          <w:szCs w:val="20"/>
          <w:lang w:eastAsia="fr-FR"/>
        </w:rPr>
      </w:pPr>
      <w:r w:rsidRPr="00C518A4">
        <w:rPr>
          <w:rFonts w:ascii="Arial" w:eastAsia="Calibri" w:hAnsi="Arial" w:cs="Arial"/>
          <w:sz w:val="20"/>
          <w:szCs w:val="20"/>
          <w:lang w:eastAsia="fr-FR"/>
        </w:rPr>
        <w:t xml:space="preserve">A l’échelon des régions, les structures déconcentrées des ministères sectoriels </w:t>
      </w:r>
      <w:r w:rsidR="00F231E5" w:rsidRPr="00C518A4">
        <w:rPr>
          <w:rFonts w:ascii="Arial" w:eastAsia="Calibri" w:hAnsi="Arial" w:cs="Arial"/>
          <w:sz w:val="20"/>
          <w:szCs w:val="20"/>
          <w:lang w:eastAsia="fr-FR"/>
        </w:rPr>
        <w:t xml:space="preserve">rencontrent </w:t>
      </w:r>
      <w:r w:rsidRPr="00C518A4">
        <w:rPr>
          <w:rFonts w:ascii="Arial" w:eastAsia="Calibri" w:hAnsi="Arial" w:cs="Arial"/>
          <w:sz w:val="20"/>
          <w:szCs w:val="20"/>
          <w:lang w:eastAsia="fr-FR"/>
        </w:rPr>
        <w:t>de nombreuses difficultés institutionnelles, financières et humaines. Ainsi, elles sont très souvent dans l’impossibilité d’assurer les fonctions de surveillance, de suivi, de contrôle et de diffusion de l’information. D’ailleurs, la politique forestière de 2017 indique « </w:t>
      </w:r>
      <w:r w:rsidRPr="00C518A4">
        <w:rPr>
          <w:rFonts w:ascii="Arial" w:eastAsia="Calibri" w:hAnsi="Arial" w:cs="Arial"/>
          <w:i/>
          <w:sz w:val="20"/>
          <w:szCs w:val="20"/>
          <w:lang w:eastAsia="fr-FR"/>
        </w:rPr>
        <w:t>Le manque de moyen en soi n’est pas nouveau, mais lorsque la pression humaine s’amplifie ; que les changements climatiques s’ajoutent à la désertification et que les moyens manquent jusqu’aux ressources humaines, alors le défi prend une nouvelle forme</w:t>
      </w:r>
      <w:r w:rsidRPr="00C518A4">
        <w:rPr>
          <w:rFonts w:ascii="Arial" w:eastAsia="Calibri" w:hAnsi="Arial" w:cs="Arial"/>
          <w:sz w:val="20"/>
          <w:szCs w:val="20"/>
          <w:lang w:eastAsia="fr-FR"/>
        </w:rPr>
        <w:t> ».</w:t>
      </w:r>
    </w:p>
    <w:p w14:paraId="40839C10" w14:textId="77777777" w:rsidR="00802BA9" w:rsidRPr="00C518A4" w:rsidRDefault="00802BA9" w:rsidP="00500D2D">
      <w:pPr>
        <w:spacing w:before="120" w:after="120" w:line="240" w:lineRule="auto"/>
        <w:rPr>
          <w:rFonts w:ascii="Arial" w:eastAsia="Calibri" w:hAnsi="Arial" w:cs="Arial"/>
          <w:sz w:val="20"/>
          <w:szCs w:val="20"/>
          <w:lang w:val="fr-FR" w:eastAsia="fr-FR"/>
        </w:rPr>
      </w:pPr>
      <w:r w:rsidRPr="00C518A4">
        <w:rPr>
          <w:rFonts w:ascii="Arial" w:eastAsia="Calibri" w:hAnsi="Arial" w:cs="Arial"/>
          <w:sz w:val="20"/>
          <w:szCs w:val="20"/>
          <w:lang w:val="fr-FR" w:eastAsia="fr-FR"/>
        </w:rPr>
        <w:t xml:space="preserve">Les collectivités locales souffrent d’un transfert incomplet de compétences en matière de gestion des ressources naturelles et surtout d’absence d’un transfert des ressources financières. Par exemple, la responsabilisation pour l’assainissement est faite depuis peu de temps, mais le budget correspondant est encore géré au niveau central. Leurs capacités de mobilisation des ressources financières locales, mais aussi les capacités techniques restent très faibles et demandent un renforcement important par un appui/conseil adéquat et aussi par une meilleure information. </w:t>
      </w:r>
    </w:p>
    <w:p w14:paraId="1406F5D8" w14:textId="77777777" w:rsidR="00802BA9" w:rsidRDefault="00802BA9" w:rsidP="00500D2D">
      <w:pPr>
        <w:spacing w:before="120" w:after="120" w:line="240" w:lineRule="auto"/>
        <w:rPr>
          <w:rFonts w:ascii="Arial" w:eastAsia="Calibri" w:hAnsi="Arial" w:cs="Arial"/>
          <w:sz w:val="20"/>
          <w:szCs w:val="20"/>
          <w:lang w:val="fr-FR" w:eastAsia="fr-FR"/>
        </w:rPr>
      </w:pPr>
      <w:r w:rsidRPr="00C518A4">
        <w:rPr>
          <w:rFonts w:ascii="Arial" w:eastAsia="Calibri" w:hAnsi="Arial" w:cs="Arial"/>
          <w:sz w:val="20"/>
          <w:szCs w:val="20"/>
          <w:lang w:val="fr-FR" w:eastAsia="fr-FR"/>
        </w:rPr>
        <w:t>Des organisations de la société civile, organisées en réseau d’</w:t>
      </w:r>
      <w:r w:rsidRPr="00C518A4">
        <w:rPr>
          <w:rFonts w:ascii="Arial" w:eastAsia="Calibri" w:hAnsi="Arial" w:cs="Arial"/>
          <w:sz w:val="20"/>
          <w:szCs w:val="20"/>
          <w:u w:val="single"/>
          <w:lang w:val="fr-FR" w:eastAsia="fr-FR"/>
        </w:rPr>
        <w:t>ONG</w:t>
      </w:r>
      <w:r w:rsidRPr="00C518A4">
        <w:rPr>
          <w:rFonts w:ascii="Arial" w:eastAsia="Calibri" w:hAnsi="Arial" w:cs="Arial"/>
          <w:sz w:val="20"/>
          <w:szCs w:val="20"/>
          <w:lang w:val="fr-FR" w:eastAsia="fr-FR"/>
        </w:rPr>
        <w:t xml:space="preserve"> actives dans le domaine de l’environnement et de la gestion des ressources au niveau des communautés locales, jouent un rôle très important pour la mise en œuvre des actions environnementales au niveau local et consacrent des investissements importants. Elles demeurent néanmoins très dépendantes des financements extérieurs.</w:t>
      </w:r>
    </w:p>
    <w:p w14:paraId="6A1225C0" w14:textId="77777777" w:rsidR="00C518A4" w:rsidRPr="00C518A4" w:rsidRDefault="00C518A4" w:rsidP="00500D2D">
      <w:pPr>
        <w:spacing w:before="120" w:after="120" w:line="240" w:lineRule="auto"/>
        <w:rPr>
          <w:rFonts w:ascii="Arial" w:eastAsia="Calibri" w:hAnsi="Arial" w:cs="Arial"/>
          <w:sz w:val="20"/>
          <w:szCs w:val="20"/>
          <w:lang w:val="fr-FR" w:eastAsia="fr-FR"/>
        </w:rPr>
      </w:pPr>
    </w:p>
    <w:p w14:paraId="553F1F20" w14:textId="77777777" w:rsidR="00802BA9" w:rsidRPr="00C518A4" w:rsidRDefault="00802BA9" w:rsidP="00525222">
      <w:pPr>
        <w:pStyle w:val="Titre3"/>
      </w:pPr>
      <w:bookmarkStart w:id="50" w:name="_Toc20505652"/>
      <w:r w:rsidRPr="00C518A4">
        <w:lastRenderedPageBreak/>
        <w:t>3.2.5 La gestion des aires protégées</w:t>
      </w:r>
      <w:bookmarkEnd w:id="50"/>
      <w:r w:rsidRPr="00C518A4">
        <w:t xml:space="preserve"> </w:t>
      </w:r>
    </w:p>
    <w:p w14:paraId="7199E96F" w14:textId="77777777" w:rsidR="00802BA9" w:rsidRPr="00C518A4" w:rsidRDefault="00802BA9" w:rsidP="00500D2D">
      <w:pPr>
        <w:spacing w:before="120" w:after="120" w:line="240" w:lineRule="auto"/>
        <w:rPr>
          <w:rFonts w:ascii="Arial" w:eastAsia="Calibri" w:hAnsi="Arial" w:cs="Arial"/>
          <w:sz w:val="20"/>
          <w:szCs w:val="20"/>
          <w:lang w:val="fr-FR" w:eastAsia="fr-FR"/>
        </w:rPr>
      </w:pPr>
      <w:r w:rsidRPr="00C518A4">
        <w:rPr>
          <w:rFonts w:ascii="Arial" w:eastAsia="Calibri" w:hAnsi="Arial" w:cs="Arial"/>
          <w:sz w:val="20"/>
          <w:szCs w:val="20"/>
          <w:lang w:val="fr-FR" w:eastAsia="fr-FR"/>
        </w:rPr>
        <w:t>L’état des Aires Protégées (AP) est alarmant. A l’exception de la réserve de faune de Bafing Makana, toutes les AP sont considérées comme « dégradées » à « très dégradées » (PNUD/FEM in : DNEF, 2009) et sont soumises à des pressions fortes liées au braconnage, la dégradation des ressources naturelles et à l’augmentation de la pression humaine (annexe 7.4.3). La grande majorité des AP subissent une dégradation accélérée dans toutes les régions du pays (PNF, 2017). Uniquement 14 aires protégées sont dotées d’un plan d’aménagement (CPS SEEUDE, 2017). Malgré l’existence de quatre contrats PPP pour la gestion de plusieurs réserves et forêts classées et une forte tendance des services de E&amp;F à associer les populations locales aux contrôles grâce à i) la création de 203 brigades villageoises d’appui au contrôle de l’exploitation forestière, ii) la mise en place de 19 cadres de concertation autour des aires protégées en 2017 et iii) la redynamisation des brigades de contrôle et de surveillance locale des AP (DNEF, 2018), la mise en œuvre pose des problèmes énormes suite à  l’insuffisance dans la mobilisation des ressources prévues et / ou nécessaires et à la forte pression humaine sur les aires protégées. Si des actions vigoureuses ne sont pas entreprises dès maintenant, l’essentiel des espèces fauniques pourrait disparaître avant 2020 en raison de la dégradation de leur habitat, de l’envahissement par le bétail et des prélèvements illicites et abusifs (PNF, 2017). Les ressources financières et humaines sont insuffisantes pour faire appliquer la réglementation ou mener à bien les activités quotidiennes de gestion. Très peu de réserves ont du personnel dédié et celui-ci n’a pas toutes les compétences nécessaires pour mener à bien toutes les activités. Les infrastructures et les moyens de transport ne sont pas adéquats.</w:t>
      </w:r>
      <w:r w:rsidRPr="00C518A4">
        <w:rPr>
          <w:rFonts w:ascii="Arial" w:hAnsi="Arial" w:cs="Arial"/>
          <w:sz w:val="20"/>
          <w:szCs w:val="20"/>
          <w:lang w:val="fr-FR"/>
        </w:rPr>
        <w:t xml:space="preserve"> </w:t>
      </w:r>
      <w:r w:rsidRPr="00C518A4">
        <w:rPr>
          <w:rFonts w:ascii="Arial" w:eastAsia="Calibri" w:hAnsi="Arial" w:cs="Arial"/>
          <w:sz w:val="20"/>
          <w:szCs w:val="20"/>
          <w:lang w:val="fr-FR" w:eastAsia="fr-FR"/>
        </w:rPr>
        <w:t>En dehors de l’Opération du Parc National de la Boucle du Baoulé (OPNBB) qui s’occupe de la réserve de Biosphère de la Boucle du Baoulé et des réserves adjacentes, les autres aires protégées du reste du territoire sont très peu gérées par les Directions Régionales des Eaux et Forêts (DREF) et la gestion effective des AP dépend des appuis financiers extérieurs</w:t>
      </w:r>
      <w:r w:rsidRPr="003976A2">
        <w:rPr>
          <w:rFonts w:ascii="Arial" w:eastAsia="Calibri" w:hAnsi="Arial" w:cs="Arial"/>
          <w:sz w:val="20"/>
          <w:szCs w:val="20"/>
          <w:lang w:val="fr-FR" w:eastAsia="fr-FR"/>
        </w:rPr>
        <w:t xml:space="preserve">. </w:t>
      </w:r>
      <w:r w:rsidR="008962D8" w:rsidRPr="003976A2">
        <w:rPr>
          <w:rFonts w:ascii="Arial" w:eastAsia="Calibri" w:hAnsi="Arial" w:cs="Arial"/>
          <w:sz w:val="20"/>
          <w:szCs w:val="20"/>
          <w:lang w:val="fr-FR" w:eastAsia="fr-FR"/>
        </w:rPr>
        <w:t xml:space="preserve">Seule </w:t>
      </w:r>
      <w:r w:rsidR="008962D8" w:rsidRPr="00C518A4">
        <w:rPr>
          <w:rFonts w:ascii="Arial" w:eastAsia="Calibri" w:hAnsi="Arial" w:cs="Arial"/>
          <w:sz w:val="20"/>
          <w:szCs w:val="20"/>
          <w:lang w:val="fr-FR" w:eastAsia="fr-FR"/>
        </w:rPr>
        <w:t>la protection</w:t>
      </w:r>
      <w:r w:rsidRPr="00C518A4">
        <w:rPr>
          <w:rFonts w:ascii="Arial" w:eastAsia="Calibri" w:hAnsi="Arial" w:cs="Arial"/>
          <w:sz w:val="20"/>
          <w:szCs w:val="20"/>
          <w:lang w:val="fr-FR" w:eastAsia="fr-FR"/>
        </w:rPr>
        <w:t xml:space="preserve"> des éléphants du Gourma (350 individus avant la crise et 250 estimés aujourd’hui), aura prochainement un appui significatif grâce au contrat PPP avec W</w:t>
      </w:r>
      <w:r w:rsidR="00D15E16">
        <w:rPr>
          <w:rFonts w:ascii="Arial" w:eastAsia="Calibri" w:hAnsi="Arial" w:cs="Arial"/>
          <w:sz w:val="20"/>
          <w:szCs w:val="20"/>
          <w:lang w:val="fr-FR" w:eastAsia="fr-FR"/>
        </w:rPr>
        <w:t>ild  fondation</w:t>
      </w:r>
      <w:r w:rsidRPr="00C518A4">
        <w:rPr>
          <w:rFonts w:ascii="Arial" w:eastAsia="Calibri" w:hAnsi="Arial" w:cs="Arial"/>
          <w:sz w:val="20"/>
          <w:szCs w:val="20"/>
          <w:lang w:val="fr-FR" w:eastAsia="fr-FR"/>
        </w:rPr>
        <w:t xml:space="preserve"> sur financement FEM. Depuis la fin du projet ERSAP en 2015, aucune AP </w:t>
      </w:r>
      <w:r w:rsidR="00D15E16">
        <w:rPr>
          <w:rFonts w:ascii="Arial" w:eastAsia="Calibri" w:hAnsi="Arial" w:cs="Arial"/>
          <w:sz w:val="20"/>
          <w:szCs w:val="20"/>
          <w:lang w:val="fr-FR" w:eastAsia="fr-FR"/>
        </w:rPr>
        <w:t xml:space="preserve">ne </w:t>
      </w:r>
      <w:r w:rsidRPr="00C518A4">
        <w:rPr>
          <w:rFonts w:ascii="Arial" w:eastAsia="Calibri" w:hAnsi="Arial" w:cs="Arial"/>
          <w:sz w:val="20"/>
          <w:szCs w:val="20"/>
          <w:lang w:val="fr-FR" w:eastAsia="fr-FR"/>
        </w:rPr>
        <w:t>bénéficie d’un appui de la communauté internationale. L’importance accordée à la protection de la faune a connu une forte régression depuis la priorisation généralisée des changements climatiques dans le domaine environnemental.</w:t>
      </w:r>
    </w:p>
    <w:p w14:paraId="389D4D39" w14:textId="77777777" w:rsidR="00D31446" w:rsidRPr="001D0C63" w:rsidRDefault="00802BA9" w:rsidP="00500D2D">
      <w:pPr>
        <w:spacing w:before="120" w:after="120" w:line="240" w:lineRule="auto"/>
        <w:rPr>
          <w:rFonts w:ascii="Arial" w:eastAsia="Calibri" w:hAnsi="Arial" w:cs="Arial"/>
          <w:sz w:val="20"/>
          <w:szCs w:val="20"/>
          <w:lang w:val="fr-FR" w:eastAsia="fr-FR"/>
        </w:rPr>
      </w:pPr>
      <w:r w:rsidRPr="00C518A4">
        <w:rPr>
          <w:rFonts w:ascii="Arial" w:eastAsia="Calibri" w:hAnsi="Arial" w:cs="Arial"/>
          <w:sz w:val="20"/>
          <w:szCs w:val="20"/>
          <w:lang w:val="fr-FR" w:eastAsia="fr-FR"/>
        </w:rPr>
        <w:t xml:space="preserve">La situation des </w:t>
      </w:r>
      <w:r w:rsidRPr="00C518A4">
        <w:rPr>
          <w:rFonts w:ascii="Arial" w:eastAsia="Calibri" w:hAnsi="Arial" w:cs="Arial"/>
          <w:b/>
          <w:sz w:val="20"/>
          <w:szCs w:val="20"/>
          <w:lang w:val="fr-FR" w:eastAsia="fr-FR"/>
        </w:rPr>
        <w:t>forêts classées est identique</w:t>
      </w:r>
      <w:r w:rsidRPr="00C518A4">
        <w:rPr>
          <w:rFonts w:ascii="Arial" w:eastAsia="Calibri" w:hAnsi="Arial" w:cs="Arial"/>
          <w:sz w:val="20"/>
          <w:szCs w:val="20"/>
          <w:lang w:val="fr-FR" w:eastAsia="fr-FR"/>
        </w:rPr>
        <w:t xml:space="preserve"> et une grande partie des « forêts classées » existe uniquement sur le papier. Le problème principal reste l’occupation illicite des forêts </w:t>
      </w:r>
      <w:r w:rsidRPr="00A70080">
        <w:rPr>
          <w:rFonts w:ascii="Arial" w:eastAsia="Calibri" w:hAnsi="Arial" w:cs="Arial"/>
          <w:sz w:val="20"/>
          <w:szCs w:val="20"/>
          <w:lang w:val="fr-FR" w:eastAsia="fr-FR"/>
        </w:rPr>
        <w:t xml:space="preserve">liée </w:t>
      </w:r>
      <w:r w:rsidR="00C23D9B" w:rsidRPr="00A70080">
        <w:rPr>
          <w:rFonts w:ascii="Arial" w:eastAsia="Calibri" w:hAnsi="Arial" w:cs="Arial"/>
          <w:sz w:val="20"/>
          <w:szCs w:val="20"/>
          <w:lang w:val="fr-FR" w:eastAsia="fr-FR"/>
        </w:rPr>
        <w:t>entre autres</w:t>
      </w:r>
      <w:r w:rsidRPr="00A70080">
        <w:rPr>
          <w:rFonts w:ascii="Arial" w:eastAsia="Calibri" w:hAnsi="Arial" w:cs="Arial"/>
          <w:sz w:val="20"/>
          <w:szCs w:val="20"/>
          <w:lang w:val="fr-FR" w:eastAsia="fr-FR"/>
        </w:rPr>
        <w:t xml:space="preserve"> au nomadisme agricole, à la transhumance incontrôlée, à la divagation d’animaux domestiques et à l’exploitation minière artisanale. Les pressions s’accroissent ces dernières années, malgré la mise en œuvre de la Stratégie nationale des aires protégées 2011 – 2020 avec ses nouvelles formes de gestion de gestion des domaines classées (forêts communautaires, concessions écotouristiques et autres PPP). Ils existent aujourd’hui 305 massifs forestiers villageois dont 253 dotés d’un PAG (DNEF, 2018). Les contrats </w:t>
      </w:r>
      <w:r w:rsidR="00551E52" w:rsidRPr="00A70080">
        <w:rPr>
          <w:rFonts w:ascii="Arial" w:eastAsia="Calibri" w:hAnsi="Arial" w:cs="Arial"/>
          <w:sz w:val="20"/>
          <w:szCs w:val="20"/>
          <w:lang w:val="fr-FR" w:eastAsia="fr-FR"/>
        </w:rPr>
        <w:t xml:space="preserve">Partenariats Public Privé ou </w:t>
      </w:r>
      <w:r w:rsidRPr="00A70080">
        <w:rPr>
          <w:rFonts w:ascii="Arial" w:eastAsia="Calibri" w:hAnsi="Arial" w:cs="Arial"/>
          <w:sz w:val="20"/>
          <w:szCs w:val="20"/>
          <w:lang w:val="fr-FR" w:eastAsia="fr-FR"/>
        </w:rPr>
        <w:t>PPP et cad</w:t>
      </w:r>
      <w:r w:rsidRPr="00C518A4">
        <w:rPr>
          <w:rFonts w:ascii="Arial" w:eastAsia="Calibri" w:hAnsi="Arial" w:cs="Arial"/>
          <w:sz w:val="20"/>
          <w:szCs w:val="20"/>
          <w:lang w:val="fr-FR" w:eastAsia="fr-FR"/>
        </w:rPr>
        <w:t xml:space="preserve">res institutionnels sont mise en place, mais les moyens financiers mobilisés pour la mise en œuvre des PAG, et surtout pour assurer un minimum de de contrôle et de respect de la réglementation, restent toujours largement en dessous des besoins à tous les niveaux (service étatique, collectivités locales et secteur </w:t>
      </w:r>
      <w:r w:rsidRPr="001D0C63">
        <w:rPr>
          <w:rFonts w:ascii="Arial" w:eastAsia="Calibri" w:hAnsi="Arial" w:cs="Arial"/>
          <w:sz w:val="20"/>
          <w:szCs w:val="20"/>
          <w:lang w:val="fr-FR" w:eastAsia="fr-FR"/>
        </w:rPr>
        <w:t xml:space="preserve">privé). </w:t>
      </w:r>
      <w:r w:rsidR="00D31446" w:rsidRPr="001D0C63">
        <w:rPr>
          <w:rFonts w:ascii="Arial" w:eastAsia="Calibri" w:hAnsi="Arial" w:cs="Arial"/>
          <w:sz w:val="20"/>
          <w:szCs w:val="20"/>
          <w:lang w:val="fr-FR" w:eastAsia="fr-FR"/>
        </w:rPr>
        <w:t>Malgré des expériences positives des contrats PPP (Wild Foundation) dans le cas de la réserve des éléphants de Gourma, l’évaluation des contrats PPP montre un besoin de relecture des textes définissant les conditions d’octroi des contrats d’amodiation ou de concession aux prestataires (opérateurs économiques, ONG) ; de la mise à disposition des contrats et cahiers de charges aux structures déconcentrées des services des E&amp;F ; de l’harmonisation des contenus des contrats et cahiers de charges avec les dispositions des plans d’aménagement et du respect strict des engagements pris par toutes les parties prenantes.(DNEF, 2018).</w:t>
      </w:r>
    </w:p>
    <w:p w14:paraId="05A84DF7" w14:textId="77777777" w:rsidR="00802BA9" w:rsidRDefault="00802BA9" w:rsidP="00500D2D">
      <w:pPr>
        <w:spacing w:before="120" w:after="120" w:line="240" w:lineRule="auto"/>
        <w:rPr>
          <w:rFonts w:ascii="Arial" w:eastAsia="Calibri" w:hAnsi="Arial" w:cs="Arial"/>
          <w:sz w:val="20"/>
          <w:szCs w:val="20"/>
          <w:lang w:val="fr-FR" w:eastAsia="fr-FR"/>
        </w:rPr>
      </w:pPr>
      <w:r w:rsidRPr="00C518A4">
        <w:rPr>
          <w:rFonts w:ascii="Arial" w:eastAsia="Calibri" w:hAnsi="Arial" w:cs="Arial"/>
          <w:sz w:val="20"/>
          <w:szCs w:val="20"/>
          <w:lang w:val="fr-FR" w:eastAsia="fr-FR"/>
        </w:rPr>
        <w:t>Les espaces verts continuent de subir des changements perpétuels de vocation, malgré les multiples protestations citoyennes. Les immenses efforts déployés pour renforcer la protection des écosystèmes forestiers et agro-forestiers restent toujours en deçà de l’ampleur de la dégradation. Les domaines classés et les espaces verts n’ont pas bénéficié de l’attention politique souhaitée, même si les discours politiques s’accordent sur l’importance et l’urgence de leur protection.</w:t>
      </w:r>
    </w:p>
    <w:p w14:paraId="24C3B06F" w14:textId="77777777" w:rsidR="00C518A4" w:rsidRPr="00C518A4" w:rsidRDefault="00C518A4" w:rsidP="00500D2D">
      <w:pPr>
        <w:spacing w:before="120" w:after="120" w:line="240" w:lineRule="auto"/>
        <w:rPr>
          <w:rFonts w:ascii="Arial" w:eastAsia="Calibri" w:hAnsi="Arial" w:cs="Arial"/>
          <w:sz w:val="20"/>
          <w:szCs w:val="20"/>
          <w:lang w:val="fr-FR" w:eastAsia="fr-FR"/>
        </w:rPr>
      </w:pPr>
    </w:p>
    <w:p w14:paraId="0254528B" w14:textId="77777777" w:rsidR="00802BA9" w:rsidRPr="00C518A4" w:rsidRDefault="00802BA9" w:rsidP="00525222">
      <w:pPr>
        <w:pStyle w:val="Titre3"/>
      </w:pPr>
      <w:bookmarkStart w:id="51" w:name="_Toc20505653"/>
      <w:r w:rsidRPr="00C518A4">
        <w:t>3.2.6 L’accès à l’information et à la justice ainsi que la participation du public au processus décisionnel (principe 10 de la Déclaration de Rio)</w:t>
      </w:r>
      <w:bookmarkEnd w:id="51"/>
    </w:p>
    <w:p w14:paraId="77EF4528" w14:textId="77777777" w:rsidR="00802BA9" w:rsidRPr="00C518A4" w:rsidRDefault="00802BA9" w:rsidP="00500D2D">
      <w:pPr>
        <w:spacing w:before="120" w:after="120" w:line="240" w:lineRule="auto"/>
        <w:rPr>
          <w:rFonts w:ascii="Arial" w:eastAsia="Times New Roman" w:hAnsi="Arial" w:cs="Arial"/>
          <w:sz w:val="20"/>
          <w:szCs w:val="20"/>
          <w:lang w:val="fr-FR"/>
        </w:rPr>
      </w:pPr>
      <w:r w:rsidRPr="00C518A4">
        <w:rPr>
          <w:rFonts w:ascii="Arial" w:eastAsia="Calibri" w:hAnsi="Arial" w:cs="Arial"/>
          <w:sz w:val="20"/>
          <w:szCs w:val="20"/>
          <w:lang w:val="fr-FR" w:eastAsia="fr-FR"/>
        </w:rPr>
        <w:t xml:space="preserve">Le Principe 10 de la Déclaration de Rio, adopté en 1992, encourage l’accès à l’information, la participation du public et l’accès à la justice en matière d’environnement. Au regard des textes existants, </w:t>
      </w:r>
      <w:r w:rsidRPr="00C518A4">
        <w:rPr>
          <w:rFonts w:ascii="Arial" w:eastAsia="Calibri" w:hAnsi="Arial" w:cs="Arial"/>
          <w:b/>
          <w:sz w:val="20"/>
          <w:szCs w:val="20"/>
          <w:lang w:val="fr-FR" w:eastAsia="fr-FR"/>
        </w:rPr>
        <w:t>l’accès à l’information</w:t>
      </w:r>
      <w:r w:rsidRPr="00C518A4">
        <w:rPr>
          <w:rFonts w:ascii="Arial" w:eastAsia="Calibri" w:hAnsi="Arial" w:cs="Arial"/>
          <w:sz w:val="20"/>
          <w:szCs w:val="20"/>
          <w:lang w:val="fr-FR" w:eastAsia="fr-FR"/>
        </w:rPr>
        <w:t xml:space="preserve"> est un droit inaliénable pour tous les citoyens au Mali. Par le biais de la radio, télévision, presse écrite, le citoyen a commencé à accéder aux informations sur l’environnement qui se limitait, souvent, à la quinzaine de l’environnement de juin (19</w:t>
      </w:r>
      <w:r w:rsidRPr="00C518A4">
        <w:rPr>
          <w:rFonts w:ascii="Arial" w:eastAsia="Calibri" w:hAnsi="Arial" w:cs="Arial"/>
          <w:sz w:val="20"/>
          <w:szCs w:val="20"/>
          <w:vertAlign w:val="superscript"/>
          <w:lang w:val="fr-FR" w:eastAsia="fr-FR"/>
        </w:rPr>
        <w:t>ème</w:t>
      </w:r>
      <w:r w:rsidRPr="00C518A4">
        <w:rPr>
          <w:rFonts w:ascii="Arial" w:eastAsia="Calibri" w:hAnsi="Arial" w:cs="Arial"/>
          <w:sz w:val="20"/>
          <w:szCs w:val="20"/>
          <w:lang w:val="fr-FR" w:eastAsia="fr-FR"/>
        </w:rPr>
        <w:t xml:space="preserve"> édition en 2018). Le droit à l’information environnementale a réellement débuté en 2008 avec le décret relatif à l’EIES et, notamment, grâce à la consultation publique </w:t>
      </w:r>
      <w:r w:rsidRPr="00C518A4">
        <w:rPr>
          <w:rFonts w:ascii="Arial" w:eastAsia="Calibri" w:hAnsi="Arial" w:cs="Arial"/>
          <w:sz w:val="20"/>
          <w:szCs w:val="20"/>
          <w:lang w:val="fr-FR" w:eastAsia="fr-FR"/>
        </w:rPr>
        <w:lastRenderedPageBreak/>
        <w:t>durant le processus de l’EIES qui inclut la signature d’un procès-verbal par rapport aux préoccupations des populations concernées.</w:t>
      </w:r>
      <w:r w:rsidRPr="00C518A4">
        <w:rPr>
          <w:rFonts w:ascii="Arial" w:eastAsia="Times New Roman" w:hAnsi="Arial" w:cs="Arial"/>
          <w:sz w:val="20"/>
          <w:szCs w:val="20"/>
          <w:lang w:val="fr-FR"/>
        </w:rPr>
        <w:t xml:space="preserve"> </w:t>
      </w:r>
    </w:p>
    <w:p w14:paraId="313D053F" w14:textId="77777777" w:rsidR="00802BA9" w:rsidRPr="00C518A4" w:rsidRDefault="00802BA9" w:rsidP="00500D2D">
      <w:pPr>
        <w:spacing w:before="120" w:after="120" w:line="240" w:lineRule="auto"/>
        <w:rPr>
          <w:rFonts w:ascii="Arial" w:eastAsia="Times New Roman" w:hAnsi="Arial" w:cs="Arial"/>
          <w:sz w:val="20"/>
          <w:szCs w:val="20"/>
          <w:lang w:val="fr-FR"/>
        </w:rPr>
      </w:pPr>
      <w:r w:rsidRPr="00C518A4">
        <w:rPr>
          <w:rFonts w:ascii="Arial" w:eastAsia="Times New Roman" w:hAnsi="Arial" w:cs="Arial"/>
          <w:sz w:val="20"/>
          <w:szCs w:val="20"/>
          <w:lang w:val="fr-FR"/>
        </w:rPr>
        <w:t xml:space="preserve">Le développement des nouvelles technologies de l’information et de la communication (amélioration du débit d’internet, passage à la 4 G en 2017, réseaux sociaux tel </w:t>
      </w:r>
      <w:r w:rsidRPr="00C518A4">
        <w:rPr>
          <w:rFonts w:ascii="Arial" w:eastAsia="Times New Roman" w:hAnsi="Arial" w:cs="Arial"/>
          <w:i/>
          <w:sz w:val="20"/>
          <w:szCs w:val="20"/>
          <w:lang w:val="fr-FR"/>
        </w:rPr>
        <w:t xml:space="preserve">Facebook </w:t>
      </w:r>
      <w:r w:rsidRPr="00C518A4">
        <w:rPr>
          <w:rFonts w:ascii="Arial" w:eastAsia="Times New Roman" w:hAnsi="Arial" w:cs="Arial"/>
          <w:sz w:val="20"/>
          <w:szCs w:val="20"/>
          <w:lang w:val="fr-FR"/>
        </w:rPr>
        <w:t>très présent, amélioration des sites web AEDD/INSTAT, etc.) permet au citoyen, notamment celui de Bamako, d’avoir accès à l’information environnementale. Toutefois, à l’extérieur de la capitale, l’accès à celle-ci apparait plus problématique (faible distribution des documents aux communes, lenteur de la connexion internet, information rarement simplifiée pour une compréhension facile pour le citoyen peu éduqué). De ce fait, l</w:t>
      </w:r>
      <w:r w:rsidRPr="00C518A4">
        <w:rPr>
          <w:rFonts w:ascii="Arial" w:eastAsia="Calibri" w:hAnsi="Arial" w:cs="Arial"/>
          <w:sz w:val="20"/>
          <w:szCs w:val="20"/>
          <w:lang w:val="fr-FR" w:eastAsia="fr-FR"/>
        </w:rPr>
        <w:t xml:space="preserve">e faible niveau d’information du public empêche le réveil d’une masse critique qui pourrait jouer une fonction de veille sur l’environnement, à l’instar de la société civile du Maghreb. De ce fait, il est important de renforcer/améliorer la </w:t>
      </w:r>
      <w:r w:rsidRPr="00C518A4">
        <w:rPr>
          <w:rFonts w:ascii="Arial" w:eastAsia="Times New Roman" w:hAnsi="Arial" w:cs="Arial"/>
          <w:sz w:val="20"/>
          <w:szCs w:val="20"/>
          <w:lang w:val="fr-FR"/>
        </w:rPr>
        <w:t>stratégie de communication du ME</w:t>
      </w:r>
      <w:r w:rsidR="004C4A1B" w:rsidRPr="00C518A4">
        <w:rPr>
          <w:rFonts w:ascii="Arial" w:eastAsia="Times New Roman" w:hAnsi="Arial" w:cs="Arial"/>
          <w:sz w:val="20"/>
          <w:szCs w:val="20"/>
          <w:lang w:val="fr-FR"/>
        </w:rPr>
        <w:t>ADD</w:t>
      </w:r>
      <w:r w:rsidRPr="00C518A4">
        <w:rPr>
          <w:rFonts w:ascii="Arial" w:eastAsia="Times New Roman" w:hAnsi="Arial" w:cs="Arial"/>
          <w:sz w:val="20"/>
          <w:szCs w:val="20"/>
          <w:lang w:val="fr-FR"/>
        </w:rPr>
        <w:t xml:space="preserve">. </w:t>
      </w:r>
    </w:p>
    <w:p w14:paraId="0CFF1A15" w14:textId="77777777" w:rsidR="00802BA9" w:rsidRPr="00C518A4" w:rsidRDefault="00802BA9" w:rsidP="00500D2D">
      <w:pPr>
        <w:spacing w:before="120" w:after="120" w:line="240" w:lineRule="auto"/>
        <w:rPr>
          <w:rFonts w:ascii="Arial" w:eastAsia="Calibri" w:hAnsi="Arial" w:cs="Arial"/>
          <w:sz w:val="20"/>
          <w:szCs w:val="20"/>
          <w:lang w:val="fr-FR" w:eastAsia="fr-FR"/>
        </w:rPr>
      </w:pPr>
      <w:r w:rsidRPr="00C518A4">
        <w:rPr>
          <w:rFonts w:ascii="Arial" w:eastAsia="Times New Roman" w:hAnsi="Arial" w:cs="Arial"/>
          <w:sz w:val="20"/>
          <w:szCs w:val="20"/>
          <w:lang w:val="fr-FR"/>
        </w:rPr>
        <w:t>Selon les textes législatifs, l’accès à la justice est un droit, notamment avec l’application du principe pollueur-payeur</w:t>
      </w:r>
      <w:r w:rsidRPr="00C518A4">
        <w:rPr>
          <w:rStyle w:val="Appelnotedebasdep"/>
          <w:rFonts w:ascii="Arial" w:eastAsia="Times New Roman" w:hAnsi="Arial" w:cs="Arial"/>
          <w:sz w:val="20"/>
          <w:szCs w:val="20"/>
          <w:lang w:val="fr-FR"/>
        </w:rPr>
        <w:footnoteReference w:id="80"/>
      </w:r>
      <w:r w:rsidRPr="00C518A4">
        <w:rPr>
          <w:rFonts w:ascii="Arial" w:eastAsia="Times New Roman" w:hAnsi="Arial" w:cs="Arial"/>
          <w:sz w:val="20"/>
          <w:szCs w:val="20"/>
          <w:lang w:val="fr-FR"/>
        </w:rPr>
        <w:t xml:space="preserve">. Toutefois, le citoyen i) peut être éloigné de la juridiction, ii) manque de confiance en la justice dont l’intégrité est souvent questionnée, iii) bute sur les frais de justice et iv) considère que la justice traditionnelle est mieux adaptée aux réalités locales et est préférable à la justice moderne (compréhension de la loi, du droit, des procédures). Par ailleurs, des leaders syndicaux peuvent </w:t>
      </w:r>
      <w:r w:rsidR="000A4ED7" w:rsidRPr="00C518A4">
        <w:rPr>
          <w:rFonts w:ascii="Arial" w:eastAsia="Times New Roman" w:hAnsi="Arial" w:cs="Arial"/>
          <w:color w:val="7030A0"/>
          <w:sz w:val="20"/>
          <w:szCs w:val="20"/>
          <w:lang w:val="fr-FR"/>
        </w:rPr>
        <w:t>être</w:t>
      </w:r>
      <w:r w:rsidR="000A4ED7" w:rsidRPr="00C518A4">
        <w:rPr>
          <w:rFonts w:ascii="Arial" w:eastAsia="Times New Roman" w:hAnsi="Arial" w:cs="Arial"/>
          <w:sz w:val="20"/>
          <w:szCs w:val="20"/>
          <w:lang w:val="fr-FR"/>
        </w:rPr>
        <w:t xml:space="preserve"> </w:t>
      </w:r>
      <w:r w:rsidRPr="00C518A4">
        <w:rPr>
          <w:rFonts w:ascii="Arial" w:eastAsia="Times New Roman" w:hAnsi="Arial" w:cs="Arial"/>
          <w:sz w:val="20"/>
          <w:szCs w:val="20"/>
          <w:lang w:val="fr-FR"/>
        </w:rPr>
        <w:t>licenciés pour avoir réclamé des visites médicales, conformément à l’article 50 de la convention collective minière, pour des travailleurs contaminés par le plomb</w:t>
      </w:r>
      <w:r w:rsidRPr="00C518A4">
        <w:rPr>
          <w:rStyle w:val="Appelnotedebasdep"/>
          <w:rFonts w:ascii="Arial" w:eastAsia="Times New Roman" w:hAnsi="Arial" w:cs="Arial"/>
          <w:sz w:val="20"/>
          <w:szCs w:val="20"/>
          <w:lang w:val="fr-FR"/>
        </w:rPr>
        <w:footnoteReference w:id="81"/>
      </w:r>
      <w:r w:rsidRPr="00C518A4">
        <w:rPr>
          <w:rFonts w:ascii="Arial" w:eastAsia="Times New Roman" w:hAnsi="Arial" w:cs="Arial"/>
          <w:sz w:val="20"/>
          <w:szCs w:val="20"/>
          <w:lang w:val="fr-FR"/>
        </w:rPr>
        <w:t>. Des efforts ont été faits pour rendre la justice accessible (fiches pratiques pour comprendre le droit, formation des magistrats pour l’application du droit lié à l’environnement, récent développement d’une application pour Android</w:t>
      </w:r>
      <w:r w:rsidRPr="00C518A4">
        <w:rPr>
          <w:rStyle w:val="Appelnotedebasdep"/>
          <w:rFonts w:ascii="Arial" w:eastAsia="Times New Roman" w:hAnsi="Arial" w:cs="Arial"/>
          <w:sz w:val="20"/>
          <w:szCs w:val="20"/>
          <w:lang w:val="fr-FR"/>
        </w:rPr>
        <w:footnoteReference w:id="82"/>
      </w:r>
      <w:r w:rsidRPr="00C518A4">
        <w:rPr>
          <w:rFonts w:ascii="Arial" w:eastAsia="Times New Roman" w:hAnsi="Arial" w:cs="Arial"/>
          <w:sz w:val="20"/>
          <w:szCs w:val="20"/>
          <w:lang w:val="fr-FR"/>
        </w:rPr>
        <w:t xml:space="preserve"> en 2018, etc.). Toutefois, il faut poursuivre ces efforts à travers la sensibilisation des magistrats, des avocats, de la société civile pour une réelle application du droit environnemental. Actuellement, </w:t>
      </w:r>
      <w:r w:rsidRPr="00C518A4">
        <w:rPr>
          <w:rFonts w:ascii="Arial" w:eastAsia="Calibri" w:hAnsi="Arial" w:cs="Arial"/>
          <w:sz w:val="20"/>
          <w:szCs w:val="20"/>
          <w:lang w:val="fr-FR" w:eastAsia="fr-FR"/>
        </w:rPr>
        <w:t xml:space="preserve">la volonté du peuple malien de s’appuyer sur la loi moderne, utilisant les verbalisations et les pénalités, pour résoudre les conflits reste très limitée et l’impact des efforts supplémentaires à ce niveau restera limité si les chefs de villages, garants traditionnels du droit, ne sont pas impliqués. </w:t>
      </w:r>
    </w:p>
    <w:p w14:paraId="31984317" w14:textId="77777777" w:rsidR="00802BA9" w:rsidRPr="00C518A4" w:rsidRDefault="00802BA9" w:rsidP="00500D2D">
      <w:pPr>
        <w:spacing w:before="120" w:after="120" w:line="240" w:lineRule="auto"/>
        <w:rPr>
          <w:rFonts w:ascii="Arial" w:eastAsia="Calibri" w:hAnsi="Arial" w:cs="Arial"/>
          <w:sz w:val="20"/>
          <w:szCs w:val="20"/>
          <w:lang w:val="fr-FR" w:eastAsia="fr-FR"/>
        </w:rPr>
      </w:pPr>
    </w:p>
    <w:p w14:paraId="39528A52" w14:textId="77777777" w:rsidR="00802BA9" w:rsidRPr="00C518A4" w:rsidRDefault="00802BA9" w:rsidP="00802BA9">
      <w:pPr>
        <w:pStyle w:val="Titre2"/>
        <w:rPr>
          <w:lang w:eastAsia="fr-FR"/>
        </w:rPr>
      </w:pPr>
      <w:bookmarkStart w:id="52" w:name="_Toc20505654"/>
      <w:r w:rsidRPr="00C518A4">
        <w:rPr>
          <w:lang w:eastAsia="fr-FR"/>
        </w:rPr>
        <w:t>3.3 Les indicateurs environnementaux et le système de suivi environnemental</w:t>
      </w:r>
      <w:bookmarkEnd w:id="52"/>
    </w:p>
    <w:p w14:paraId="2E9131C6" w14:textId="77777777" w:rsidR="00802BA9" w:rsidRPr="00C518A4" w:rsidRDefault="00802BA9" w:rsidP="00525222">
      <w:pPr>
        <w:pStyle w:val="Titre3"/>
      </w:pPr>
      <w:bookmarkStart w:id="53" w:name="_Toc20505655"/>
      <w:r w:rsidRPr="00C518A4">
        <w:t>3.3.1 Indicateurs internationaux de la performance environnementale</w:t>
      </w:r>
      <w:bookmarkEnd w:id="53"/>
    </w:p>
    <w:p w14:paraId="132F456F" w14:textId="77777777" w:rsidR="000A4ED7" w:rsidRPr="001D0C63" w:rsidRDefault="000A4ED7" w:rsidP="00C518A4">
      <w:pPr>
        <w:spacing w:before="120" w:after="120" w:line="240" w:lineRule="auto"/>
        <w:rPr>
          <w:rFonts w:ascii="Arial" w:eastAsia="Calibri" w:hAnsi="Arial" w:cs="Arial"/>
          <w:sz w:val="20"/>
          <w:szCs w:val="20"/>
          <w:lang w:val="fr-FR" w:eastAsia="fr-FR"/>
        </w:rPr>
      </w:pPr>
      <w:r w:rsidRPr="001D0C63">
        <w:rPr>
          <w:rFonts w:ascii="Arial" w:eastAsia="Calibri" w:hAnsi="Arial" w:cs="Arial"/>
          <w:sz w:val="20"/>
          <w:szCs w:val="20"/>
          <w:lang w:val="fr-FR" w:eastAsia="fr-FR"/>
        </w:rPr>
        <w:t>Sur le plan international, le Mali se place au 147</w:t>
      </w:r>
      <w:r w:rsidRPr="001D0C63">
        <w:rPr>
          <w:rFonts w:ascii="Arial" w:eastAsia="Calibri" w:hAnsi="Arial" w:cs="Arial"/>
          <w:sz w:val="20"/>
          <w:szCs w:val="20"/>
          <w:vertAlign w:val="superscript"/>
          <w:lang w:val="fr-FR" w:eastAsia="fr-FR"/>
        </w:rPr>
        <w:t>ème</w:t>
      </w:r>
      <w:r w:rsidRPr="001D0C63">
        <w:rPr>
          <w:rFonts w:ascii="Arial" w:eastAsia="Calibri" w:hAnsi="Arial" w:cs="Arial"/>
          <w:sz w:val="20"/>
          <w:szCs w:val="20"/>
          <w:lang w:val="fr-FR" w:eastAsia="fr-FR"/>
        </w:rPr>
        <w:t xml:space="preserve"> rang sur 180 pays classés avec un score de l’Index de Performance Environnementale (IPE ou EPI en anglais) de 43,71/100, ce qui indique une faible gouvernance gouvernementale. Le score de 2018 est supérieur à celui de 2014 (18,43/100 plaçant le Mali eu 177</w:t>
      </w:r>
      <w:r w:rsidRPr="001D0C63">
        <w:rPr>
          <w:rFonts w:ascii="Arial" w:eastAsia="Calibri" w:hAnsi="Arial" w:cs="Arial"/>
          <w:sz w:val="20"/>
          <w:szCs w:val="20"/>
          <w:vertAlign w:val="superscript"/>
          <w:lang w:val="fr-FR" w:eastAsia="fr-FR"/>
        </w:rPr>
        <w:t>ème</w:t>
      </w:r>
      <w:r w:rsidRPr="001D0C63">
        <w:rPr>
          <w:rFonts w:ascii="Arial" w:eastAsia="Calibri" w:hAnsi="Arial" w:cs="Arial"/>
          <w:sz w:val="20"/>
          <w:szCs w:val="20"/>
          <w:lang w:val="fr-FR" w:eastAsia="fr-FR"/>
        </w:rPr>
        <w:t xml:space="preserve"> rang sur 178 pays classés) mais s’appuie, uniquement, sur 12 indicateurs disponibles sur les 33 prévus. De ce fait, cet outil apparait peu pertinent pour évaluer la performance environnementale du Mali. En effet, ces dernières années des tendances positives ont été constatées au niveau de l’eau et du sanitaire, de la mortalité des enfants et de la réglementation des pesticides. En revanche, il apparait une tendance négative au niveau de la qualité de l’air des ménages.</w:t>
      </w:r>
    </w:p>
    <w:p w14:paraId="17877843" w14:textId="77777777" w:rsidR="00C518A4" w:rsidRPr="00C518A4" w:rsidRDefault="00C518A4" w:rsidP="00C518A4">
      <w:pPr>
        <w:spacing w:before="120" w:after="120" w:line="240" w:lineRule="auto"/>
        <w:rPr>
          <w:rFonts w:ascii="Arial" w:eastAsia="Calibri" w:hAnsi="Arial" w:cs="Arial"/>
          <w:color w:val="7030A0"/>
          <w:sz w:val="20"/>
          <w:szCs w:val="20"/>
          <w:lang w:val="fr-FR" w:eastAsia="fr-FR"/>
        </w:rPr>
      </w:pPr>
    </w:p>
    <w:p w14:paraId="431D5A03" w14:textId="77777777" w:rsidR="00802BA9" w:rsidRPr="00C518A4" w:rsidRDefault="00802BA9" w:rsidP="00525222">
      <w:pPr>
        <w:pStyle w:val="Titre3"/>
      </w:pPr>
      <w:bookmarkStart w:id="54" w:name="_Toc20505656"/>
      <w:r w:rsidRPr="00C518A4">
        <w:t>3.3.2 Système national de suivi environnemental</w:t>
      </w:r>
      <w:bookmarkEnd w:id="54"/>
    </w:p>
    <w:p w14:paraId="5812FD5B" w14:textId="77777777" w:rsidR="00770D7E" w:rsidRPr="009B4A49" w:rsidRDefault="00802BA9" w:rsidP="00C518A4">
      <w:pPr>
        <w:spacing w:before="120" w:after="120" w:line="240" w:lineRule="auto"/>
        <w:rPr>
          <w:rFonts w:ascii="Arial" w:eastAsia="Calibri" w:hAnsi="Arial" w:cs="Arial"/>
          <w:sz w:val="20"/>
          <w:szCs w:val="20"/>
          <w:lang w:val="fr-FR" w:eastAsia="fr-FR"/>
        </w:rPr>
      </w:pPr>
      <w:r w:rsidRPr="009B4A49">
        <w:rPr>
          <w:rFonts w:ascii="Arial" w:eastAsia="Calibri" w:hAnsi="Arial" w:cs="Arial"/>
          <w:sz w:val="20"/>
          <w:szCs w:val="20"/>
          <w:lang w:val="fr-FR" w:eastAsia="fr-FR"/>
        </w:rPr>
        <w:t xml:space="preserve">Jusqu’en 2014, le Mali ne disposait que de systèmes d’information sectoriels comme le Système Informatique de Gestion des Ressources en Eau du Mali (SIGMA), le Système d’Information Forestière (SIFOR), le système de l’information de l’agrométéorologie, etc. </w:t>
      </w:r>
    </w:p>
    <w:p w14:paraId="6B8E64D9" w14:textId="77777777" w:rsidR="00802BA9" w:rsidRPr="00C518A4" w:rsidRDefault="00770D7E" w:rsidP="00C518A4">
      <w:pPr>
        <w:spacing w:before="120" w:after="120" w:line="240" w:lineRule="auto"/>
        <w:rPr>
          <w:rFonts w:ascii="Arial" w:eastAsia="Calibri" w:hAnsi="Arial" w:cs="Arial"/>
          <w:sz w:val="20"/>
          <w:szCs w:val="20"/>
          <w:lang w:val="fr-FR" w:eastAsia="fr-FR"/>
        </w:rPr>
      </w:pPr>
      <w:r w:rsidRPr="009B4A49">
        <w:rPr>
          <w:rFonts w:ascii="Arial" w:eastAsia="Calibri" w:hAnsi="Arial" w:cs="Arial"/>
          <w:sz w:val="20"/>
          <w:szCs w:val="20"/>
          <w:lang w:val="fr-FR" w:eastAsia="fr-FR"/>
        </w:rPr>
        <w:t>En 2014,</w:t>
      </w:r>
      <w:r w:rsidR="00802BA9" w:rsidRPr="009B4A49">
        <w:rPr>
          <w:rFonts w:ascii="Arial" w:eastAsia="Calibri" w:hAnsi="Arial" w:cs="Arial"/>
          <w:sz w:val="20"/>
          <w:szCs w:val="20"/>
          <w:lang w:val="fr-FR" w:eastAsia="fr-FR"/>
        </w:rPr>
        <w:t xml:space="preserve"> l’Institut </w:t>
      </w:r>
      <w:r w:rsidR="00802BA9" w:rsidRPr="00C518A4">
        <w:rPr>
          <w:rFonts w:ascii="Arial" w:eastAsia="Calibri" w:hAnsi="Arial" w:cs="Arial"/>
          <w:sz w:val="20"/>
          <w:szCs w:val="20"/>
          <w:lang w:val="fr-FR" w:eastAsia="fr-FR"/>
        </w:rPr>
        <w:t>National de la Statistique (INSTAT, 2014)</w:t>
      </w:r>
      <w:r w:rsidR="00802BA9" w:rsidRPr="00C518A4">
        <w:rPr>
          <w:rStyle w:val="Appelnotedebasdep"/>
          <w:rFonts w:ascii="Arial" w:eastAsia="Calibri" w:hAnsi="Arial" w:cs="Arial"/>
          <w:sz w:val="20"/>
          <w:szCs w:val="20"/>
          <w:lang w:val="fr-FR" w:eastAsia="fr-FR"/>
        </w:rPr>
        <w:footnoteReference w:id="83"/>
      </w:r>
      <w:r w:rsidR="00802BA9" w:rsidRPr="00C518A4">
        <w:rPr>
          <w:rFonts w:ascii="Arial" w:eastAsia="Calibri" w:hAnsi="Arial" w:cs="Arial"/>
          <w:sz w:val="20"/>
          <w:szCs w:val="20"/>
          <w:lang w:val="fr-FR" w:eastAsia="fr-FR"/>
        </w:rPr>
        <w:t xml:space="preserve"> a dressé l’état de la production des statistiques environnementales et des structures en charge des questions environnementales, notamment, en recensant les intervenants nationaux dans la production de ces informations, en identifiant les informations produites et en mettant en exergue l’insuffisance de données fiables, l’absence d’indicateurs d’impact, de suivi de l’état de l’environnement et d’un système national de gestion de l’information environnementale (SNGIE). Suite à cette étude, l’INSTAT a mis en place un Système d’Informations des Statistiques Environnementales (SISE) piloté par la Cellule de Panification et de Statistique du Secteur Eau, Environnement, Urbanisme et Domaine de l’Etat (CPS/SEEUDE)</w:t>
      </w:r>
      <w:r w:rsidR="00802BA9" w:rsidRPr="00C518A4">
        <w:rPr>
          <w:rStyle w:val="Appelnotedebasdep"/>
          <w:rFonts w:ascii="Arial" w:eastAsia="Calibri" w:hAnsi="Arial" w:cs="Arial"/>
          <w:sz w:val="20"/>
          <w:szCs w:val="20"/>
          <w:lang w:val="fr-FR" w:eastAsia="fr-FR"/>
        </w:rPr>
        <w:footnoteReference w:id="84"/>
      </w:r>
      <w:r w:rsidR="00802BA9" w:rsidRPr="00C518A4">
        <w:rPr>
          <w:rFonts w:ascii="Arial" w:eastAsia="Calibri" w:hAnsi="Arial" w:cs="Arial"/>
          <w:sz w:val="20"/>
          <w:szCs w:val="20"/>
          <w:lang w:val="fr-FR" w:eastAsia="fr-FR"/>
        </w:rPr>
        <w:t xml:space="preserve"> et a produit en 2017 son 2</w:t>
      </w:r>
      <w:r w:rsidR="00802BA9" w:rsidRPr="00C518A4">
        <w:rPr>
          <w:rFonts w:ascii="Arial" w:eastAsia="Calibri" w:hAnsi="Arial" w:cs="Arial"/>
          <w:sz w:val="20"/>
          <w:szCs w:val="20"/>
          <w:vertAlign w:val="superscript"/>
          <w:lang w:val="fr-FR" w:eastAsia="fr-FR"/>
        </w:rPr>
        <w:t>nd</w:t>
      </w:r>
      <w:r w:rsidR="00802BA9" w:rsidRPr="00C518A4">
        <w:rPr>
          <w:rFonts w:ascii="Arial" w:eastAsia="Calibri" w:hAnsi="Arial" w:cs="Arial"/>
          <w:sz w:val="20"/>
          <w:szCs w:val="20"/>
          <w:lang w:val="fr-FR" w:eastAsia="fr-FR"/>
        </w:rPr>
        <w:t xml:space="preserve"> recueil de données (INSTAT/SISE 2012-2016). De </w:t>
      </w:r>
      <w:r w:rsidR="00802BA9" w:rsidRPr="00C518A4">
        <w:rPr>
          <w:rFonts w:ascii="Arial" w:eastAsia="Calibri" w:hAnsi="Arial" w:cs="Arial"/>
          <w:sz w:val="20"/>
          <w:szCs w:val="20"/>
          <w:lang w:val="fr-FR" w:eastAsia="fr-FR"/>
        </w:rPr>
        <w:lastRenderedPageBreak/>
        <w:t>même, l’AEDD a produit son Rapport National sur l’Etat de l’Environnement (RNEE) en 2018 (la première édition remonte à 2005). Ce dernier a fait un « bond » qualitativement et l’AEDD a pour objectif de l’éditer triennalement</w:t>
      </w:r>
      <w:r w:rsidR="009120C5" w:rsidRPr="00C518A4">
        <w:rPr>
          <w:rFonts w:ascii="Arial" w:eastAsia="Calibri" w:hAnsi="Arial" w:cs="Arial"/>
          <w:sz w:val="20"/>
          <w:szCs w:val="20"/>
          <w:lang w:val="fr-FR" w:eastAsia="fr-FR"/>
        </w:rPr>
        <w:t>.</w:t>
      </w:r>
      <w:r w:rsidR="00802BA9" w:rsidRPr="00C518A4">
        <w:rPr>
          <w:rFonts w:ascii="Arial" w:eastAsia="Calibri" w:hAnsi="Arial" w:cs="Arial"/>
          <w:sz w:val="20"/>
          <w:szCs w:val="20"/>
          <w:lang w:val="fr-FR" w:eastAsia="fr-FR"/>
        </w:rPr>
        <w:t xml:space="preserve"> </w:t>
      </w:r>
    </w:p>
    <w:p w14:paraId="50BFBC09" w14:textId="77777777" w:rsidR="00802BA9" w:rsidRPr="00C518A4" w:rsidRDefault="00770D7E" w:rsidP="00C518A4">
      <w:pPr>
        <w:spacing w:before="120" w:after="120" w:line="240" w:lineRule="auto"/>
        <w:rPr>
          <w:rFonts w:ascii="Arial" w:eastAsia="Calibri" w:hAnsi="Arial" w:cs="Arial"/>
          <w:sz w:val="20"/>
          <w:szCs w:val="20"/>
          <w:lang w:val="fr-FR" w:eastAsia="fr-FR"/>
        </w:rPr>
      </w:pPr>
      <w:r w:rsidRPr="001D0C63">
        <w:rPr>
          <w:rFonts w:ascii="Arial" w:eastAsia="Calibri" w:hAnsi="Arial" w:cs="Arial"/>
          <w:sz w:val="20"/>
          <w:szCs w:val="20"/>
          <w:lang w:val="fr-FR" w:eastAsia="fr-FR"/>
        </w:rPr>
        <w:t>En 2017, l</w:t>
      </w:r>
      <w:r w:rsidR="00802BA9" w:rsidRPr="001D0C63">
        <w:rPr>
          <w:rFonts w:ascii="Arial" w:eastAsia="Calibri" w:hAnsi="Arial" w:cs="Arial"/>
          <w:sz w:val="20"/>
          <w:szCs w:val="20"/>
          <w:lang w:val="fr-FR" w:eastAsia="fr-FR"/>
        </w:rPr>
        <w:t>e Système National de Gestion de l’Information Environnemental (SNGIE) a été</w:t>
      </w:r>
      <w:r w:rsidRPr="001D0C63">
        <w:rPr>
          <w:rFonts w:ascii="Arial" w:eastAsia="Calibri" w:hAnsi="Arial" w:cs="Arial"/>
          <w:sz w:val="20"/>
          <w:szCs w:val="20"/>
          <w:lang w:val="fr-FR" w:eastAsia="fr-FR"/>
        </w:rPr>
        <w:t xml:space="preserve"> finalisé. Il a été</w:t>
      </w:r>
      <w:r w:rsidR="00802BA9" w:rsidRPr="001D0C63">
        <w:rPr>
          <w:rFonts w:ascii="Arial" w:eastAsia="Calibri" w:hAnsi="Arial" w:cs="Arial"/>
          <w:sz w:val="20"/>
          <w:szCs w:val="20"/>
          <w:lang w:val="fr-FR" w:eastAsia="fr-FR"/>
        </w:rPr>
        <w:t xml:space="preserve"> lancé officiellement</w:t>
      </w:r>
      <w:r w:rsidR="00802BA9" w:rsidRPr="00C518A4">
        <w:rPr>
          <w:rFonts w:ascii="Arial" w:eastAsia="Calibri" w:hAnsi="Arial" w:cs="Arial"/>
          <w:sz w:val="20"/>
          <w:szCs w:val="20"/>
          <w:lang w:val="fr-FR" w:eastAsia="fr-FR"/>
        </w:rPr>
        <w:t xml:space="preserve"> le 7 mai 2018. Ce système intègre totalement la base de données du SIFOR et a pour objectifs de i) mettre en réseau les services techniques concernés et les partenaires au développement impliqués dans la gestion des ressources naturelles et d’assainissement, ii) créer et entretenir un espace de dialogue dynamique entre producteurs et utilisateurs et iii) structurer et organiser les données et informations environnementales et développer les capacités nationales en matière de gestion de l’information environnementale. </w:t>
      </w:r>
    </w:p>
    <w:p w14:paraId="669D91FD" w14:textId="77777777" w:rsidR="00802BA9" w:rsidRPr="00C518A4" w:rsidRDefault="00802BA9" w:rsidP="00C518A4">
      <w:pPr>
        <w:spacing w:before="120" w:after="120" w:line="240" w:lineRule="auto"/>
        <w:rPr>
          <w:rFonts w:ascii="Arial" w:hAnsi="Arial" w:cs="Arial"/>
          <w:sz w:val="20"/>
          <w:szCs w:val="20"/>
          <w:lang w:val="fr-FR"/>
        </w:rPr>
      </w:pPr>
      <w:r w:rsidRPr="00C518A4">
        <w:rPr>
          <w:rFonts w:ascii="Arial" w:hAnsi="Arial" w:cs="Arial"/>
          <w:sz w:val="20"/>
          <w:szCs w:val="20"/>
          <w:lang w:val="fr-FR"/>
        </w:rPr>
        <w:t>Dans le cadre du CREDD 2016-2018 (§</w:t>
      </w:r>
      <w:r w:rsidR="009120C5" w:rsidRPr="00C518A4">
        <w:rPr>
          <w:rFonts w:ascii="Arial" w:hAnsi="Arial" w:cs="Arial"/>
          <w:sz w:val="20"/>
          <w:szCs w:val="20"/>
          <w:lang w:val="fr-FR"/>
        </w:rPr>
        <w:t xml:space="preserve"> </w:t>
      </w:r>
      <w:r w:rsidRPr="00C518A4">
        <w:rPr>
          <w:rFonts w:ascii="Arial" w:hAnsi="Arial" w:cs="Arial"/>
          <w:sz w:val="20"/>
          <w:szCs w:val="20"/>
          <w:lang w:val="fr-FR"/>
        </w:rPr>
        <w:t>3.1.1) et de sa matrice de pilotage, il a été identifié 31 cibles urgentes et 77 indicateurs. La base est actuellement en voie de consolidation et de construction mais il a été défini pour les ODD en lien avec l’environnement (6,7, 11, 12, 13, 14, et 15</w:t>
      </w:r>
      <w:r w:rsidRPr="00C518A4">
        <w:rPr>
          <w:rStyle w:val="Appelnotedebasdep"/>
          <w:rFonts w:ascii="Arial" w:hAnsi="Arial" w:cs="Arial"/>
          <w:sz w:val="20"/>
          <w:szCs w:val="20"/>
          <w:lang w:val="fr-FR"/>
        </w:rPr>
        <w:footnoteReference w:id="85"/>
      </w:r>
      <w:r w:rsidRPr="00C518A4">
        <w:rPr>
          <w:rFonts w:ascii="Arial" w:hAnsi="Arial" w:cs="Arial"/>
          <w:sz w:val="20"/>
          <w:szCs w:val="20"/>
          <w:lang w:val="fr-FR"/>
        </w:rPr>
        <w:t>) 34 indicateurs.</w:t>
      </w:r>
    </w:p>
    <w:p w14:paraId="45F68641" w14:textId="77777777" w:rsidR="00802BA9" w:rsidRDefault="00802BA9" w:rsidP="00C518A4">
      <w:pPr>
        <w:spacing w:before="120" w:after="120" w:line="240" w:lineRule="auto"/>
        <w:rPr>
          <w:rFonts w:ascii="Arial" w:eastAsia="Calibri" w:hAnsi="Arial" w:cs="Arial"/>
          <w:sz w:val="20"/>
          <w:szCs w:val="20"/>
          <w:lang w:val="fr-FR" w:eastAsia="fr-FR"/>
        </w:rPr>
      </w:pPr>
      <w:r w:rsidRPr="00C518A4">
        <w:rPr>
          <w:rFonts w:ascii="Arial" w:eastAsia="Calibri" w:hAnsi="Arial" w:cs="Arial"/>
          <w:sz w:val="20"/>
          <w:szCs w:val="20"/>
          <w:lang w:val="fr-FR" w:eastAsia="fr-FR"/>
        </w:rPr>
        <w:t xml:space="preserve">Depuis le précédent PEP, le système national de suivi environnemental a nettement progressé. Toutefois, ce domaine, à l’instar de celui du </w:t>
      </w:r>
      <w:r w:rsidRPr="001D0C63">
        <w:rPr>
          <w:rFonts w:ascii="Arial" w:eastAsia="Calibri" w:hAnsi="Arial" w:cs="Arial"/>
          <w:sz w:val="20"/>
          <w:szCs w:val="20"/>
          <w:lang w:val="fr-FR" w:eastAsia="fr-FR"/>
        </w:rPr>
        <w:t>contrôle (DNA</w:t>
      </w:r>
      <w:r w:rsidR="00FB456D" w:rsidRPr="001D0C63">
        <w:rPr>
          <w:rFonts w:ascii="Arial" w:eastAsia="Calibri" w:hAnsi="Arial" w:cs="Arial"/>
          <w:sz w:val="20"/>
          <w:szCs w:val="20"/>
          <w:lang w:val="fr-FR" w:eastAsia="fr-FR"/>
        </w:rPr>
        <w:t>CPN</w:t>
      </w:r>
      <w:r w:rsidRPr="001D0C63">
        <w:rPr>
          <w:rFonts w:ascii="Arial" w:eastAsia="Calibri" w:hAnsi="Arial" w:cs="Arial"/>
          <w:sz w:val="20"/>
          <w:szCs w:val="20"/>
          <w:lang w:val="fr-FR" w:eastAsia="fr-FR"/>
        </w:rPr>
        <w:t>, DNEF) s</w:t>
      </w:r>
      <w:r w:rsidRPr="00C518A4">
        <w:rPr>
          <w:rFonts w:ascii="Arial" w:eastAsia="Calibri" w:hAnsi="Arial" w:cs="Arial"/>
          <w:sz w:val="20"/>
          <w:szCs w:val="20"/>
          <w:lang w:val="fr-FR" w:eastAsia="fr-FR"/>
        </w:rPr>
        <w:t>ouffre d’un manque de personnel qualifié et de ressources financières (fonctionnement de 2 sur 4 observatoires écologiques dans le Baloué et celui de la région de Sikasso).</w:t>
      </w:r>
    </w:p>
    <w:p w14:paraId="1D89424F" w14:textId="77777777" w:rsidR="00C518A4" w:rsidRDefault="00C518A4" w:rsidP="00C518A4">
      <w:pPr>
        <w:spacing w:before="120" w:after="120" w:line="240" w:lineRule="auto"/>
        <w:rPr>
          <w:rFonts w:ascii="Arial" w:eastAsia="Calibri" w:hAnsi="Arial" w:cs="Arial"/>
          <w:sz w:val="20"/>
          <w:szCs w:val="20"/>
          <w:lang w:val="fr-FR" w:eastAsia="fr-FR"/>
        </w:rPr>
      </w:pPr>
    </w:p>
    <w:p w14:paraId="35C18A3F" w14:textId="77777777" w:rsidR="00C518A4" w:rsidRPr="00C518A4" w:rsidRDefault="00C518A4" w:rsidP="00C518A4">
      <w:pPr>
        <w:spacing w:before="120" w:after="120" w:line="240" w:lineRule="auto"/>
        <w:rPr>
          <w:rFonts w:ascii="Arial" w:eastAsia="Calibri" w:hAnsi="Arial" w:cs="Arial"/>
          <w:sz w:val="20"/>
          <w:szCs w:val="20"/>
          <w:lang w:val="fr-FR" w:eastAsia="fr-FR"/>
        </w:rPr>
      </w:pPr>
    </w:p>
    <w:p w14:paraId="5CE1598B" w14:textId="77777777" w:rsidR="00C518A4" w:rsidRDefault="00C518A4" w:rsidP="00C518A4">
      <w:pPr>
        <w:pStyle w:val="Titre1"/>
        <w:spacing w:before="120" w:after="120" w:line="240" w:lineRule="auto"/>
        <w:rPr>
          <w:lang w:eastAsia="fr-FR"/>
        </w:rPr>
        <w:sectPr w:rsidR="00C518A4" w:rsidSect="00715A3F">
          <w:pgSz w:w="11906" w:h="16838"/>
          <w:pgMar w:top="1134" w:right="1021" w:bottom="1134" w:left="1134" w:header="709" w:footer="709" w:gutter="0"/>
          <w:cols w:space="708"/>
          <w:docGrid w:linePitch="360"/>
        </w:sectPr>
      </w:pPr>
    </w:p>
    <w:p w14:paraId="4C350E59" w14:textId="77777777" w:rsidR="00802BA9" w:rsidRPr="00C518A4" w:rsidRDefault="00802BA9" w:rsidP="00C518A4">
      <w:pPr>
        <w:pStyle w:val="Titre1"/>
        <w:spacing w:before="120" w:after="120" w:line="240" w:lineRule="auto"/>
        <w:rPr>
          <w:rFonts w:cs="Arial"/>
          <w:lang w:eastAsia="fr-FR"/>
        </w:rPr>
      </w:pPr>
      <w:bookmarkStart w:id="55" w:name="_Toc20505657"/>
      <w:r>
        <w:rPr>
          <w:lang w:eastAsia="fr-FR"/>
        </w:rPr>
        <w:lastRenderedPageBreak/>
        <w:t xml:space="preserve">4. </w:t>
      </w:r>
      <w:r w:rsidRPr="00C518A4">
        <w:rPr>
          <w:rFonts w:cs="Arial"/>
          <w:lang w:eastAsia="fr-FR"/>
        </w:rPr>
        <w:t xml:space="preserve">Integration de l’environnement dans les principaux secteurs </w:t>
      </w:r>
      <w:r w:rsidR="00D63150" w:rsidRPr="00C518A4">
        <w:rPr>
          <w:rFonts w:cs="Arial"/>
          <w:lang w:eastAsia="fr-FR"/>
        </w:rPr>
        <w:t xml:space="preserve">SUSCEPTIBLES </w:t>
      </w:r>
      <w:r w:rsidRPr="00C518A4">
        <w:rPr>
          <w:rFonts w:cs="Arial"/>
          <w:lang w:eastAsia="fr-FR"/>
        </w:rPr>
        <w:t>d</w:t>
      </w:r>
      <w:r w:rsidR="00D63150" w:rsidRPr="00C518A4">
        <w:rPr>
          <w:rFonts w:cs="Arial"/>
          <w:lang w:eastAsia="fr-FR"/>
        </w:rPr>
        <w:t>E FAIRE L’OBJET D</w:t>
      </w:r>
      <w:r w:rsidRPr="00C518A4">
        <w:rPr>
          <w:rFonts w:cs="Arial"/>
          <w:lang w:eastAsia="fr-FR"/>
        </w:rPr>
        <w:t>’</w:t>
      </w:r>
      <w:r w:rsidR="00D63150" w:rsidRPr="00C518A4">
        <w:rPr>
          <w:rFonts w:cs="Arial"/>
          <w:lang w:eastAsia="fr-FR"/>
        </w:rPr>
        <w:t xml:space="preserve">UNE </w:t>
      </w:r>
      <w:r w:rsidRPr="00C518A4">
        <w:rPr>
          <w:rFonts w:cs="Arial"/>
          <w:lang w:eastAsia="fr-FR"/>
        </w:rPr>
        <w:t>intervention</w:t>
      </w:r>
      <w:r w:rsidR="00D63150" w:rsidRPr="00C518A4">
        <w:rPr>
          <w:rFonts w:cs="Arial"/>
          <w:lang w:eastAsia="fr-FR"/>
        </w:rPr>
        <w:t xml:space="preserve"> DE L’UE (post 11</w:t>
      </w:r>
      <w:r w:rsidR="00D63150" w:rsidRPr="00C518A4">
        <w:rPr>
          <w:rFonts w:cs="Arial"/>
          <w:vertAlign w:val="superscript"/>
          <w:lang w:eastAsia="fr-FR"/>
        </w:rPr>
        <w:t>ème</w:t>
      </w:r>
      <w:r w:rsidR="00D63150" w:rsidRPr="00C518A4">
        <w:rPr>
          <w:rFonts w:cs="Arial"/>
          <w:lang w:eastAsia="fr-FR"/>
        </w:rPr>
        <w:t xml:space="preserve"> FED)</w:t>
      </w:r>
      <w:bookmarkEnd w:id="55"/>
    </w:p>
    <w:p w14:paraId="2A7458E8" w14:textId="77777777" w:rsidR="00802BA9" w:rsidRPr="00C518A4" w:rsidRDefault="00802BA9" w:rsidP="00C518A4">
      <w:pPr>
        <w:pStyle w:val="Titre2"/>
        <w:spacing w:before="120" w:after="120"/>
        <w:rPr>
          <w:lang w:eastAsia="fr-FR"/>
        </w:rPr>
      </w:pPr>
      <w:bookmarkStart w:id="56" w:name="_Toc20505658"/>
      <w:r w:rsidRPr="00C518A4">
        <w:rPr>
          <w:lang w:eastAsia="fr-FR"/>
        </w:rPr>
        <w:t xml:space="preserve">4.1 </w:t>
      </w:r>
      <w:r w:rsidR="00262273">
        <w:rPr>
          <w:lang w:eastAsia="fr-FR"/>
        </w:rPr>
        <w:t>Do</w:t>
      </w:r>
      <w:r w:rsidRPr="00C518A4">
        <w:rPr>
          <w:lang w:eastAsia="fr-FR"/>
        </w:rPr>
        <w:t>maine réforme de l’Etat et Gouvernance</w:t>
      </w:r>
      <w:bookmarkEnd w:id="56"/>
    </w:p>
    <w:p w14:paraId="4C837753" w14:textId="77777777" w:rsidR="00802BA9" w:rsidRPr="00B84254" w:rsidRDefault="00802BA9" w:rsidP="00E73CF5">
      <w:pPr>
        <w:spacing w:before="120" w:after="120" w:line="240" w:lineRule="auto"/>
        <w:rPr>
          <w:rFonts w:ascii="Arial" w:eastAsia="Calibri" w:hAnsi="Arial" w:cs="Arial"/>
          <w:sz w:val="20"/>
          <w:szCs w:val="20"/>
          <w:lang w:val="fr-FR" w:eastAsia="fr-FR"/>
        </w:rPr>
      </w:pPr>
      <w:r w:rsidRPr="00C518A4">
        <w:rPr>
          <w:rFonts w:ascii="Arial" w:eastAsia="Calibri" w:hAnsi="Arial" w:cs="Arial"/>
          <w:sz w:val="20"/>
          <w:szCs w:val="20"/>
          <w:lang w:val="fr-FR" w:eastAsia="fr-FR"/>
        </w:rPr>
        <w:t>Le CREDD 2016 – 2018 est constitué de 3 axes stratégiques : (1) La promotion d’une croissance inclusive et durable, (2) L’accès aux service</w:t>
      </w:r>
      <w:r w:rsidRPr="00B84254">
        <w:rPr>
          <w:rFonts w:ascii="Arial" w:eastAsia="Calibri" w:hAnsi="Arial" w:cs="Arial"/>
          <w:sz w:val="20"/>
          <w:szCs w:val="20"/>
          <w:lang w:val="fr-FR" w:eastAsia="fr-FR"/>
        </w:rPr>
        <w:t xml:space="preserve">s sociaux de base et au développement social et (3) Le développement institutionnel et la gouvernance incluant la décentralisation. </w:t>
      </w:r>
      <w:r w:rsidR="00E53991" w:rsidRPr="00B84254">
        <w:rPr>
          <w:rFonts w:ascii="Arial" w:eastAsia="Calibri" w:hAnsi="Arial" w:cs="Arial"/>
          <w:sz w:val="20"/>
          <w:szCs w:val="20"/>
          <w:lang w:val="fr-FR" w:eastAsia="fr-FR"/>
        </w:rPr>
        <w:t>Le CREDD 2019 – 2023 adresse la gouvernance dans son axe stratégique 1</w:t>
      </w:r>
      <w:r w:rsidR="00E73CF5" w:rsidRPr="00B84254">
        <w:rPr>
          <w:rFonts w:ascii="Arial" w:eastAsia="Calibri" w:hAnsi="Arial" w:cs="Arial"/>
          <w:sz w:val="20"/>
          <w:szCs w:val="20"/>
          <w:lang w:val="fr-FR" w:eastAsia="fr-FR"/>
        </w:rPr>
        <w:t>. En plus, il inclut la ‘Protection de l’environnement et renforcement de la résilience au changement climatique’ dans son axe stratégique 4</w:t>
      </w:r>
      <w:r w:rsidR="00E53991" w:rsidRPr="00B84254">
        <w:rPr>
          <w:rFonts w:ascii="Arial" w:eastAsia="Calibri" w:hAnsi="Arial" w:cs="Arial"/>
          <w:sz w:val="20"/>
          <w:szCs w:val="20"/>
          <w:lang w:val="fr-FR" w:eastAsia="fr-FR"/>
        </w:rPr>
        <w:t>.</w:t>
      </w:r>
      <w:r w:rsidR="00E73CF5" w:rsidRPr="00B84254">
        <w:rPr>
          <w:rFonts w:ascii="Arial" w:eastAsia="Calibri" w:hAnsi="Arial" w:cs="Arial"/>
          <w:sz w:val="20"/>
          <w:szCs w:val="20"/>
          <w:lang w:val="fr-FR" w:eastAsia="fr-FR"/>
        </w:rPr>
        <w:t xml:space="preserve"> Mais les indicateurs et les cibles ne sont pas encore élaborés pour cet axe.</w:t>
      </w:r>
      <w:r w:rsidR="00E53991" w:rsidRPr="00B84254">
        <w:rPr>
          <w:rFonts w:ascii="Arial" w:eastAsia="Calibri" w:hAnsi="Arial" w:cs="Arial"/>
          <w:sz w:val="20"/>
          <w:szCs w:val="20"/>
          <w:lang w:val="fr-FR" w:eastAsia="fr-FR"/>
        </w:rPr>
        <w:t xml:space="preserve"> </w:t>
      </w:r>
      <w:r w:rsidRPr="00B84254">
        <w:rPr>
          <w:rFonts w:ascii="Arial" w:eastAsia="Calibri" w:hAnsi="Arial" w:cs="Arial"/>
          <w:sz w:val="20"/>
          <w:szCs w:val="20"/>
          <w:lang w:val="fr-FR" w:eastAsia="fr-FR"/>
        </w:rPr>
        <w:t>Le premier secteur de concentration du 11</w:t>
      </w:r>
      <w:r w:rsidRPr="00B84254">
        <w:rPr>
          <w:rFonts w:ascii="Arial" w:eastAsia="Calibri" w:hAnsi="Arial" w:cs="Arial"/>
          <w:sz w:val="20"/>
          <w:szCs w:val="20"/>
          <w:vertAlign w:val="superscript"/>
          <w:lang w:val="fr-FR" w:eastAsia="fr-FR"/>
        </w:rPr>
        <w:t>ème</w:t>
      </w:r>
      <w:r w:rsidRPr="00B84254">
        <w:rPr>
          <w:rFonts w:ascii="Arial" w:eastAsia="Calibri" w:hAnsi="Arial" w:cs="Arial"/>
          <w:sz w:val="20"/>
          <w:szCs w:val="20"/>
          <w:lang w:val="fr-FR" w:eastAsia="fr-FR"/>
        </w:rPr>
        <w:t xml:space="preserve"> FED porte sur le domaine de la réforme de l’Etat et de la Gouvernance, dont l’appui à l’axe stratégique 3 du CREDD</w:t>
      </w:r>
      <w:r w:rsidR="00E53991" w:rsidRPr="00B84254">
        <w:rPr>
          <w:rFonts w:ascii="Arial" w:eastAsia="Calibri" w:hAnsi="Arial" w:cs="Arial"/>
          <w:sz w:val="20"/>
          <w:szCs w:val="20"/>
          <w:lang w:val="fr-FR" w:eastAsia="fr-FR"/>
        </w:rPr>
        <w:t xml:space="preserve"> 2016 – 2018 </w:t>
      </w:r>
      <w:r w:rsidR="00C37276" w:rsidRPr="00B84254">
        <w:rPr>
          <w:rFonts w:ascii="Arial" w:eastAsia="Calibri" w:hAnsi="Arial" w:cs="Arial"/>
          <w:sz w:val="20"/>
          <w:szCs w:val="20"/>
          <w:lang w:val="fr-FR" w:eastAsia="fr-FR"/>
        </w:rPr>
        <w:t>/ à l’</w:t>
      </w:r>
      <w:r w:rsidR="00E53991" w:rsidRPr="00B84254">
        <w:rPr>
          <w:rFonts w:ascii="Arial" w:eastAsia="Calibri" w:hAnsi="Arial" w:cs="Arial"/>
          <w:sz w:val="20"/>
          <w:szCs w:val="20"/>
          <w:lang w:val="fr-FR" w:eastAsia="fr-FR"/>
        </w:rPr>
        <w:t>axe stratégique 1 du CREDD 2019 – 2023)</w:t>
      </w:r>
      <w:r w:rsidRPr="00B84254">
        <w:rPr>
          <w:rFonts w:ascii="Arial" w:eastAsia="Calibri" w:hAnsi="Arial" w:cs="Arial"/>
          <w:sz w:val="20"/>
          <w:szCs w:val="20"/>
          <w:lang w:val="fr-FR" w:eastAsia="fr-FR"/>
        </w:rPr>
        <w:t>. Celle</w:t>
      </w:r>
      <w:r w:rsidR="00E53991" w:rsidRPr="00B84254">
        <w:rPr>
          <w:rFonts w:ascii="Arial" w:eastAsia="Calibri" w:hAnsi="Arial" w:cs="Arial"/>
          <w:sz w:val="20"/>
          <w:szCs w:val="20"/>
          <w:lang w:val="fr-FR" w:eastAsia="fr-FR"/>
        </w:rPr>
        <w:t>s</w:t>
      </w:r>
      <w:r w:rsidRPr="00B84254">
        <w:rPr>
          <w:rFonts w:ascii="Arial" w:eastAsia="Calibri" w:hAnsi="Arial" w:cs="Arial"/>
          <w:sz w:val="20"/>
          <w:szCs w:val="20"/>
          <w:lang w:val="fr-FR" w:eastAsia="fr-FR"/>
        </w:rPr>
        <w:t>-ci n</w:t>
      </w:r>
      <w:r w:rsidR="00E53991" w:rsidRPr="00B84254">
        <w:rPr>
          <w:rFonts w:ascii="Arial" w:eastAsia="Calibri" w:hAnsi="Arial" w:cs="Arial"/>
          <w:sz w:val="20"/>
          <w:szCs w:val="20"/>
          <w:lang w:val="fr-FR" w:eastAsia="fr-FR"/>
        </w:rPr>
        <w:t>e sont</w:t>
      </w:r>
      <w:r w:rsidRPr="00B84254">
        <w:rPr>
          <w:rFonts w:ascii="Arial" w:eastAsia="Calibri" w:hAnsi="Arial" w:cs="Arial"/>
          <w:sz w:val="20"/>
          <w:szCs w:val="20"/>
          <w:lang w:val="fr-FR" w:eastAsia="fr-FR"/>
        </w:rPr>
        <w:t xml:space="preserve"> pas accompagné</w:t>
      </w:r>
      <w:r w:rsidR="00E53991" w:rsidRPr="00B84254">
        <w:rPr>
          <w:rFonts w:ascii="Arial" w:eastAsia="Calibri" w:hAnsi="Arial" w:cs="Arial"/>
          <w:sz w:val="20"/>
          <w:szCs w:val="20"/>
          <w:lang w:val="fr-FR" w:eastAsia="fr-FR"/>
        </w:rPr>
        <w:t>es</w:t>
      </w:r>
      <w:r w:rsidRPr="00B84254">
        <w:rPr>
          <w:rFonts w:ascii="Arial" w:eastAsia="Calibri" w:hAnsi="Arial" w:cs="Arial"/>
          <w:sz w:val="20"/>
          <w:szCs w:val="20"/>
          <w:lang w:val="fr-FR" w:eastAsia="fr-FR"/>
        </w:rPr>
        <w:t xml:space="preserve"> des indicateurs pour l’intégration de l’environnement car le</w:t>
      </w:r>
      <w:r w:rsidR="00E53991" w:rsidRPr="00B84254">
        <w:rPr>
          <w:rFonts w:ascii="Arial" w:eastAsia="Calibri" w:hAnsi="Arial" w:cs="Arial"/>
          <w:sz w:val="20"/>
          <w:szCs w:val="20"/>
          <w:lang w:val="fr-FR" w:eastAsia="fr-FR"/>
        </w:rPr>
        <w:t>s</w:t>
      </w:r>
      <w:r w:rsidRPr="00B84254">
        <w:rPr>
          <w:rFonts w:ascii="Arial" w:eastAsia="Calibri" w:hAnsi="Arial" w:cs="Arial"/>
          <w:sz w:val="20"/>
          <w:szCs w:val="20"/>
          <w:lang w:val="fr-FR" w:eastAsia="fr-FR"/>
        </w:rPr>
        <w:t xml:space="preserve"> CREDD traite</w:t>
      </w:r>
      <w:r w:rsidR="00E53991" w:rsidRPr="00B84254">
        <w:rPr>
          <w:rFonts w:ascii="Arial" w:eastAsia="Calibri" w:hAnsi="Arial" w:cs="Arial"/>
          <w:sz w:val="20"/>
          <w:szCs w:val="20"/>
          <w:lang w:val="fr-FR" w:eastAsia="fr-FR"/>
        </w:rPr>
        <w:t>nt</w:t>
      </w:r>
      <w:r w:rsidRPr="00B84254">
        <w:rPr>
          <w:rFonts w:ascii="Arial" w:eastAsia="Calibri" w:hAnsi="Arial" w:cs="Arial"/>
          <w:sz w:val="20"/>
          <w:szCs w:val="20"/>
          <w:lang w:val="fr-FR" w:eastAsia="fr-FR"/>
        </w:rPr>
        <w:t xml:space="preserve"> l’environnement comme un domaine et pas de façon intégrée. L’ODD 16 (Paix, justice et institutions efficaces) ne mentionne pas spécifiquement l’environnement mais indique, de façon générale, l’accès du public à l’information, les institutions efficaces et responsables incluant la justice et la lutte contre la criminalité.  Le premier axe de l’UE dans ce domaine peut être </w:t>
      </w:r>
      <w:r w:rsidR="00DE6CF9" w:rsidRPr="00B84254">
        <w:rPr>
          <w:rFonts w:ascii="Arial" w:eastAsia="Calibri" w:hAnsi="Arial" w:cs="Arial"/>
          <w:sz w:val="20"/>
          <w:szCs w:val="20"/>
          <w:lang w:val="fr-FR" w:eastAsia="fr-FR"/>
        </w:rPr>
        <w:t>dans le post 11</w:t>
      </w:r>
      <w:r w:rsidR="00DE6CF9" w:rsidRPr="00B84254">
        <w:rPr>
          <w:rFonts w:ascii="Arial" w:eastAsia="Calibri" w:hAnsi="Arial" w:cs="Arial"/>
          <w:sz w:val="20"/>
          <w:szCs w:val="20"/>
          <w:vertAlign w:val="superscript"/>
          <w:lang w:val="fr-FR" w:eastAsia="fr-FR"/>
        </w:rPr>
        <w:t>ème</w:t>
      </w:r>
      <w:r w:rsidR="00DE6CF9" w:rsidRPr="00B84254">
        <w:rPr>
          <w:rFonts w:ascii="Arial" w:eastAsia="Calibri" w:hAnsi="Arial" w:cs="Arial"/>
          <w:sz w:val="20"/>
          <w:szCs w:val="20"/>
          <w:lang w:val="fr-FR" w:eastAsia="fr-FR"/>
        </w:rPr>
        <w:t xml:space="preserve"> FED </w:t>
      </w:r>
      <w:r w:rsidRPr="00B84254">
        <w:rPr>
          <w:rFonts w:ascii="Arial" w:eastAsia="Calibri" w:hAnsi="Arial" w:cs="Arial"/>
          <w:sz w:val="20"/>
          <w:szCs w:val="20"/>
          <w:lang w:val="fr-FR" w:eastAsia="fr-FR"/>
        </w:rPr>
        <w:t xml:space="preserve">l’amélioration du service rendu au citoyen avec une amélioration du droit à l’information. Sur le plan environnemental cela concerne un renforcement de la connaissance des textes législatifs </w:t>
      </w:r>
      <w:r w:rsidRPr="00B84254">
        <w:rPr>
          <w:rFonts w:ascii="Arial" w:hAnsi="Arial" w:cs="Arial"/>
          <w:sz w:val="20"/>
          <w:szCs w:val="20"/>
          <w:lang w:val="fr-FR"/>
        </w:rPr>
        <w:t>(code de l’eau, minier, de la pêche, forestier, de la chasse, charte pastorale, etc.) en faveur des</w:t>
      </w:r>
      <w:r w:rsidRPr="00B84254">
        <w:rPr>
          <w:rFonts w:ascii="Arial" w:eastAsia="Calibri" w:hAnsi="Arial" w:cs="Arial"/>
          <w:sz w:val="20"/>
          <w:szCs w:val="20"/>
          <w:lang w:val="fr-FR" w:eastAsia="fr-FR"/>
        </w:rPr>
        <w:t xml:space="preserve"> citoyens et des collectivités décentralisées. </w:t>
      </w:r>
      <w:r w:rsidRPr="00B84254">
        <w:rPr>
          <w:rFonts w:ascii="Arial" w:hAnsi="Arial" w:cs="Arial"/>
          <w:sz w:val="20"/>
          <w:szCs w:val="20"/>
          <w:lang w:val="fr-FR"/>
        </w:rPr>
        <w:t>Il apparait souhaitable d’informer/former notamment les élus, les juristes et les forces d’ordre locales sur ces textes et d’effectuer une diffusion de ceux-ci. Certains recueils ont été élaborés et ont besoin d’être actualisés (guides juridiques eau, ressources forestières, ressources pastorales écrits en 2007 par SNV-HELVETAS, etc.).</w:t>
      </w:r>
      <w:r w:rsidRPr="00B84254">
        <w:rPr>
          <w:rFonts w:ascii="Arial" w:eastAsia="Calibri" w:hAnsi="Arial" w:cs="Arial"/>
          <w:sz w:val="20"/>
          <w:szCs w:val="20"/>
          <w:lang w:val="fr-FR" w:eastAsia="fr-FR"/>
        </w:rPr>
        <w:t xml:space="preserve"> Cela concerne aussi un raffermissement de l’application de ces textes (amélioration du suivi, du contrôle) afin d’améliorer le cadre de vie du citoyen malien (limitation des pollutions). </w:t>
      </w:r>
      <w:r w:rsidR="00163C65" w:rsidRPr="00B84254">
        <w:rPr>
          <w:rFonts w:ascii="Arial" w:eastAsia="Calibri" w:hAnsi="Arial" w:cs="Arial"/>
          <w:sz w:val="20"/>
          <w:szCs w:val="20"/>
          <w:lang w:val="fr-FR" w:eastAsia="fr-FR"/>
        </w:rPr>
        <w:t xml:space="preserve">Certaines collectivités territoriales (CT) se sont dotées d’une brigade urbaine de protection. Il serait souhaitable de  renforcer les actions de ces CT. </w:t>
      </w:r>
      <w:r w:rsidRPr="00B84254">
        <w:rPr>
          <w:rFonts w:ascii="Arial" w:eastAsia="Calibri" w:hAnsi="Arial" w:cs="Arial"/>
          <w:sz w:val="20"/>
          <w:szCs w:val="20"/>
          <w:lang w:val="fr-FR" w:eastAsia="fr-FR"/>
        </w:rPr>
        <w:t xml:space="preserve">Un second axe peut-être la consolidation de l’Etat de droit et le respect des droits fondamentaux du citoyen avec la facilitation de l’accès à la justice, notamment, en cas de conflits fonciers, de destruction des ressources naturelles, etc. Un troisième axe sera d’appuyer l’Etat, au niveau de sa planification stratégique (CREDD) pour i) fournir les indicateurs des ODD en relation avec l’environnement, ii) effectuer une EES (répondant aux standards internationaux) du CREDD visant, notamment les secteurs de forte croissance économique (agriculture, élevage, pêche et agro-industrie) à l’instar de ce qui a été fait pour le Programme National d’Irrigation de Proximité (PNIP) en 2010 et iii) développer et mettre en œuvre une économie verte. </w:t>
      </w:r>
    </w:p>
    <w:p w14:paraId="6A858A16" w14:textId="77777777" w:rsidR="00802BA9" w:rsidRPr="00B84254" w:rsidRDefault="00802BA9" w:rsidP="00C518A4">
      <w:pPr>
        <w:spacing w:before="120" w:after="120" w:line="240" w:lineRule="auto"/>
        <w:rPr>
          <w:rFonts w:ascii="Arial" w:eastAsia="Calibri" w:hAnsi="Arial" w:cs="Arial"/>
          <w:color w:val="7030A0"/>
          <w:sz w:val="20"/>
          <w:szCs w:val="20"/>
          <w:lang w:val="fr-FR" w:eastAsia="fr-FR"/>
        </w:rPr>
      </w:pPr>
    </w:p>
    <w:p w14:paraId="200F4D27" w14:textId="77777777" w:rsidR="00802BA9" w:rsidRPr="00B84254" w:rsidRDefault="00802BA9" w:rsidP="00C518A4">
      <w:pPr>
        <w:pStyle w:val="Titre2"/>
        <w:spacing w:before="120" w:after="120"/>
        <w:rPr>
          <w:lang w:eastAsia="fr-FR"/>
        </w:rPr>
      </w:pPr>
      <w:bookmarkStart w:id="57" w:name="_Toc20505659"/>
      <w:r w:rsidRPr="00B84254">
        <w:rPr>
          <w:lang w:eastAsia="fr-FR"/>
        </w:rPr>
        <w:t xml:space="preserve">4.2 </w:t>
      </w:r>
      <w:r w:rsidR="00262273" w:rsidRPr="00B84254">
        <w:rPr>
          <w:lang w:eastAsia="fr-FR"/>
        </w:rPr>
        <w:t>Do</w:t>
      </w:r>
      <w:r w:rsidRPr="00B84254">
        <w:rPr>
          <w:lang w:eastAsia="fr-FR"/>
        </w:rPr>
        <w:t>maine développement rural et sécurité alimentaire</w:t>
      </w:r>
      <w:bookmarkEnd w:id="57"/>
    </w:p>
    <w:p w14:paraId="060F9EDF" w14:textId="77777777" w:rsidR="00802BA9" w:rsidRPr="00B84254" w:rsidRDefault="00802BA9" w:rsidP="00C518A4">
      <w:pPr>
        <w:spacing w:before="120" w:after="120" w:line="240" w:lineRule="auto"/>
        <w:rPr>
          <w:rFonts w:ascii="Arial" w:hAnsi="Arial" w:cs="Arial"/>
          <w:sz w:val="20"/>
          <w:szCs w:val="20"/>
          <w:lang w:val="fr-FR" w:eastAsia="fr-FR"/>
        </w:rPr>
      </w:pPr>
      <w:r w:rsidRPr="00B84254">
        <w:rPr>
          <w:rFonts w:ascii="Arial" w:hAnsi="Arial" w:cs="Arial"/>
          <w:sz w:val="20"/>
          <w:szCs w:val="20"/>
          <w:lang w:val="fr-FR" w:eastAsia="fr-FR"/>
        </w:rPr>
        <w:t xml:space="preserve">Le second secteur de concentration </w:t>
      </w:r>
      <w:r w:rsidR="00DE6CF9" w:rsidRPr="00B84254">
        <w:rPr>
          <w:rFonts w:ascii="Arial" w:hAnsi="Arial" w:cs="Arial"/>
          <w:sz w:val="20"/>
          <w:szCs w:val="20"/>
          <w:lang w:val="fr-FR" w:eastAsia="fr-FR"/>
        </w:rPr>
        <w:t>du</w:t>
      </w:r>
      <w:r w:rsidRPr="00B84254">
        <w:rPr>
          <w:rFonts w:ascii="Arial" w:hAnsi="Arial" w:cs="Arial"/>
          <w:sz w:val="20"/>
          <w:szCs w:val="20"/>
          <w:lang w:val="fr-FR" w:eastAsia="fr-FR"/>
        </w:rPr>
        <w:t xml:space="preserve"> 11</w:t>
      </w:r>
      <w:r w:rsidRPr="00B84254">
        <w:rPr>
          <w:rFonts w:ascii="Arial" w:hAnsi="Arial" w:cs="Arial"/>
          <w:sz w:val="20"/>
          <w:szCs w:val="20"/>
          <w:vertAlign w:val="superscript"/>
          <w:lang w:val="fr-FR" w:eastAsia="fr-FR"/>
        </w:rPr>
        <w:t>ème</w:t>
      </w:r>
      <w:r w:rsidRPr="00B84254">
        <w:rPr>
          <w:rFonts w:ascii="Arial" w:hAnsi="Arial" w:cs="Arial"/>
          <w:sz w:val="20"/>
          <w:szCs w:val="20"/>
          <w:lang w:val="fr-FR" w:eastAsia="fr-FR"/>
        </w:rPr>
        <w:t xml:space="preserve"> FED concerne le développement rural et la sécurité alimentaire qui sont d’une importance cruciale pour l’Union européenne. Le premier axe appuiera l’axe stratégique 1 du CREDD </w:t>
      </w:r>
      <w:r w:rsidR="00163C65" w:rsidRPr="00B84254">
        <w:rPr>
          <w:rFonts w:ascii="Arial" w:hAnsi="Arial" w:cs="Arial"/>
          <w:sz w:val="20"/>
          <w:szCs w:val="20"/>
          <w:lang w:val="fr-FR" w:eastAsia="fr-FR"/>
        </w:rPr>
        <w:t xml:space="preserve">2016 – 2018 </w:t>
      </w:r>
      <w:r w:rsidRPr="00B84254">
        <w:rPr>
          <w:rFonts w:ascii="Arial" w:hAnsi="Arial" w:cs="Arial"/>
          <w:sz w:val="20"/>
          <w:szCs w:val="20"/>
          <w:lang w:val="fr-FR" w:eastAsia="fr-FR"/>
        </w:rPr>
        <w:t>« </w:t>
      </w:r>
      <w:r w:rsidRPr="00B84254">
        <w:rPr>
          <w:rFonts w:ascii="Arial" w:hAnsi="Arial" w:cs="Arial"/>
          <w:i/>
          <w:sz w:val="20"/>
          <w:szCs w:val="20"/>
          <w:lang w:val="fr-FR" w:eastAsia="fr-FR"/>
        </w:rPr>
        <w:t>Croissance économique inclusive et durable</w:t>
      </w:r>
      <w:r w:rsidRPr="00B84254">
        <w:rPr>
          <w:rFonts w:ascii="Arial" w:hAnsi="Arial" w:cs="Arial"/>
          <w:sz w:val="20"/>
          <w:szCs w:val="20"/>
          <w:lang w:val="fr-FR" w:eastAsia="fr-FR"/>
        </w:rPr>
        <w:t> » avec le développement</w:t>
      </w:r>
      <w:r w:rsidR="00DE6CF9" w:rsidRPr="00B84254">
        <w:rPr>
          <w:rFonts w:ascii="Arial" w:hAnsi="Arial" w:cs="Arial"/>
          <w:sz w:val="20"/>
          <w:szCs w:val="20"/>
          <w:lang w:val="fr-FR" w:eastAsia="fr-FR"/>
        </w:rPr>
        <w:t xml:space="preserve"> </w:t>
      </w:r>
      <w:r w:rsidRPr="00B84254">
        <w:rPr>
          <w:rFonts w:ascii="Arial" w:hAnsi="Arial" w:cs="Arial"/>
          <w:sz w:val="20"/>
          <w:szCs w:val="20"/>
          <w:lang w:val="fr-FR" w:eastAsia="fr-FR"/>
        </w:rPr>
        <w:t>/</w:t>
      </w:r>
      <w:r w:rsidR="00DE6CF9" w:rsidRPr="00B84254">
        <w:rPr>
          <w:rFonts w:ascii="Arial" w:hAnsi="Arial" w:cs="Arial"/>
          <w:sz w:val="20"/>
          <w:szCs w:val="20"/>
          <w:lang w:val="fr-FR" w:eastAsia="fr-FR"/>
        </w:rPr>
        <w:t xml:space="preserve"> </w:t>
      </w:r>
      <w:r w:rsidRPr="00B84254">
        <w:rPr>
          <w:rFonts w:ascii="Arial" w:hAnsi="Arial" w:cs="Arial"/>
          <w:sz w:val="20"/>
          <w:szCs w:val="20"/>
          <w:lang w:val="fr-FR" w:eastAsia="fr-FR"/>
        </w:rPr>
        <w:t xml:space="preserve">renforcement d’une agriculture systémique (évitant les défrichements, </w:t>
      </w:r>
      <w:r w:rsidR="00E73CF5" w:rsidRPr="00B84254">
        <w:rPr>
          <w:rFonts w:ascii="Arial" w:hAnsi="Arial" w:cs="Arial"/>
          <w:sz w:val="20"/>
          <w:szCs w:val="20"/>
          <w:lang w:val="fr-FR" w:eastAsia="fr-FR"/>
        </w:rPr>
        <w:t xml:space="preserve">intégrant l’agroforesterie, </w:t>
      </w:r>
      <w:r w:rsidRPr="00B84254">
        <w:rPr>
          <w:rFonts w:ascii="Arial" w:hAnsi="Arial" w:cs="Arial"/>
          <w:sz w:val="20"/>
          <w:szCs w:val="20"/>
          <w:lang w:val="fr-FR" w:eastAsia="fr-FR"/>
        </w:rPr>
        <w:t>respectueuse des ressources naturelles Sol / Eau et véritablement intégrée) et la promotion d’une économie verte à travers une gestion durable des ressources naturelles et une lutte efficace contre le réchauffement climatique.</w:t>
      </w:r>
      <w:r w:rsidR="008B57DF" w:rsidRPr="00B84254">
        <w:rPr>
          <w:rFonts w:ascii="Arial" w:hAnsi="Arial" w:cs="Arial"/>
          <w:sz w:val="20"/>
          <w:szCs w:val="20"/>
          <w:lang w:val="fr-FR" w:eastAsia="fr-FR"/>
        </w:rPr>
        <w:t xml:space="preserve"> Le CREDD 2019 - 2023 </w:t>
      </w:r>
      <w:r w:rsidR="00AE7C19" w:rsidRPr="00B84254">
        <w:rPr>
          <w:rFonts w:ascii="Arial" w:hAnsi="Arial" w:cs="Arial"/>
          <w:sz w:val="20"/>
          <w:szCs w:val="20"/>
          <w:lang w:val="fr-FR" w:eastAsia="fr-FR"/>
        </w:rPr>
        <w:t>reprend</w:t>
      </w:r>
      <w:r w:rsidR="008B57DF" w:rsidRPr="00B84254">
        <w:rPr>
          <w:rFonts w:ascii="Arial" w:hAnsi="Arial" w:cs="Arial"/>
          <w:sz w:val="20"/>
          <w:szCs w:val="20"/>
          <w:lang w:val="fr-FR" w:eastAsia="fr-FR"/>
        </w:rPr>
        <w:t xml:space="preserve"> la thématique dans son axe stratégique 3 avec l’objectif global 3.2 de ‘Promouvoir un secteur Agricole durable, moderne et compétitif’.</w:t>
      </w:r>
    </w:p>
    <w:p w14:paraId="204E925A" w14:textId="77777777" w:rsidR="00802BA9" w:rsidRPr="00C518A4" w:rsidRDefault="00802BA9" w:rsidP="00C518A4">
      <w:pPr>
        <w:spacing w:before="120" w:after="120" w:line="240" w:lineRule="auto"/>
        <w:rPr>
          <w:rFonts w:ascii="Arial" w:eastAsia="Calibri" w:hAnsi="Arial" w:cs="Arial"/>
          <w:color w:val="7030A0"/>
          <w:sz w:val="20"/>
          <w:szCs w:val="20"/>
          <w:lang w:val="fr-FR"/>
        </w:rPr>
      </w:pPr>
      <w:r w:rsidRPr="00B84254">
        <w:rPr>
          <w:rFonts w:ascii="Arial" w:hAnsi="Arial" w:cs="Arial"/>
          <w:sz w:val="20"/>
          <w:szCs w:val="20"/>
          <w:lang w:val="fr-FR"/>
        </w:rPr>
        <w:t xml:space="preserve">Par ailleurs, afin de prévenir les effets des changements climatiques sur les productions agricoles, il est nécessaire d’encourager la gestion durable des terres (réponse à l’ODD : </w:t>
      </w:r>
      <w:r w:rsidRPr="00B84254">
        <w:rPr>
          <w:rFonts w:ascii="Arial" w:hAnsi="Arial" w:cs="Arial"/>
          <w:i/>
          <w:sz w:val="20"/>
          <w:szCs w:val="20"/>
          <w:lang w:val="fr-FR"/>
        </w:rPr>
        <w:t>Proportion des zones agricoles exploitées de manière productive et durable</w:t>
      </w:r>
      <w:r w:rsidRPr="00B84254">
        <w:rPr>
          <w:rFonts w:ascii="Arial" w:hAnsi="Arial" w:cs="Arial"/>
          <w:sz w:val="20"/>
          <w:szCs w:val="20"/>
          <w:lang w:val="fr-FR"/>
        </w:rPr>
        <w:t xml:space="preserve">), la recherche variétale de semences vivrières et fourragères orientées sur le raccourcissement du cycle végétatif et l’adaptation à une pluviométrie aléatoire. </w:t>
      </w:r>
      <w:r w:rsidR="00E73CF5" w:rsidRPr="00B84254">
        <w:rPr>
          <w:rFonts w:ascii="Arial" w:hAnsi="Arial" w:cs="Arial"/>
          <w:sz w:val="20"/>
          <w:szCs w:val="20"/>
          <w:lang w:val="fr-FR"/>
        </w:rPr>
        <w:t xml:space="preserve">Dans ce cadre, il conviendra de prendre en considération, voire d’appuyer les travaux du Groupe Consultatif pour la Recherche Agricole Internationale (GCRAI ou CGIAR). </w:t>
      </w:r>
      <w:r w:rsidRPr="00B84254">
        <w:rPr>
          <w:rFonts w:ascii="Arial" w:hAnsi="Arial" w:cs="Arial"/>
          <w:sz w:val="20"/>
          <w:szCs w:val="20"/>
          <w:lang w:val="fr-FR"/>
        </w:rPr>
        <w:t xml:space="preserve">Globalement, et en raison des difficultés d’acquisition de semences de qualité, un plan de constitution de stocks semenciers sera mis en œuvre en concertation avec les structures de recherches. </w:t>
      </w:r>
      <w:r w:rsidRPr="00B84254">
        <w:rPr>
          <w:rFonts w:ascii="Arial" w:eastAsia="Calibri" w:hAnsi="Arial" w:cs="Arial"/>
          <w:sz w:val="20"/>
          <w:szCs w:val="20"/>
          <w:lang w:val="fr-FR"/>
        </w:rPr>
        <w:t>Face au manque d’information des producteurs sur les nouvelles variétés</w:t>
      </w:r>
      <w:r w:rsidR="00AE7C19" w:rsidRPr="00B84254">
        <w:rPr>
          <w:rFonts w:ascii="Arial" w:eastAsia="Calibri" w:hAnsi="Arial" w:cs="Arial"/>
          <w:sz w:val="20"/>
          <w:szCs w:val="20"/>
          <w:lang w:val="fr-FR"/>
        </w:rPr>
        <w:t xml:space="preserve"> et face au manque de disponibilité des semences et d’autres intrants, un</w:t>
      </w:r>
      <w:r w:rsidRPr="00B84254">
        <w:rPr>
          <w:rFonts w:ascii="Arial" w:eastAsia="Calibri" w:hAnsi="Arial" w:cs="Arial"/>
          <w:sz w:val="20"/>
          <w:szCs w:val="20"/>
          <w:lang w:val="fr-FR"/>
        </w:rPr>
        <w:t xml:space="preserve"> effort important doit être accompli sur la diffusion des variétés sélectionnées et la promotion de semences de qualité</w:t>
      </w:r>
      <w:r w:rsidRPr="00C518A4">
        <w:rPr>
          <w:rFonts w:ascii="Arial" w:eastAsia="Calibri" w:hAnsi="Arial" w:cs="Arial"/>
          <w:sz w:val="20"/>
          <w:szCs w:val="20"/>
          <w:lang w:val="fr-FR"/>
        </w:rPr>
        <w:t xml:space="preserve">. Il conviendra d’encourager les techniques visant le maintien de la fertilité des sols telles l’introduction de légumineuses dans les systèmes de production (association céréales – légumineuses, jachères améliorées avec sur-semis de légumineuses, enfouissement d’engrais vert, etc.). De même, la technique du semis sur couverture végétale </w:t>
      </w:r>
      <w:r w:rsidRPr="00C518A4">
        <w:rPr>
          <w:rFonts w:ascii="Arial" w:eastAsia="Calibri" w:hAnsi="Arial" w:cs="Arial"/>
          <w:sz w:val="20"/>
          <w:szCs w:val="20"/>
          <w:lang w:val="fr-FR"/>
        </w:rPr>
        <w:lastRenderedPageBreak/>
        <w:t>ainsi que celle des bandes enherbées doivent être encouragées. Afin de limiter les impacts des catastrophes pour les producteurs, il apparait souhaitable de renforcer les assurances risque.</w:t>
      </w:r>
    </w:p>
    <w:p w14:paraId="01514929" w14:textId="77777777" w:rsidR="00802BA9" w:rsidRPr="00C518A4" w:rsidRDefault="00802BA9" w:rsidP="00C518A4">
      <w:pPr>
        <w:spacing w:before="120" w:after="120" w:line="240" w:lineRule="auto"/>
        <w:rPr>
          <w:rFonts w:ascii="Arial" w:eastAsia="Calibri" w:hAnsi="Arial" w:cs="Arial"/>
          <w:lang w:val="fr-FR" w:eastAsia="fr-FR"/>
        </w:rPr>
      </w:pPr>
    </w:p>
    <w:p w14:paraId="267061CB" w14:textId="77777777" w:rsidR="00802BA9" w:rsidRPr="00C518A4" w:rsidRDefault="00802BA9" w:rsidP="00C518A4">
      <w:pPr>
        <w:pStyle w:val="Titre2"/>
        <w:spacing w:before="120" w:after="120"/>
        <w:rPr>
          <w:lang w:eastAsia="fr-FR"/>
        </w:rPr>
      </w:pPr>
      <w:bookmarkStart w:id="58" w:name="_Toc20505660"/>
      <w:r w:rsidRPr="00C518A4">
        <w:rPr>
          <w:lang w:eastAsia="fr-FR"/>
        </w:rPr>
        <w:t xml:space="preserve">4.3 </w:t>
      </w:r>
      <w:r w:rsidR="00262273">
        <w:rPr>
          <w:lang w:eastAsia="fr-FR"/>
        </w:rPr>
        <w:t>Do</w:t>
      </w:r>
      <w:r w:rsidRPr="00C518A4">
        <w:rPr>
          <w:lang w:eastAsia="fr-FR"/>
        </w:rPr>
        <w:t>maine éducation</w:t>
      </w:r>
      <w:bookmarkEnd w:id="58"/>
    </w:p>
    <w:p w14:paraId="40646F8E" w14:textId="77777777" w:rsidR="00802BA9" w:rsidRPr="00B84254" w:rsidRDefault="00802BA9" w:rsidP="00C518A4">
      <w:pPr>
        <w:spacing w:before="120" w:after="120" w:line="240" w:lineRule="auto"/>
        <w:rPr>
          <w:rFonts w:ascii="Arial" w:eastAsia="Times New Roman" w:hAnsi="Arial" w:cs="Arial"/>
          <w:sz w:val="20"/>
          <w:szCs w:val="20"/>
          <w:lang w:val="fr-CA"/>
        </w:rPr>
      </w:pPr>
      <w:r w:rsidRPr="00B84254">
        <w:rPr>
          <w:rFonts w:ascii="Arial" w:eastAsia="Times New Roman" w:hAnsi="Arial" w:cs="Arial"/>
          <w:sz w:val="20"/>
          <w:szCs w:val="20"/>
          <w:lang w:val="fr-CA"/>
        </w:rPr>
        <w:t>Le</w:t>
      </w:r>
      <w:r w:rsidR="00AE7C19" w:rsidRPr="00B84254">
        <w:rPr>
          <w:rFonts w:ascii="Arial" w:eastAsia="Times New Roman" w:hAnsi="Arial" w:cs="Arial"/>
          <w:sz w:val="20"/>
          <w:szCs w:val="20"/>
          <w:lang w:val="fr-CA"/>
        </w:rPr>
        <w:t>s</w:t>
      </w:r>
      <w:r w:rsidRPr="00B84254">
        <w:rPr>
          <w:rFonts w:ascii="Arial" w:eastAsia="Times New Roman" w:hAnsi="Arial" w:cs="Arial"/>
          <w:sz w:val="20"/>
          <w:szCs w:val="20"/>
          <w:lang w:val="fr-CA"/>
        </w:rPr>
        <w:t xml:space="preserve"> CREDD ne s’adresse</w:t>
      </w:r>
      <w:r w:rsidR="00AE7C19" w:rsidRPr="00B84254">
        <w:rPr>
          <w:rFonts w:ascii="Arial" w:eastAsia="Times New Roman" w:hAnsi="Arial" w:cs="Arial"/>
          <w:sz w:val="20"/>
          <w:szCs w:val="20"/>
          <w:lang w:val="fr-CA"/>
        </w:rPr>
        <w:t>nt</w:t>
      </w:r>
      <w:r w:rsidRPr="00B84254">
        <w:rPr>
          <w:rFonts w:ascii="Arial" w:eastAsia="Times New Roman" w:hAnsi="Arial" w:cs="Arial"/>
          <w:sz w:val="20"/>
          <w:szCs w:val="20"/>
          <w:lang w:val="fr-CA"/>
        </w:rPr>
        <w:t xml:space="preserve"> pas spécifiquement à l’environnement dans le domaine d’éducation. Toutefois, l’éducation civique et à la citoyenneté en font partie et l’IEC pour le changement des comportements est inclut. L’ODD 4 fait un lien avec les questions environnementales en incluant l’éducation à la citoyenneté et au développement durable dans les indicateurs. Ceci suppose de renforcer les capacités du ministère de l’éducation nationale afin qu’il intègre des concepts de développement durable et d’environnement dans les manuels et curricula des écoles (sur des thèmes tels que la relation environnement-santé ou enfants et environnement). Il est souhaitable que le secteur de concentration du post 11</w:t>
      </w:r>
      <w:r w:rsidRPr="00B84254">
        <w:rPr>
          <w:rFonts w:ascii="Arial" w:eastAsia="Times New Roman" w:hAnsi="Arial" w:cs="Arial"/>
          <w:sz w:val="20"/>
          <w:szCs w:val="20"/>
          <w:vertAlign w:val="superscript"/>
          <w:lang w:val="fr-CA"/>
        </w:rPr>
        <w:t>ème</w:t>
      </w:r>
      <w:r w:rsidRPr="00B84254">
        <w:rPr>
          <w:rFonts w:ascii="Arial" w:eastAsia="Times New Roman" w:hAnsi="Arial" w:cs="Arial"/>
          <w:sz w:val="20"/>
          <w:szCs w:val="20"/>
          <w:lang w:val="fr-CA"/>
        </w:rPr>
        <w:t xml:space="preserve"> FED portant sur l’éducation soit l’occasion de reprendre/relancer l’éducation environnementale à tous les niveaux, voire de l’ajouter dans les programmes scolaires (à l’instar du Plan d’Accompagnement de la Généralisation de l’Éducation Environnementale au Mali –</w:t>
      </w:r>
      <w:r w:rsidR="00A249C5" w:rsidRPr="00B84254">
        <w:rPr>
          <w:rFonts w:ascii="Arial" w:eastAsia="Times New Roman" w:hAnsi="Arial" w:cs="Arial"/>
          <w:sz w:val="20"/>
          <w:szCs w:val="20"/>
          <w:lang w:val="fr-CA"/>
        </w:rPr>
        <w:t xml:space="preserve"> </w:t>
      </w:r>
      <w:r w:rsidRPr="00B84254">
        <w:rPr>
          <w:rFonts w:ascii="Arial" w:eastAsia="Times New Roman" w:hAnsi="Arial" w:cs="Arial"/>
          <w:sz w:val="20"/>
          <w:szCs w:val="20"/>
          <w:lang w:val="fr-CA"/>
        </w:rPr>
        <w:t>PAGEEM du 8</w:t>
      </w:r>
      <w:r w:rsidRPr="00B84254">
        <w:rPr>
          <w:rFonts w:ascii="Arial" w:eastAsia="Times New Roman" w:hAnsi="Arial" w:cs="Arial"/>
          <w:sz w:val="20"/>
          <w:szCs w:val="20"/>
          <w:vertAlign w:val="superscript"/>
          <w:lang w:val="fr-CA"/>
        </w:rPr>
        <w:t>ème</w:t>
      </w:r>
      <w:r w:rsidRPr="00B84254">
        <w:rPr>
          <w:rFonts w:ascii="Arial" w:eastAsia="Times New Roman" w:hAnsi="Arial" w:cs="Arial"/>
          <w:sz w:val="20"/>
          <w:szCs w:val="20"/>
          <w:lang w:val="fr-CA"/>
        </w:rPr>
        <w:t xml:space="preserve"> FED</w:t>
      </w:r>
      <w:r w:rsidR="006A774D" w:rsidRPr="00B84254">
        <w:rPr>
          <w:rFonts w:ascii="Arial" w:eastAsia="Times New Roman" w:hAnsi="Arial" w:cs="Arial"/>
          <w:sz w:val="20"/>
          <w:szCs w:val="20"/>
          <w:lang w:val="fr-CA"/>
        </w:rPr>
        <w:t xml:space="preserve"> avec ses actions phares d’éducation environnementale scolaire et de reboisement / jardins scolaires)</w:t>
      </w:r>
      <w:r w:rsidRPr="00B84254">
        <w:rPr>
          <w:rFonts w:ascii="Arial" w:eastAsia="Times New Roman" w:hAnsi="Arial" w:cs="Arial"/>
          <w:sz w:val="20"/>
          <w:szCs w:val="20"/>
          <w:lang w:val="fr-CA"/>
        </w:rPr>
        <w:t>.</w:t>
      </w:r>
    </w:p>
    <w:p w14:paraId="68187283" w14:textId="77777777" w:rsidR="00802BA9" w:rsidRPr="00C518A4" w:rsidRDefault="00802BA9" w:rsidP="00C518A4">
      <w:pPr>
        <w:spacing w:before="120" w:after="120" w:line="240" w:lineRule="auto"/>
        <w:rPr>
          <w:rFonts w:ascii="Arial" w:eastAsia="Times New Roman" w:hAnsi="Arial" w:cs="Arial"/>
          <w:sz w:val="20"/>
          <w:szCs w:val="20"/>
          <w:lang w:val="fr-CA"/>
        </w:rPr>
      </w:pPr>
      <w:r w:rsidRPr="00B84254">
        <w:rPr>
          <w:rFonts w:ascii="Arial" w:eastAsia="Times New Roman" w:hAnsi="Arial" w:cs="Arial"/>
          <w:sz w:val="20"/>
          <w:szCs w:val="20"/>
          <w:lang w:val="fr-CA"/>
        </w:rPr>
        <w:t>En plus, un grand nombre d’écoles au Mali a été détruit pendant la crise  et d’autres présentent (i) des toilettes ou des latrines sales et non convenables, (ii) des latrines totalement inexistantes, (iii) des problèmes d’approvisionnement en eau potable, (iv) une absence d’équipements et de matériels pour le lavage des mains avec du savon, (v) une méconnaissance</w:t>
      </w:r>
      <w:r w:rsidRPr="00C518A4">
        <w:rPr>
          <w:rFonts w:ascii="Arial" w:eastAsia="Times New Roman" w:hAnsi="Arial" w:cs="Arial"/>
          <w:sz w:val="20"/>
          <w:szCs w:val="20"/>
          <w:lang w:val="fr-CA"/>
        </w:rPr>
        <w:t xml:space="preserve"> des bonnes pratiques d’hygiène et de préservation de l’environnement de l’école, vi) des cantines scolaires n’ayant pas de foyers améliorés opérationnels pouvant contribuer à la détérioration de l’environnement par une utilisation excessive du bois d’énergie. La construction/réhabilitation des infrastructures scolaires est une priorité du gouvernement et des partenaires de développement. Dans ce cadre, l’encouragement de </w:t>
      </w:r>
      <w:r w:rsidRPr="00C518A4">
        <w:rPr>
          <w:rFonts w:ascii="Arial" w:eastAsia="Times New Roman" w:hAnsi="Arial" w:cs="Arial"/>
          <w:b/>
          <w:sz w:val="20"/>
          <w:szCs w:val="20"/>
          <w:lang w:val="fr-CA"/>
        </w:rPr>
        <w:t>l’éco-conception</w:t>
      </w:r>
      <w:r w:rsidRPr="00C518A4">
        <w:rPr>
          <w:rFonts w:ascii="Arial" w:eastAsia="Times New Roman" w:hAnsi="Arial" w:cs="Arial"/>
          <w:b/>
          <w:sz w:val="20"/>
          <w:szCs w:val="20"/>
          <w:vertAlign w:val="superscript"/>
          <w:lang w:val="fr-CA"/>
        </w:rPr>
        <w:footnoteReference w:id="86"/>
      </w:r>
      <w:r w:rsidRPr="00C518A4">
        <w:rPr>
          <w:rFonts w:ascii="Arial" w:eastAsia="Times New Roman" w:hAnsi="Arial" w:cs="Arial"/>
          <w:b/>
          <w:sz w:val="20"/>
          <w:szCs w:val="20"/>
          <w:lang w:val="fr-CA"/>
        </w:rPr>
        <w:t xml:space="preserve"> des écoles</w:t>
      </w:r>
      <w:r w:rsidRPr="00C518A4">
        <w:rPr>
          <w:rFonts w:ascii="Arial" w:eastAsia="Times New Roman" w:hAnsi="Arial" w:cs="Arial"/>
          <w:sz w:val="20"/>
          <w:szCs w:val="20"/>
          <w:lang w:val="fr-CA"/>
        </w:rPr>
        <w:t xml:space="preserve"> est souhaitable pendant la construction/</w:t>
      </w:r>
      <w:r w:rsidR="00EB53D9" w:rsidRPr="00C518A4">
        <w:rPr>
          <w:rFonts w:ascii="Arial" w:eastAsia="Times New Roman" w:hAnsi="Arial" w:cs="Arial"/>
          <w:sz w:val="20"/>
          <w:szCs w:val="20"/>
          <w:lang w:val="fr-CA"/>
        </w:rPr>
        <w:t xml:space="preserve"> </w:t>
      </w:r>
      <w:r w:rsidRPr="00C518A4">
        <w:rPr>
          <w:rFonts w:ascii="Arial" w:eastAsia="Times New Roman" w:hAnsi="Arial" w:cs="Arial"/>
          <w:sz w:val="20"/>
          <w:szCs w:val="20"/>
          <w:lang w:val="fr-CA"/>
        </w:rPr>
        <w:t>réhabilitation de écoles en i) construisant ou réhabilitant les écoles et les blocs de latrines suivant des normes techniques et environnementales appropriées, ii) encourageant l’achat d’équipements pouvant contribuer à la diminution du niveau de consommation des ressources ligneuses (tels que systèmes solaires, réchauds et foyers améliorés). L’application de l’approche canadienne</w:t>
      </w:r>
      <w:r w:rsidRPr="00C518A4">
        <w:rPr>
          <w:rFonts w:ascii="Arial" w:eastAsia="Times New Roman" w:hAnsi="Arial" w:cs="Arial"/>
          <w:sz w:val="20"/>
          <w:szCs w:val="20"/>
          <w:vertAlign w:val="superscript"/>
          <w:lang w:val="fr-CA"/>
        </w:rPr>
        <w:footnoteReference w:id="87"/>
      </w:r>
      <w:r w:rsidRPr="00C518A4">
        <w:rPr>
          <w:rFonts w:ascii="Arial" w:eastAsia="Times New Roman" w:hAnsi="Arial" w:cs="Arial"/>
          <w:sz w:val="20"/>
          <w:szCs w:val="20"/>
          <w:lang w:val="fr-CA"/>
        </w:rPr>
        <w:t xml:space="preserve"> des ‹‹ écoles vertes ›› peut être envisagée pour assurer l’intégration transversale de l’environnement dans le domaine d’éducation.</w:t>
      </w:r>
    </w:p>
    <w:p w14:paraId="0CEDFE89" w14:textId="77777777" w:rsidR="00802BA9" w:rsidRPr="00C518A4" w:rsidRDefault="00802BA9" w:rsidP="00C518A4">
      <w:pPr>
        <w:spacing w:before="120" w:after="120" w:line="240" w:lineRule="auto"/>
        <w:rPr>
          <w:rFonts w:ascii="Arial" w:hAnsi="Arial" w:cs="Arial"/>
          <w:sz w:val="20"/>
          <w:szCs w:val="20"/>
          <w:lang w:val="fr-CA" w:eastAsia="fr-FR"/>
        </w:rPr>
      </w:pPr>
    </w:p>
    <w:p w14:paraId="214A7350" w14:textId="77777777" w:rsidR="00802BA9" w:rsidRPr="00C518A4" w:rsidRDefault="00802BA9" w:rsidP="00C518A4">
      <w:pPr>
        <w:pStyle w:val="Titre2"/>
        <w:spacing w:before="120" w:after="120"/>
        <w:rPr>
          <w:lang w:eastAsia="fr-FR"/>
        </w:rPr>
      </w:pPr>
      <w:bookmarkStart w:id="59" w:name="_Toc20505661"/>
      <w:r w:rsidRPr="00C518A4">
        <w:rPr>
          <w:lang w:eastAsia="fr-FR"/>
        </w:rPr>
        <w:t xml:space="preserve">4.4 </w:t>
      </w:r>
      <w:r w:rsidR="00262273">
        <w:rPr>
          <w:lang w:eastAsia="fr-FR"/>
        </w:rPr>
        <w:t>Do</w:t>
      </w:r>
      <w:r w:rsidRPr="00C518A4">
        <w:rPr>
          <w:lang w:eastAsia="fr-FR"/>
        </w:rPr>
        <w:t>maine secteur routier</w:t>
      </w:r>
      <w:bookmarkEnd w:id="59"/>
    </w:p>
    <w:p w14:paraId="4036779D" w14:textId="77777777" w:rsidR="00802BA9" w:rsidRPr="00C518A4" w:rsidRDefault="00802BA9" w:rsidP="00C518A4">
      <w:pPr>
        <w:spacing w:before="120" w:after="120" w:line="240" w:lineRule="auto"/>
        <w:rPr>
          <w:rFonts w:ascii="Arial" w:eastAsia="Calibri" w:hAnsi="Arial" w:cs="Arial"/>
          <w:sz w:val="20"/>
          <w:szCs w:val="20"/>
          <w:lang w:val="fr-FR" w:eastAsia="fr-FR"/>
        </w:rPr>
      </w:pPr>
      <w:r w:rsidRPr="00C518A4">
        <w:rPr>
          <w:rFonts w:ascii="Arial" w:eastAsia="Calibri" w:hAnsi="Arial" w:cs="Arial"/>
          <w:sz w:val="20"/>
          <w:szCs w:val="20"/>
          <w:lang w:val="fr-FR" w:eastAsia="fr-FR"/>
        </w:rPr>
        <w:t xml:space="preserve">Le CREDD et les ODD ne touchent pas spécifiquement la prise en compte des impacts environnementaux ou du changement climatique dans le secteur routier. Néanmoins ils prévoient de mettre les aménagements des routes dans le contexte d’une planification spatiale plus large d’une région ciblée (SRAT, SNAT, …) en intégrant tous les paramètres de développement de la région. De ce fait, c’est une opportunité d’intégrer les aspects environnementaux. La Politique Nationale des Transports, des Infrastructures de Transport et du Désenclavement (PNTITD) de 2015 inclut l’environnement à travers les EIES et PGES obligatoires et les mesures réglementaires environnementales pour réduire les nuisances sonore et atmosphérique, l’âge des véhicules en circulation et un meilleur contrôle de fonctionnement des véhicules. </w:t>
      </w:r>
    </w:p>
    <w:p w14:paraId="04979AAE" w14:textId="77777777" w:rsidR="00802BA9" w:rsidRPr="001D0C63" w:rsidRDefault="00802BA9" w:rsidP="00C518A4">
      <w:pPr>
        <w:spacing w:before="120" w:after="120" w:line="240" w:lineRule="auto"/>
        <w:rPr>
          <w:rFonts w:ascii="Arial" w:eastAsia="Calibri" w:hAnsi="Arial" w:cs="Arial"/>
          <w:sz w:val="20"/>
          <w:szCs w:val="20"/>
          <w:lang w:val="fr-FR" w:eastAsia="fr-FR"/>
        </w:rPr>
      </w:pPr>
      <w:r w:rsidRPr="00C518A4">
        <w:rPr>
          <w:rFonts w:ascii="Arial" w:eastAsia="Calibri" w:hAnsi="Arial" w:cs="Arial"/>
          <w:sz w:val="20"/>
          <w:szCs w:val="20"/>
          <w:lang w:val="fr-FR" w:eastAsia="fr-FR"/>
        </w:rPr>
        <w:t xml:space="preserve">Des efforts considérables pour la prise en compte de l’environnement dans le secteur du transport ont été réalisés ces dernières années. Une EES du secteur des transports a été réalisée pour le Projet d’Appui au Programme Sectoriel des Transports au Mali (PAPS) en 2008. Tous les projets sont soumis à l’EIES et doivent être accompagnés d’un PGES. Ces dispositions encadrent en principe les </w:t>
      </w:r>
      <w:r w:rsidRPr="00C518A4">
        <w:rPr>
          <w:rFonts w:ascii="Arial" w:eastAsia="Calibri" w:hAnsi="Arial" w:cs="Arial"/>
          <w:b/>
          <w:sz w:val="20"/>
          <w:szCs w:val="20"/>
          <w:lang w:val="fr-FR" w:eastAsia="fr-FR"/>
        </w:rPr>
        <w:t>impacts environnementaux directs</w:t>
      </w:r>
      <w:r w:rsidRPr="00C518A4">
        <w:rPr>
          <w:rFonts w:ascii="Arial" w:eastAsia="Calibri" w:hAnsi="Arial" w:cs="Arial"/>
          <w:sz w:val="20"/>
          <w:szCs w:val="20"/>
          <w:lang w:val="fr-FR" w:eastAsia="fr-FR"/>
        </w:rPr>
        <w:t xml:space="preserve"> et sont cohérentes avec celles préconisées par les bailleurs de fonds. Néanmoins, l’ensemble des dispositifs prévus a encore du mal à trouver une application effective sur le terrain, faute de moyens, notamment pour la mise en œuvre des mesures d’atténuation et surtout, faute de mobilisation de certains acteurs qui restent encore à sensibiliser et parfois à contrôler pour la mise en œuvre des PGES. Une faiblesse générale constatée se trouve au niveau des projets routiers urbains. Souvent, l’ensemble des paramètres environnementaux ne sont pas pris en compte pendant la planification technique tel le sous-dimensionnement des systèmes d’évacuation d’’eau de surface ; sous-dimensionnement provoquant des inondations et des pollutions dans les quartiers et des perturbations de la circulation urbaine. En plus, les </w:t>
      </w:r>
      <w:r w:rsidRPr="00C518A4">
        <w:rPr>
          <w:rFonts w:ascii="Arial" w:eastAsia="Calibri" w:hAnsi="Arial" w:cs="Arial"/>
          <w:b/>
          <w:sz w:val="20"/>
          <w:szCs w:val="20"/>
          <w:lang w:val="fr-FR" w:eastAsia="fr-FR"/>
        </w:rPr>
        <w:t>impacts environnementaux indirects</w:t>
      </w:r>
      <w:r w:rsidRPr="00C518A4">
        <w:rPr>
          <w:rFonts w:ascii="Arial" w:eastAsia="Calibri" w:hAnsi="Arial" w:cs="Arial"/>
          <w:sz w:val="20"/>
          <w:szCs w:val="20"/>
          <w:lang w:val="fr-FR" w:eastAsia="fr-FR"/>
        </w:rPr>
        <w:t xml:space="preserve"> potentiels du secteur routier, souvent visibles à moyen/long terme, sont très nombreux et complexes comme l’indique l’EES de 2008 (entre autres pour la route Bourem – Kidal, planifiée sous financement de l’UE), notamment au niveau des pressions sur les ressources naturelles, la santé, la consommation d’énergie et la cohésion sociale. Leur prise en compte dans </w:t>
      </w:r>
      <w:r w:rsidRPr="00C518A4">
        <w:rPr>
          <w:rFonts w:ascii="Arial" w:eastAsia="Calibri" w:hAnsi="Arial" w:cs="Arial"/>
          <w:sz w:val="20"/>
          <w:szCs w:val="20"/>
          <w:lang w:val="fr-FR" w:eastAsia="fr-FR"/>
        </w:rPr>
        <w:lastRenderedPageBreak/>
        <w:t xml:space="preserve">le cadre des programmes sectoriels du transport est difficile et demande des approches exigeant une collaboration de tous les acteurs et structures de développement concernés par l’axe routier. Pour répondre en partie au besoin urgent de limiter les </w:t>
      </w:r>
      <w:r w:rsidRPr="00C518A4">
        <w:rPr>
          <w:rFonts w:ascii="Arial" w:eastAsia="Calibri" w:hAnsi="Arial" w:cs="Arial"/>
          <w:b/>
          <w:sz w:val="20"/>
          <w:szCs w:val="20"/>
          <w:lang w:val="fr-FR" w:eastAsia="fr-FR"/>
        </w:rPr>
        <w:t>impacts environnementaux indirects</w:t>
      </w:r>
      <w:r w:rsidRPr="00C518A4">
        <w:rPr>
          <w:rFonts w:ascii="Arial" w:eastAsia="Calibri" w:hAnsi="Arial" w:cs="Arial"/>
          <w:sz w:val="20"/>
          <w:szCs w:val="20"/>
          <w:lang w:val="fr-FR" w:eastAsia="fr-FR"/>
        </w:rPr>
        <w:t>, l’UE a, pour l’axe Kati – Kita – Bafing – Kéniéba – Falémé, contracté, sous appel à proposition, une ONG locale pour le renforcement des capacités sur la protection de l’environnement et du patrimoine collectif. Cette initiative dans le cadre du 10</w:t>
      </w:r>
      <w:r w:rsidRPr="00C518A4">
        <w:rPr>
          <w:rFonts w:ascii="Arial" w:eastAsia="Calibri" w:hAnsi="Arial" w:cs="Arial"/>
          <w:sz w:val="20"/>
          <w:szCs w:val="20"/>
          <w:vertAlign w:val="superscript"/>
          <w:lang w:val="fr-FR" w:eastAsia="fr-FR"/>
        </w:rPr>
        <w:t>ème</w:t>
      </w:r>
      <w:r w:rsidRPr="00C518A4">
        <w:rPr>
          <w:rFonts w:ascii="Arial" w:eastAsia="Calibri" w:hAnsi="Arial" w:cs="Arial"/>
          <w:sz w:val="20"/>
          <w:szCs w:val="20"/>
          <w:lang w:val="fr-FR" w:eastAsia="fr-FR"/>
        </w:rPr>
        <w:t xml:space="preserve"> FED a contribué à limiter les impacts environnementaux et aussi sociaux potentiels négatifs des investissements du secteur routier. Néanmoins, cette initiative notable n’a concerné qu’un seul projet routier et n’est pas encore généralisée. Pour mieux connaître les impacts environnementaux et sociaux indirects, très complexes des projets routiers, il serait souhaitable d’effectuer des évaluations ex-post des projets routiers quelques années après la finalisation des travaux. Par ailleurs, iI est important, notamment à Bamako, de mettre en place un laboratoire d’analyse de la qualité de l’air pour suivre l’impact des mesures réglementaires environnementales envisagées par la politique </w:t>
      </w:r>
      <w:r w:rsidRPr="001D0C63">
        <w:rPr>
          <w:rFonts w:ascii="Arial" w:eastAsia="Calibri" w:hAnsi="Arial" w:cs="Arial"/>
          <w:sz w:val="20"/>
          <w:szCs w:val="20"/>
          <w:lang w:val="fr-FR" w:eastAsia="fr-FR"/>
        </w:rPr>
        <w:t xml:space="preserve">nationale. </w:t>
      </w:r>
      <w:r w:rsidR="00D31446" w:rsidRPr="001D0C63">
        <w:rPr>
          <w:rFonts w:ascii="Arial" w:eastAsia="Calibri" w:hAnsi="Arial" w:cs="Arial"/>
          <w:sz w:val="20"/>
          <w:szCs w:val="20"/>
          <w:lang w:val="fr-FR" w:eastAsia="fr-FR"/>
        </w:rPr>
        <w:t xml:space="preserve">L’unité mobile d’analyse d’air livrée dans le cadre du PST 2 à la DNACPN (ayant mandat pour faire ce suivi), n’a malheureusement jamais fonctionné </w:t>
      </w:r>
      <w:r w:rsidR="00551E52" w:rsidRPr="001D0C63">
        <w:rPr>
          <w:rFonts w:ascii="Arial" w:eastAsia="Calibri" w:hAnsi="Arial" w:cs="Arial"/>
          <w:sz w:val="20"/>
          <w:szCs w:val="20"/>
          <w:lang w:val="fr-FR" w:eastAsia="fr-FR"/>
        </w:rPr>
        <w:t>suite à l’</w:t>
      </w:r>
      <w:r w:rsidR="00D31446" w:rsidRPr="001D0C63">
        <w:rPr>
          <w:rFonts w:ascii="Arial" w:eastAsia="Calibri" w:hAnsi="Arial" w:cs="Arial"/>
          <w:sz w:val="20"/>
          <w:szCs w:val="20"/>
          <w:lang w:val="fr-FR" w:eastAsia="fr-FR"/>
        </w:rPr>
        <w:t xml:space="preserve">insuffisance de formation des techniciens nationaux et </w:t>
      </w:r>
      <w:r w:rsidR="00551E52" w:rsidRPr="001D0C63">
        <w:rPr>
          <w:rFonts w:ascii="Arial" w:eastAsia="Calibri" w:hAnsi="Arial" w:cs="Arial"/>
          <w:sz w:val="20"/>
          <w:szCs w:val="20"/>
          <w:lang w:val="fr-FR" w:eastAsia="fr-FR"/>
        </w:rPr>
        <w:t xml:space="preserve">au </w:t>
      </w:r>
      <w:r w:rsidR="00D31446" w:rsidRPr="001D0C63">
        <w:rPr>
          <w:rFonts w:ascii="Arial" w:eastAsia="Calibri" w:hAnsi="Arial" w:cs="Arial"/>
          <w:sz w:val="20"/>
          <w:szCs w:val="20"/>
          <w:lang w:val="fr-FR" w:eastAsia="fr-FR"/>
        </w:rPr>
        <w:t>manque de spécialistes pour les premiers essais techniques de l’unité mobile sur place (communication DNACPN 9/2018).</w:t>
      </w:r>
    </w:p>
    <w:p w14:paraId="4715B41E" w14:textId="77777777" w:rsidR="00802BA9" w:rsidRPr="001D0C63" w:rsidRDefault="00802BA9" w:rsidP="00C518A4">
      <w:pPr>
        <w:spacing w:before="120" w:after="120" w:line="240" w:lineRule="auto"/>
        <w:rPr>
          <w:rFonts w:ascii="Arial" w:eastAsia="Calibri" w:hAnsi="Arial" w:cs="Arial"/>
          <w:sz w:val="20"/>
          <w:szCs w:val="20"/>
          <w:lang w:val="fr-FR" w:eastAsia="fr-FR"/>
        </w:rPr>
      </w:pPr>
      <w:r w:rsidRPr="001D0C63">
        <w:rPr>
          <w:rFonts w:ascii="Arial" w:eastAsia="Calibri" w:hAnsi="Arial" w:cs="Arial"/>
          <w:sz w:val="20"/>
          <w:szCs w:val="20"/>
          <w:lang w:val="fr-FR" w:eastAsia="fr-FR"/>
        </w:rPr>
        <w:t>D’autres mesures d’ordre plus général comme le suivi de l’écoconception</w:t>
      </w:r>
      <w:r w:rsidR="00551E52" w:rsidRPr="001D0C63">
        <w:rPr>
          <w:rStyle w:val="Appelnotedebasdep"/>
          <w:rFonts w:ascii="Arial" w:eastAsia="Calibri" w:hAnsi="Arial" w:cs="Arial"/>
          <w:sz w:val="20"/>
          <w:szCs w:val="20"/>
          <w:lang w:val="fr-FR" w:eastAsia="fr-FR"/>
        </w:rPr>
        <w:footnoteReference w:id="88"/>
      </w:r>
      <w:r w:rsidRPr="001D0C63">
        <w:rPr>
          <w:rFonts w:ascii="Arial" w:eastAsia="Calibri" w:hAnsi="Arial" w:cs="Arial"/>
          <w:sz w:val="20"/>
          <w:szCs w:val="20"/>
          <w:lang w:val="fr-FR" w:eastAsia="fr-FR"/>
        </w:rPr>
        <w:t xml:space="preserve"> (appliqué par le Canada) ou de l’empreinte écologique</w:t>
      </w:r>
      <w:r w:rsidRPr="001D0C63">
        <w:rPr>
          <w:rStyle w:val="Appelnotedebasdep"/>
          <w:rFonts w:ascii="Arial" w:eastAsia="Calibri" w:hAnsi="Arial" w:cs="Arial"/>
          <w:sz w:val="20"/>
          <w:szCs w:val="20"/>
          <w:lang w:val="fr-FR" w:eastAsia="fr-FR"/>
        </w:rPr>
        <w:footnoteReference w:id="89"/>
      </w:r>
      <w:r w:rsidRPr="001D0C63">
        <w:rPr>
          <w:rFonts w:ascii="Arial" w:eastAsia="Calibri" w:hAnsi="Arial" w:cs="Arial"/>
          <w:sz w:val="20"/>
          <w:szCs w:val="20"/>
          <w:lang w:val="fr-FR" w:eastAsia="fr-FR"/>
        </w:rPr>
        <w:t xml:space="preserve"> (appliqué par la MINUSMA) du programme de l’UE pourront être envisagées pour donner un bon exemple de l’intégration systématique et transversale de l’environnement dans tous les domaines.</w:t>
      </w:r>
      <w:r w:rsidR="00D31446" w:rsidRPr="001D0C63">
        <w:rPr>
          <w:rFonts w:ascii="Arial" w:eastAsia="Calibri" w:hAnsi="Arial" w:cs="Arial"/>
          <w:sz w:val="20"/>
          <w:szCs w:val="20"/>
          <w:lang w:val="fr-FR" w:eastAsia="fr-FR"/>
        </w:rPr>
        <w:t xml:space="preserve"> Une v</w:t>
      </w:r>
      <w:r w:rsidR="00551E52" w:rsidRPr="001D0C63">
        <w:rPr>
          <w:rFonts w:ascii="Arial" w:eastAsia="Calibri" w:hAnsi="Arial" w:cs="Arial"/>
          <w:sz w:val="20"/>
          <w:szCs w:val="20"/>
          <w:lang w:val="fr-FR" w:eastAsia="fr-FR"/>
        </w:rPr>
        <w:t xml:space="preserve">éritable </w:t>
      </w:r>
      <w:r w:rsidR="00D31446" w:rsidRPr="001D0C63">
        <w:rPr>
          <w:rFonts w:ascii="Arial" w:eastAsia="Calibri" w:hAnsi="Arial" w:cs="Arial"/>
          <w:sz w:val="20"/>
          <w:szCs w:val="20"/>
          <w:lang w:val="fr-FR" w:eastAsia="fr-FR"/>
        </w:rPr>
        <w:t xml:space="preserve">intégration systématique et transversale de l’environnement dans tous les domaines doit être aujourd’hui une approche incontournable de la coopération et de toutes initiatives de développement. Mais des programmes spécifiques pour l’environnement sont aussi nécessaires vu l’ampleur de la dégradation des ressources naturelles et de son impact </w:t>
      </w:r>
      <w:r w:rsidR="00551E52" w:rsidRPr="001D0C63">
        <w:rPr>
          <w:rFonts w:ascii="Arial" w:eastAsia="Calibri" w:hAnsi="Arial" w:cs="Arial"/>
          <w:sz w:val="20"/>
          <w:szCs w:val="20"/>
          <w:lang w:val="fr-FR" w:eastAsia="fr-FR"/>
        </w:rPr>
        <w:t xml:space="preserve">aussi bien </w:t>
      </w:r>
      <w:r w:rsidR="00D31446" w:rsidRPr="001D0C63">
        <w:rPr>
          <w:rFonts w:ascii="Arial" w:eastAsia="Calibri" w:hAnsi="Arial" w:cs="Arial"/>
          <w:sz w:val="20"/>
          <w:szCs w:val="20"/>
          <w:lang w:val="fr-FR" w:eastAsia="fr-FR"/>
        </w:rPr>
        <w:t>en milieu urbain qu</w:t>
      </w:r>
      <w:r w:rsidR="00551E52" w:rsidRPr="001D0C63">
        <w:rPr>
          <w:rFonts w:ascii="Arial" w:eastAsia="Calibri" w:hAnsi="Arial" w:cs="Arial"/>
          <w:sz w:val="20"/>
          <w:szCs w:val="20"/>
          <w:lang w:val="fr-FR" w:eastAsia="fr-FR"/>
        </w:rPr>
        <w:t>’</w:t>
      </w:r>
      <w:r w:rsidR="00D31446" w:rsidRPr="001D0C63">
        <w:rPr>
          <w:rFonts w:ascii="Arial" w:eastAsia="Calibri" w:hAnsi="Arial" w:cs="Arial"/>
          <w:sz w:val="20"/>
          <w:szCs w:val="20"/>
          <w:lang w:val="fr-FR" w:eastAsia="fr-FR"/>
        </w:rPr>
        <w:t>en milieu rural au Mali (cf. § 6.2 conclusions et recommandations).</w:t>
      </w:r>
    </w:p>
    <w:p w14:paraId="26ABB180" w14:textId="77777777" w:rsidR="00C518A4" w:rsidRDefault="00C518A4" w:rsidP="00500D2D">
      <w:pPr>
        <w:pStyle w:val="Titre1"/>
        <w:rPr>
          <w:lang w:eastAsia="fr-FR"/>
        </w:rPr>
        <w:sectPr w:rsidR="00C518A4" w:rsidSect="00715A3F">
          <w:pgSz w:w="11906" w:h="16838"/>
          <w:pgMar w:top="1134" w:right="1021" w:bottom="1134" w:left="1134" w:header="709" w:footer="709" w:gutter="0"/>
          <w:cols w:space="708"/>
          <w:docGrid w:linePitch="360"/>
        </w:sectPr>
      </w:pPr>
    </w:p>
    <w:p w14:paraId="23C543BC" w14:textId="77777777" w:rsidR="00802BA9" w:rsidRPr="00246971" w:rsidRDefault="00802BA9" w:rsidP="00500D2D">
      <w:pPr>
        <w:pStyle w:val="Titre1"/>
        <w:rPr>
          <w:lang w:eastAsia="fr-FR"/>
        </w:rPr>
      </w:pPr>
      <w:bookmarkStart w:id="60" w:name="_Toc20505662"/>
      <w:r>
        <w:rPr>
          <w:lang w:eastAsia="fr-FR"/>
        </w:rPr>
        <w:lastRenderedPageBreak/>
        <w:t>5</w:t>
      </w:r>
      <w:r w:rsidRPr="00246971">
        <w:rPr>
          <w:lang w:eastAsia="fr-FR"/>
        </w:rPr>
        <w:t>. Coopération de l’UE et des autres bailleurs avec le Pays en matière d’environnement</w:t>
      </w:r>
      <w:bookmarkEnd w:id="60"/>
    </w:p>
    <w:p w14:paraId="61C43AAB" w14:textId="77777777" w:rsidR="00802BA9" w:rsidRPr="00C518A4" w:rsidRDefault="00802BA9" w:rsidP="00C518A4">
      <w:pPr>
        <w:spacing w:before="120" w:after="120" w:line="240" w:lineRule="auto"/>
        <w:rPr>
          <w:rFonts w:ascii="Arial" w:hAnsi="Arial" w:cs="Arial"/>
          <w:sz w:val="20"/>
          <w:szCs w:val="20"/>
          <w:lang w:val="fr-FR"/>
        </w:rPr>
      </w:pPr>
      <w:r w:rsidRPr="00C518A4">
        <w:rPr>
          <w:rFonts w:ascii="Arial" w:hAnsi="Arial" w:cs="Arial"/>
          <w:sz w:val="20"/>
          <w:szCs w:val="20"/>
          <w:lang w:val="fr-FR"/>
        </w:rPr>
        <w:t>L’aide internationale a diminué avec la crise de 2012, puis a fortement repris suite aux conférences des donateurs de Bruxelles (2013) et de Paris (2015). Une quarantaine de donateurs bilatéraux et multilatéraux et une centaine d’ONG internationales appuient le Mali. Les principaux bailleurs de fonds en 2017 étaient représentés par les USA, l’UE et les pays membres, la BAD, la BM, le SNU et la Chine. (annexes 7.4.</w:t>
      </w:r>
      <w:r w:rsidR="00172EAC" w:rsidRPr="00C518A4">
        <w:rPr>
          <w:rFonts w:ascii="Arial" w:hAnsi="Arial" w:cs="Arial"/>
          <w:sz w:val="20"/>
          <w:szCs w:val="20"/>
          <w:lang w:val="fr-FR"/>
        </w:rPr>
        <w:t>11</w:t>
      </w:r>
      <w:r w:rsidRPr="00C518A4">
        <w:rPr>
          <w:rFonts w:ascii="Arial" w:hAnsi="Arial" w:cs="Arial"/>
          <w:sz w:val="20"/>
          <w:szCs w:val="20"/>
          <w:lang w:val="fr-FR"/>
        </w:rPr>
        <w:t> ; 7.4.</w:t>
      </w:r>
      <w:r w:rsidR="00172EAC" w:rsidRPr="00C518A4">
        <w:rPr>
          <w:rFonts w:ascii="Arial" w:hAnsi="Arial" w:cs="Arial"/>
          <w:sz w:val="20"/>
          <w:szCs w:val="20"/>
          <w:lang w:val="fr-FR"/>
        </w:rPr>
        <w:t>12</w:t>
      </w:r>
      <w:r w:rsidRPr="00C518A4">
        <w:rPr>
          <w:rFonts w:ascii="Arial" w:hAnsi="Arial" w:cs="Arial"/>
          <w:sz w:val="20"/>
          <w:szCs w:val="20"/>
          <w:lang w:val="fr-FR"/>
        </w:rPr>
        <w:t>). Sur la période 2016-2018, comparé aux décaissements de 2014, il y a une réallocation de l’aide tournée davantage vers les secteurs productifs tels le développement rural, l’énergie, les transports, et diminution du poids des appuis dans le domaine de la paix et de la sécurité. (CRMT, 2016).</w:t>
      </w:r>
    </w:p>
    <w:p w14:paraId="400B94E0" w14:textId="77777777" w:rsidR="00802BA9" w:rsidRPr="00C518A4" w:rsidRDefault="00802BA9" w:rsidP="00C518A4">
      <w:pPr>
        <w:spacing w:before="120" w:after="120" w:line="240" w:lineRule="auto"/>
        <w:rPr>
          <w:rFonts w:ascii="Arial" w:hAnsi="Arial" w:cs="Arial"/>
          <w:sz w:val="20"/>
          <w:szCs w:val="20"/>
          <w:lang w:val="fr-FR"/>
        </w:rPr>
      </w:pPr>
      <w:r w:rsidRPr="00C518A4">
        <w:rPr>
          <w:rFonts w:ascii="Arial" w:hAnsi="Arial" w:cs="Arial"/>
          <w:sz w:val="20"/>
          <w:szCs w:val="20"/>
          <w:lang w:val="fr-FR"/>
        </w:rPr>
        <w:t xml:space="preserve">La plupart des partenaires traditionnels reconnaissent l’importance des enjeux liés à la préservation de l’environnement. Il est plus difficile de cerner cet aspect pour la Chine, qui devient un partenaire de plus en plus important dans les secteurs d’énergie (42,5 % de l’aide en 2016 – 2018) et des infrastructures (11 % des routes 2016 – 2018) (CRMT, 2016). Par ailleurs, depuis plusieurs années il y a une forte tendance d’appuis évoluant de projets « purement environnementaux » vers des projets de résilience aux changements climatiques surtout en milieu rural. L’environnement urbain est faible appuyé par la coopération internationale actuelle en dehors des questions énergétiques et d’adduction d’eau potable. L’intégration transversale de l’environnement est faite à travers des EIES et PGES et parfois des EES. Une approche systématique, intégrée est souvent déclarée dans les projets de développement rural et de la sécurité alimentaire mais reste encore appliquée de façon variable selon les bailleurs de fonds.   </w:t>
      </w:r>
    </w:p>
    <w:p w14:paraId="175B3EA7" w14:textId="77777777" w:rsidR="00802BA9" w:rsidRPr="00C518A4" w:rsidRDefault="00802BA9" w:rsidP="00C518A4">
      <w:pPr>
        <w:spacing w:before="120" w:after="120" w:line="240" w:lineRule="auto"/>
        <w:rPr>
          <w:rFonts w:ascii="Arial" w:hAnsi="Arial" w:cs="Arial"/>
          <w:color w:val="0070C0"/>
          <w:sz w:val="20"/>
          <w:szCs w:val="20"/>
          <w:lang w:val="fr-FR"/>
        </w:rPr>
      </w:pPr>
    </w:p>
    <w:p w14:paraId="227F4803" w14:textId="77777777" w:rsidR="00802BA9" w:rsidRPr="00C518A4" w:rsidRDefault="00802BA9" w:rsidP="00C518A4">
      <w:pPr>
        <w:pStyle w:val="Titre2"/>
        <w:spacing w:before="120" w:after="120"/>
        <w:rPr>
          <w:sz w:val="20"/>
          <w:szCs w:val="20"/>
          <w:lang w:eastAsia="fr-FR"/>
        </w:rPr>
      </w:pPr>
      <w:bookmarkStart w:id="61" w:name="_Toc20505663"/>
      <w:r w:rsidRPr="00C518A4">
        <w:rPr>
          <w:sz w:val="20"/>
          <w:szCs w:val="20"/>
          <w:lang w:eastAsia="fr-FR"/>
        </w:rPr>
        <w:t>5.1 Aspects concernant l’environnement dans la Coopération de l’UE avec le Mali</w:t>
      </w:r>
      <w:bookmarkEnd w:id="61"/>
    </w:p>
    <w:p w14:paraId="07FA6F8A" w14:textId="77777777" w:rsidR="00802BA9" w:rsidRPr="001D0C63" w:rsidRDefault="00802BA9" w:rsidP="00C518A4">
      <w:pPr>
        <w:autoSpaceDE w:val="0"/>
        <w:autoSpaceDN w:val="0"/>
        <w:adjustRightInd w:val="0"/>
        <w:spacing w:before="120" w:after="120" w:line="240" w:lineRule="auto"/>
        <w:rPr>
          <w:rFonts w:ascii="Arial" w:hAnsi="Arial" w:cs="Arial"/>
          <w:sz w:val="20"/>
          <w:szCs w:val="20"/>
          <w:lang w:val="fr-FR"/>
        </w:rPr>
      </w:pPr>
      <w:r w:rsidRPr="00C518A4">
        <w:rPr>
          <w:rFonts w:ascii="Arial" w:hAnsi="Arial" w:cs="Arial"/>
          <w:sz w:val="20"/>
          <w:szCs w:val="20"/>
          <w:lang w:val="fr-FR"/>
        </w:rPr>
        <w:t>Au niveau environnemental, l’intervention de l’Union Européenne au Mali a évolué de projets purement environnementaux comme le PEALCD avec ses 4 composantes pour i) la lutte contre la désertification, ii) l’ensablement du fleuve Niger, iii) l’exploitation durable des ressources ligneuses pour l’énergie domestique et iv) l’éducation environnementale au titre des 8</w:t>
      </w:r>
      <w:r w:rsidRPr="00C518A4">
        <w:rPr>
          <w:rFonts w:ascii="Arial" w:hAnsi="Arial" w:cs="Arial"/>
          <w:sz w:val="20"/>
          <w:szCs w:val="20"/>
          <w:vertAlign w:val="superscript"/>
          <w:lang w:val="fr-FR"/>
        </w:rPr>
        <w:t>ème</w:t>
      </w:r>
      <w:r w:rsidRPr="00C518A4">
        <w:rPr>
          <w:rFonts w:ascii="Arial" w:hAnsi="Arial" w:cs="Arial"/>
          <w:sz w:val="20"/>
          <w:szCs w:val="20"/>
          <w:lang w:val="fr-FR"/>
        </w:rPr>
        <w:t xml:space="preserve"> et 9</w:t>
      </w:r>
      <w:r w:rsidRPr="00C518A4">
        <w:rPr>
          <w:rFonts w:ascii="Arial" w:hAnsi="Arial" w:cs="Arial"/>
          <w:sz w:val="20"/>
          <w:szCs w:val="20"/>
          <w:vertAlign w:val="superscript"/>
          <w:lang w:val="fr-FR"/>
        </w:rPr>
        <w:t>ème</w:t>
      </w:r>
      <w:r w:rsidRPr="00C518A4">
        <w:rPr>
          <w:rFonts w:ascii="Arial" w:hAnsi="Arial" w:cs="Arial"/>
          <w:sz w:val="20"/>
          <w:szCs w:val="20"/>
          <w:lang w:val="fr-FR"/>
        </w:rPr>
        <w:t xml:space="preserve"> FED (2001 – 2009), à l’intégration transversale des questions environnementales et du changement climatique dans les projets des secteurs prioritaires du 10</w:t>
      </w:r>
      <w:r w:rsidRPr="00C518A4">
        <w:rPr>
          <w:rFonts w:ascii="Arial" w:hAnsi="Arial" w:cs="Arial"/>
          <w:sz w:val="20"/>
          <w:szCs w:val="20"/>
          <w:vertAlign w:val="superscript"/>
          <w:lang w:val="fr-FR"/>
        </w:rPr>
        <w:t>ème</w:t>
      </w:r>
      <w:r w:rsidRPr="00C518A4">
        <w:rPr>
          <w:rFonts w:ascii="Arial" w:hAnsi="Arial" w:cs="Arial"/>
          <w:sz w:val="20"/>
          <w:szCs w:val="20"/>
          <w:lang w:val="fr-FR"/>
        </w:rPr>
        <w:t xml:space="preserve"> et 11</w:t>
      </w:r>
      <w:r w:rsidRPr="00C518A4">
        <w:rPr>
          <w:rFonts w:ascii="Arial" w:hAnsi="Arial" w:cs="Arial"/>
          <w:sz w:val="20"/>
          <w:szCs w:val="20"/>
          <w:vertAlign w:val="superscript"/>
          <w:lang w:val="fr-FR"/>
        </w:rPr>
        <w:t xml:space="preserve">ème </w:t>
      </w:r>
      <w:r w:rsidRPr="00C518A4">
        <w:rPr>
          <w:rFonts w:ascii="Arial" w:hAnsi="Arial" w:cs="Arial"/>
          <w:sz w:val="20"/>
          <w:szCs w:val="20"/>
          <w:lang w:val="fr-FR"/>
        </w:rPr>
        <w:t>FED. Des mécanismes spécifiques, particulièrement au Mali avec la Facilité d’Energie, ont été utilisés pendant le 10</w:t>
      </w:r>
      <w:r w:rsidRPr="00C518A4">
        <w:rPr>
          <w:rFonts w:ascii="Arial" w:hAnsi="Arial" w:cs="Arial"/>
          <w:sz w:val="20"/>
          <w:szCs w:val="20"/>
          <w:vertAlign w:val="superscript"/>
          <w:lang w:val="fr-FR"/>
        </w:rPr>
        <w:t>ème</w:t>
      </w:r>
      <w:r w:rsidRPr="00C518A4">
        <w:rPr>
          <w:rFonts w:ascii="Arial" w:hAnsi="Arial" w:cs="Arial"/>
          <w:sz w:val="20"/>
          <w:szCs w:val="20"/>
          <w:lang w:val="fr-FR"/>
        </w:rPr>
        <w:t xml:space="preserve"> FED pour faciliter l’équipement de bio-digesteurs, la distribution de kits photovoltaïques, l’installation de minicentrales et l’accès à l’énergie (PASER-K). De plus, l’Union Européenne a engagé le partenariat mondial ‹‹ Alliance Mondiale contre le Changement Climatique (AMCC) ›› pour renforcer le dialogue mondial et la coopération dans le domaine du changement climatique. Dans ce cadre, le Mali bénéficie depuis 2010 du projet AGCC – Mali et du plan régional de </w:t>
      </w:r>
      <w:r w:rsidR="00747551" w:rsidRPr="00C518A4">
        <w:rPr>
          <w:rFonts w:ascii="Arial" w:hAnsi="Arial" w:cs="Arial"/>
          <w:sz w:val="20"/>
          <w:szCs w:val="20"/>
          <w:lang w:val="fr-FR"/>
        </w:rPr>
        <w:t>l’</w:t>
      </w:r>
      <w:r w:rsidRPr="00C518A4">
        <w:rPr>
          <w:rFonts w:ascii="Arial" w:hAnsi="Arial" w:cs="Arial"/>
          <w:sz w:val="20"/>
          <w:szCs w:val="20"/>
          <w:lang w:val="fr-FR"/>
        </w:rPr>
        <w:t>AGCC-Afrique de l’Ouest. L’AGCC – Mali, appuyant la mise en œuvre de la Politique Nationale sur le Changement Climatique, le Système d'Information Forestier (SIFOR) et des projets de verdissement du terroir (reboisement) à travers des ONG, est passée à sa 2</w:t>
      </w:r>
      <w:r w:rsidR="00172EAC" w:rsidRPr="00C518A4">
        <w:rPr>
          <w:rFonts w:ascii="Arial" w:hAnsi="Arial" w:cs="Arial"/>
          <w:sz w:val="20"/>
          <w:szCs w:val="20"/>
          <w:vertAlign w:val="superscript"/>
          <w:lang w:val="fr-FR"/>
        </w:rPr>
        <w:t>ème</w:t>
      </w:r>
      <w:r w:rsidR="00172EAC" w:rsidRPr="00C518A4">
        <w:rPr>
          <w:rFonts w:ascii="Arial" w:hAnsi="Arial" w:cs="Arial"/>
          <w:sz w:val="20"/>
          <w:szCs w:val="20"/>
          <w:lang w:val="fr-FR"/>
        </w:rPr>
        <w:t xml:space="preserve"> </w:t>
      </w:r>
      <w:r w:rsidRPr="00C518A4">
        <w:rPr>
          <w:rFonts w:ascii="Arial" w:hAnsi="Arial" w:cs="Arial"/>
          <w:sz w:val="20"/>
          <w:szCs w:val="20"/>
          <w:lang w:val="fr-FR"/>
        </w:rPr>
        <w:t xml:space="preserve">phase (2017 – 2022). L’AGCC2 continue avec les mêmes axes thématiques principaux et l’UE a financé, dans le contexte AGCC, les inventaires forestiers dans les 4 régions sud du pays (AGCC, </w:t>
      </w:r>
      <w:r w:rsidRPr="001D0C63">
        <w:rPr>
          <w:rFonts w:ascii="Arial" w:hAnsi="Arial" w:cs="Arial"/>
          <w:sz w:val="20"/>
          <w:szCs w:val="20"/>
          <w:lang w:val="fr-FR"/>
        </w:rPr>
        <w:t>2014).</w:t>
      </w:r>
      <w:r w:rsidR="00D801BC" w:rsidRPr="001D0C63">
        <w:rPr>
          <w:rFonts w:ascii="Arial" w:hAnsi="Arial" w:cs="Arial"/>
          <w:sz w:val="20"/>
          <w:szCs w:val="20"/>
          <w:lang w:val="fr-FR"/>
        </w:rPr>
        <w:t xml:space="preserve"> En plus suite à la COP 21 </w:t>
      </w:r>
      <w:r w:rsidR="00C23D9B" w:rsidRPr="001D0C63">
        <w:rPr>
          <w:rFonts w:ascii="Arial" w:hAnsi="Arial" w:cs="Arial"/>
          <w:sz w:val="20"/>
          <w:szCs w:val="20"/>
          <w:lang w:val="fr-FR"/>
        </w:rPr>
        <w:t>de</w:t>
      </w:r>
      <w:r w:rsidR="00D801BC" w:rsidRPr="001D0C63">
        <w:rPr>
          <w:rFonts w:ascii="Arial" w:hAnsi="Arial" w:cs="Arial"/>
          <w:sz w:val="20"/>
          <w:szCs w:val="20"/>
          <w:lang w:val="fr-FR"/>
        </w:rPr>
        <w:t xml:space="preserve"> P</w:t>
      </w:r>
      <w:r w:rsidR="0071625F" w:rsidRPr="001D0C63">
        <w:rPr>
          <w:rFonts w:ascii="Arial" w:hAnsi="Arial" w:cs="Arial"/>
          <w:sz w:val="20"/>
          <w:szCs w:val="20"/>
          <w:lang w:val="fr-FR"/>
        </w:rPr>
        <w:t>aris</w:t>
      </w:r>
      <w:r w:rsidR="00D801BC" w:rsidRPr="001D0C63">
        <w:rPr>
          <w:rFonts w:ascii="Arial" w:hAnsi="Arial" w:cs="Arial"/>
          <w:sz w:val="20"/>
          <w:szCs w:val="20"/>
          <w:lang w:val="fr-FR"/>
        </w:rPr>
        <w:t xml:space="preserve">, l’UE facilite des évènements ponctuels de dialogue autour du changement climatique tels-que la semaine de </w:t>
      </w:r>
      <w:r w:rsidR="00C23D9B" w:rsidRPr="001D0C63">
        <w:rPr>
          <w:rFonts w:ascii="Arial" w:hAnsi="Arial" w:cs="Arial"/>
          <w:sz w:val="20"/>
          <w:szCs w:val="20"/>
          <w:lang w:val="fr-FR"/>
        </w:rPr>
        <w:t xml:space="preserve">la </w:t>
      </w:r>
      <w:r w:rsidR="00D801BC" w:rsidRPr="001D0C63">
        <w:rPr>
          <w:rFonts w:ascii="Arial" w:hAnsi="Arial" w:cs="Arial"/>
          <w:sz w:val="20"/>
          <w:szCs w:val="20"/>
          <w:lang w:val="fr-FR"/>
        </w:rPr>
        <w:t>diplomatie climatique européenne en septembre 2018.</w:t>
      </w:r>
    </w:p>
    <w:p w14:paraId="2D95A972" w14:textId="77777777" w:rsidR="00802BA9" w:rsidRPr="00C518A4" w:rsidRDefault="00802BA9" w:rsidP="00C518A4">
      <w:pPr>
        <w:autoSpaceDE w:val="0"/>
        <w:autoSpaceDN w:val="0"/>
        <w:adjustRightInd w:val="0"/>
        <w:spacing w:before="120" w:after="120" w:line="240" w:lineRule="auto"/>
        <w:rPr>
          <w:rFonts w:ascii="Arial" w:hAnsi="Arial" w:cs="Arial"/>
          <w:color w:val="C00000"/>
          <w:sz w:val="20"/>
          <w:szCs w:val="20"/>
          <w:lang w:val="fr-FR"/>
        </w:rPr>
      </w:pPr>
      <w:r w:rsidRPr="00C518A4">
        <w:rPr>
          <w:rFonts w:ascii="Arial" w:hAnsi="Arial" w:cs="Arial"/>
          <w:sz w:val="20"/>
          <w:szCs w:val="20"/>
          <w:lang w:val="fr-FR"/>
        </w:rPr>
        <w:t>Les secteurs principaux d’intervention du 11</w:t>
      </w:r>
      <w:r w:rsidRPr="00C518A4">
        <w:rPr>
          <w:rFonts w:ascii="Arial" w:hAnsi="Arial" w:cs="Arial"/>
          <w:sz w:val="20"/>
          <w:szCs w:val="20"/>
          <w:vertAlign w:val="superscript"/>
          <w:lang w:val="fr-FR"/>
        </w:rPr>
        <w:t>ème</w:t>
      </w:r>
      <w:r w:rsidRPr="00C518A4">
        <w:rPr>
          <w:rFonts w:ascii="Arial" w:hAnsi="Arial" w:cs="Arial"/>
          <w:sz w:val="20"/>
          <w:szCs w:val="20"/>
          <w:lang w:val="fr-FR"/>
        </w:rPr>
        <w:t xml:space="preserve"> FED sont : « La Réforme de l’Etat et la consolidation de l’Etat de droit incluant la relance de l’économie et le renforcement des institutions publiques, le Développement rural et la sécurité alimentaire, l’éducation et le secteur ‘route ». En ce qui concerne l’intégration transversale de l’environnement et du changement climatique (depuis 2008), dans les projets de coopération, l’UE s’appuie (1) sur ses lignes directrices pour l’intégration de l’environnement et des changements climatiques dans la coopération au développement depuis 2006, (2) le Profil Environnemental du Pays et (3) sur les EIES, PGES et, plus en plus, sur les EES des projets et programmes (2008 EES de la politique sectorielle des transports, 2011 EES</w:t>
      </w:r>
      <w:r w:rsidRPr="00C518A4">
        <w:rPr>
          <w:rFonts w:ascii="Arial" w:eastAsiaTheme="minorHAnsi" w:hAnsi="Arial" w:cs="Arial"/>
          <w:sz w:val="20"/>
          <w:szCs w:val="20"/>
          <w:lang w:val="fr-FR"/>
        </w:rPr>
        <w:t xml:space="preserve"> </w:t>
      </w:r>
      <w:r w:rsidRPr="00C518A4">
        <w:rPr>
          <w:rFonts w:ascii="Arial" w:hAnsi="Arial" w:cs="Arial"/>
          <w:sz w:val="20"/>
          <w:szCs w:val="20"/>
          <w:lang w:val="fr-FR"/>
        </w:rPr>
        <w:t>du Développement rural, EES de l’irrigation de proximité 2010 en cours d’actualisation, 2017 EES de l’appui à l’Office du Niger). Néanmoins, il faut noter que l’instrument de l’EES n’existe pas pour tous les secteurs prioritaires. La mise en application de l’intégration transversale des questions environnementales et du changement climatique est variable selon les secteurs et aussi selon les projets spécifiques.</w:t>
      </w:r>
      <w:r w:rsidRPr="00C518A4">
        <w:rPr>
          <w:rFonts w:ascii="Arial" w:eastAsiaTheme="minorHAnsi" w:hAnsi="Arial" w:cs="Arial"/>
          <w:sz w:val="20"/>
          <w:szCs w:val="20"/>
          <w:lang w:val="fr-FR"/>
        </w:rPr>
        <w:t xml:space="preserve"> </w:t>
      </w:r>
      <w:r w:rsidRPr="00C518A4">
        <w:rPr>
          <w:rFonts w:ascii="Arial" w:hAnsi="Arial" w:cs="Arial"/>
          <w:sz w:val="20"/>
          <w:szCs w:val="20"/>
          <w:lang w:val="fr-FR"/>
        </w:rPr>
        <w:t>Les lignes directrices pour l’intégration de l’environnement et du changement climatique de l’UE ont considérablement été révisées en 2016 suite à la COP 21 ; cette révision devant être prise en compte dans les nouvelles planifications.</w:t>
      </w:r>
    </w:p>
    <w:p w14:paraId="6192499D" w14:textId="77777777" w:rsidR="00802BA9" w:rsidRPr="00C518A4" w:rsidRDefault="00802BA9" w:rsidP="00C518A4">
      <w:pPr>
        <w:keepNext/>
        <w:spacing w:before="120" w:after="120" w:line="240" w:lineRule="auto"/>
        <w:rPr>
          <w:rFonts w:ascii="Arial" w:hAnsi="Arial" w:cs="Arial"/>
          <w:b/>
          <w:sz w:val="20"/>
          <w:szCs w:val="20"/>
          <w:lang w:val="fr-FR"/>
        </w:rPr>
      </w:pPr>
      <w:r w:rsidRPr="00C518A4">
        <w:rPr>
          <w:rFonts w:ascii="Arial" w:hAnsi="Arial" w:cs="Arial"/>
          <w:b/>
          <w:sz w:val="20"/>
          <w:szCs w:val="20"/>
          <w:lang w:val="fr-FR"/>
        </w:rPr>
        <w:lastRenderedPageBreak/>
        <w:t>Coopération bilatérale </w:t>
      </w:r>
    </w:p>
    <w:p w14:paraId="441EE5A6" w14:textId="77777777" w:rsidR="00802BA9" w:rsidRPr="00C518A4" w:rsidRDefault="00802BA9" w:rsidP="00C518A4">
      <w:pPr>
        <w:keepNext/>
        <w:spacing w:before="120" w:after="120" w:line="240" w:lineRule="auto"/>
        <w:contextualSpacing/>
        <w:rPr>
          <w:rFonts w:ascii="Arial" w:eastAsia="Calibri" w:hAnsi="Arial" w:cs="Arial"/>
          <w:sz w:val="20"/>
          <w:szCs w:val="20"/>
          <w:lang w:val="fr-FR" w:eastAsia="fr-FR"/>
        </w:rPr>
      </w:pPr>
      <w:r w:rsidRPr="00C518A4">
        <w:rPr>
          <w:rFonts w:ascii="Arial" w:eastAsia="Calibri" w:hAnsi="Arial" w:cs="Arial"/>
          <w:sz w:val="20"/>
          <w:szCs w:val="20"/>
          <w:lang w:val="fr-FR" w:eastAsia="fr-FR"/>
        </w:rPr>
        <w:t xml:space="preserve">Le </w:t>
      </w:r>
      <w:r w:rsidRPr="00C518A4">
        <w:rPr>
          <w:rFonts w:ascii="Arial" w:eastAsia="Calibri" w:hAnsi="Arial" w:cs="Arial"/>
          <w:b/>
          <w:sz w:val="20"/>
          <w:szCs w:val="20"/>
          <w:lang w:val="fr-FR" w:eastAsia="fr-FR"/>
        </w:rPr>
        <w:t>Royaume de Suède,</w:t>
      </w:r>
      <w:r w:rsidRPr="00C518A4">
        <w:rPr>
          <w:rFonts w:ascii="Arial" w:eastAsia="Calibri" w:hAnsi="Arial" w:cs="Arial"/>
          <w:sz w:val="20"/>
          <w:szCs w:val="20"/>
          <w:lang w:val="fr-FR" w:eastAsia="fr-FR"/>
        </w:rPr>
        <w:t xml:space="preserve"> à travers son agence de coopération (SIDA), est résolument orienté vers la préservation de l'environnement. Le programme 2016 – 2020 cible « l’Amélioration de l'environnement, impact climatique réduit et une meilleure résilience à l'impact environnemental, aux changements climatiques et aux catastrophes naturelles » comme une des trois priorités thématiques avec plus de 40 % de l’aide totale. SIDA intervient au niveau des ressources naturelles (projet GEDEFOR), de l’adaptation au changement climatique, de la résilience au Changement Climatique et de gestion intégrée de l’eau (GIRE). Elle appuie spécifiquement les activités des ONG nationales organisées dans le RESO-CLIMAT. La Suède est également le premier donateur à avoir apporté une contribution au Fonds Climat du Mali. Le Royaume de Suède a été le chef de file du groupe</w:t>
      </w:r>
      <w:r w:rsidR="00C23D9B" w:rsidRPr="00C518A4">
        <w:rPr>
          <w:rFonts w:ascii="Arial" w:eastAsia="Calibri" w:hAnsi="Arial" w:cs="Arial"/>
          <w:sz w:val="20"/>
          <w:szCs w:val="20"/>
          <w:lang w:val="fr-FR" w:eastAsia="fr-FR"/>
        </w:rPr>
        <w:t xml:space="preserve"> « Environnement</w:t>
      </w:r>
      <w:r w:rsidRPr="00C518A4">
        <w:rPr>
          <w:rFonts w:ascii="Arial" w:eastAsia="Calibri" w:hAnsi="Arial" w:cs="Arial"/>
          <w:sz w:val="20"/>
          <w:szCs w:val="20"/>
          <w:lang w:val="fr-FR" w:eastAsia="fr-FR"/>
        </w:rPr>
        <w:t xml:space="preserve"> et Changement Climatique» au sein des Partenaires Techniques et Financiers jusqu’en 2016.</w:t>
      </w:r>
    </w:p>
    <w:p w14:paraId="705CF46F" w14:textId="77777777" w:rsidR="00C518A4" w:rsidRDefault="00C518A4" w:rsidP="00C518A4">
      <w:pPr>
        <w:spacing w:before="120" w:after="120" w:line="240" w:lineRule="auto"/>
        <w:contextualSpacing/>
        <w:rPr>
          <w:rFonts w:ascii="Arial" w:eastAsia="Calibri" w:hAnsi="Arial" w:cs="Arial"/>
          <w:sz w:val="20"/>
          <w:szCs w:val="20"/>
          <w:lang w:val="fr-FR" w:eastAsia="fr-FR"/>
        </w:rPr>
      </w:pPr>
    </w:p>
    <w:p w14:paraId="391A2C14" w14:textId="77777777" w:rsidR="00802BA9" w:rsidRPr="00C518A4" w:rsidRDefault="00802BA9" w:rsidP="00C518A4">
      <w:pPr>
        <w:spacing w:before="120" w:after="120" w:line="240" w:lineRule="auto"/>
        <w:contextualSpacing/>
        <w:rPr>
          <w:rFonts w:ascii="Arial" w:eastAsia="Calibri" w:hAnsi="Arial" w:cs="Arial"/>
          <w:sz w:val="20"/>
          <w:szCs w:val="20"/>
          <w:lang w:val="fr-FR" w:eastAsia="fr-FR"/>
        </w:rPr>
      </w:pPr>
      <w:r w:rsidRPr="00C518A4">
        <w:rPr>
          <w:rFonts w:ascii="Arial" w:eastAsia="Calibri" w:hAnsi="Arial" w:cs="Arial"/>
          <w:b/>
          <w:sz w:val="20"/>
          <w:szCs w:val="20"/>
          <w:lang w:val="fr-FR" w:eastAsia="fr-FR"/>
        </w:rPr>
        <w:t>L’Allemagne à travers la GIZ et la KfW</w:t>
      </w:r>
      <w:r w:rsidRPr="00C518A4">
        <w:rPr>
          <w:rFonts w:ascii="Arial" w:eastAsia="Calibri" w:hAnsi="Arial" w:cs="Arial"/>
          <w:sz w:val="20"/>
          <w:szCs w:val="20"/>
          <w:lang w:val="fr-FR" w:eastAsia="fr-FR"/>
        </w:rPr>
        <w:t xml:space="preserve">, est le partenaire primordial dans le domaine de l'environnement depuis les années 80. Elle a appuyé le gouvernement pour le développement et la mise en œuvre de la Politique nationale de Protection de l'Environnement (PNPE). Son activité actuelle dans le secteur de l’environnement cible la petite irrigation de proximité et les changements climatiques. La GIZ appuie particulièrement la mise en œuvre de la stratégie nationale sur les changements climatiques, facilite les processus liés à la Contribution Déterminée au niveau National (CDN) et le développement du SNGIE. Le programme concerne également l’électrification rurale, la gestion de l’eau, (eau potable, assainissement, fleuve Niger), l’appui aux collectivités territoriales (appui KFW), la transparence et le contrôle du secteur minier. Les activités actuelles mettent un accent sur l’engagement du secteur privé et sur la prise en compte d'économies résilientes aux aléas climatiques (notion de « </w:t>
      </w:r>
      <w:r w:rsidRPr="00C518A4">
        <w:rPr>
          <w:rFonts w:ascii="Arial" w:eastAsia="Calibri" w:hAnsi="Arial" w:cs="Arial"/>
          <w:i/>
          <w:sz w:val="20"/>
          <w:szCs w:val="20"/>
          <w:lang w:val="fr-FR" w:eastAsia="fr-FR"/>
        </w:rPr>
        <w:t>climate proofing</w:t>
      </w:r>
      <w:r w:rsidRPr="00C518A4">
        <w:rPr>
          <w:rFonts w:ascii="Arial" w:eastAsia="Calibri" w:hAnsi="Arial" w:cs="Arial"/>
          <w:sz w:val="20"/>
          <w:szCs w:val="20"/>
          <w:lang w:val="fr-FR" w:eastAsia="fr-FR"/>
        </w:rPr>
        <w:t xml:space="preserve"> »). Dans le cadre du PASSIP, l’EES du Programme National d’Irrigation de Proximité (PNIP) de 2010 est en cours d’actualisation. </w:t>
      </w:r>
    </w:p>
    <w:p w14:paraId="3C19C884" w14:textId="77777777" w:rsidR="00802BA9" w:rsidRPr="00C518A4" w:rsidRDefault="00802BA9" w:rsidP="00C518A4">
      <w:pPr>
        <w:spacing w:before="120" w:after="120" w:line="240" w:lineRule="auto"/>
        <w:contextualSpacing/>
        <w:rPr>
          <w:rFonts w:ascii="Arial" w:eastAsia="Calibri" w:hAnsi="Arial" w:cs="Arial"/>
          <w:b/>
          <w:sz w:val="20"/>
          <w:szCs w:val="20"/>
          <w:lang w:val="fr-FR" w:eastAsia="fr-FR"/>
        </w:rPr>
      </w:pPr>
    </w:p>
    <w:p w14:paraId="442E5435" w14:textId="77777777" w:rsidR="00802BA9" w:rsidRPr="00C518A4" w:rsidRDefault="00802BA9" w:rsidP="00C518A4">
      <w:pPr>
        <w:spacing w:before="120" w:after="120" w:line="240" w:lineRule="auto"/>
        <w:contextualSpacing/>
        <w:rPr>
          <w:rFonts w:ascii="Arial" w:eastAsia="Calibri" w:hAnsi="Arial" w:cs="Arial"/>
          <w:sz w:val="20"/>
          <w:szCs w:val="20"/>
          <w:lang w:val="fr-FR" w:eastAsia="fr-FR"/>
        </w:rPr>
      </w:pPr>
      <w:r w:rsidRPr="00C518A4">
        <w:rPr>
          <w:rFonts w:ascii="Arial" w:eastAsia="Calibri" w:hAnsi="Arial" w:cs="Arial"/>
          <w:b/>
          <w:sz w:val="20"/>
          <w:szCs w:val="20"/>
          <w:lang w:val="fr-FR" w:eastAsia="fr-FR"/>
        </w:rPr>
        <w:t>La France, par le biais de  l’AFD</w:t>
      </w:r>
      <w:r w:rsidRPr="00C518A4">
        <w:rPr>
          <w:rFonts w:ascii="Arial" w:eastAsia="Calibri" w:hAnsi="Arial" w:cs="Arial"/>
          <w:sz w:val="20"/>
          <w:szCs w:val="20"/>
          <w:lang w:val="fr-FR" w:eastAsia="fr-FR"/>
        </w:rPr>
        <w:t>, sur le plan environnemental, appuie les  projets d’adduction d’eau et de l’assainissement, la réforme du secteur de l’énergie (barrages hydroélectrique, réseaux et centrales hybrides en milieu rural) et les filières agricoles (gestion concertée et soutenable des ressources naturelles dans les régions de Ségou et de Tombouctou, sécurité alimentaire dans les périmètres irrigués autour du fleuve Niger, pratiques agricoles durables auprès des exploitations familiales qui cultivent le coton et transformation des produits agricoles). La France soutient également, à travers le FFEM, le biocarburant (jatropha), l’agroécologie et la gestion durable des oiseaux d’eau et de leurs habitats. L’aide publique française est également présente au Mali à travers des coopérations décentralisées dynamiques (68 au total) entre des collectivités territoriales françaises et maliennes. Pour la période 2016-2018, le montant de l’aide en faveur du Mali mobilisée par cette coopération est d’environ 8,6 millions d’euros. Les projets touchent une grande diversité sectorielle : protection de l’environnement, commerce, aide alimentaire, aide humanitaire, eau et assainissement, santé, gouvernance locale, agriculture et développement rural, éducation.</w:t>
      </w:r>
      <w:r w:rsidRPr="00C518A4">
        <w:rPr>
          <w:rFonts w:ascii="Arial" w:eastAsiaTheme="minorHAnsi" w:hAnsi="Arial" w:cs="Arial"/>
          <w:sz w:val="20"/>
          <w:szCs w:val="20"/>
          <w:lang w:val="fr-FR"/>
        </w:rPr>
        <w:t xml:space="preserve"> </w:t>
      </w:r>
      <w:r w:rsidRPr="00C518A4">
        <w:rPr>
          <w:rFonts w:ascii="Arial" w:eastAsia="Calibri" w:hAnsi="Arial" w:cs="Arial"/>
          <w:sz w:val="20"/>
          <w:szCs w:val="20"/>
          <w:lang w:val="fr-FR" w:eastAsia="fr-FR"/>
        </w:rPr>
        <w:t>Enfin, la France est chef de file du sous-groupe sectoriel</w:t>
      </w:r>
      <w:r w:rsidR="00C23D9B" w:rsidRPr="00C518A4">
        <w:rPr>
          <w:rFonts w:ascii="Arial" w:eastAsia="Calibri" w:hAnsi="Arial" w:cs="Arial"/>
          <w:sz w:val="20"/>
          <w:szCs w:val="20"/>
          <w:lang w:val="fr-FR" w:eastAsia="fr-FR"/>
        </w:rPr>
        <w:t xml:space="preserve"> « Energie</w:t>
      </w:r>
      <w:r w:rsidRPr="00C518A4">
        <w:rPr>
          <w:rFonts w:ascii="Arial" w:eastAsia="Calibri" w:hAnsi="Arial" w:cs="Arial"/>
          <w:sz w:val="20"/>
          <w:szCs w:val="20"/>
          <w:lang w:val="fr-FR" w:eastAsia="fr-FR"/>
        </w:rPr>
        <w:t>» au sein de la coordination des PTF.</w:t>
      </w:r>
    </w:p>
    <w:p w14:paraId="40615071" w14:textId="77777777" w:rsidR="00802BA9" w:rsidRPr="00C518A4" w:rsidRDefault="00802BA9" w:rsidP="00C518A4">
      <w:pPr>
        <w:autoSpaceDE w:val="0"/>
        <w:autoSpaceDN w:val="0"/>
        <w:adjustRightInd w:val="0"/>
        <w:spacing w:before="120" w:after="120" w:line="240" w:lineRule="auto"/>
        <w:rPr>
          <w:rFonts w:ascii="Arial" w:hAnsi="Arial" w:cs="Arial"/>
          <w:sz w:val="20"/>
          <w:szCs w:val="20"/>
          <w:lang w:val="fr-FR"/>
        </w:rPr>
      </w:pPr>
    </w:p>
    <w:p w14:paraId="7057DB0F" w14:textId="77777777" w:rsidR="00802BA9" w:rsidRPr="00C518A4" w:rsidRDefault="00802BA9" w:rsidP="00C518A4">
      <w:pPr>
        <w:autoSpaceDE w:val="0"/>
        <w:autoSpaceDN w:val="0"/>
        <w:adjustRightInd w:val="0"/>
        <w:spacing w:before="120" w:after="120" w:line="240" w:lineRule="auto"/>
        <w:rPr>
          <w:rFonts w:ascii="Arial" w:eastAsia="Calibri" w:hAnsi="Arial" w:cs="Arial"/>
          <w:sz w:val="20"/>
          <w:szCs w:val="20"/>
          <w:u w:val="single"/>
          <w:lang w:val="fr-FR" w:eastAsia="fr-FR"/>
        </w:rPr>
      </w:pPr>
      <w:r w:rsidRPr="00C518A4">
        <w:rPr>
          <w:rFonts w:ascii="Arial" w:eastAsia="Calibri" w:hAnsi="Arial" w:cs="Arial"/>
          <w:b/>
          <w:sz w:val="20"/>
          <w:szCs w:val="20"/>
          <w:lang w:val="fr-FR" w:eastAsia="fr-FR"/>
        </w:rPr>
        <w:t xml:space="preserve">La Belgique à travers ENABEL </w:t>
      </w:r>
      <w:r w:rsidRPr="00C518A4">
        <w:rPr>
          <w:rFonts w:ascii="Arial" w:eastAsia="Calibri" w:hAnsi="Arial" w:cs="Arial"/>
          <w:sz w:val="20"/>
          <w:szCs w:val="20"/>
          <w:lang w:val="fr-FR" w:eastAsia="fr-FR"/>
        </w:rPr>
        <w:t>(anciennement CTB)</w:t>
      </w:r>
      <w:r w:rsidRPr="00C518A4">
        <w:rPr>
          <w:rFonts w:ascii="Arial" w:eastAsia="Calibri" w:hAnsi="Arial" w:cs="Arial"/>
          <w:b/>
          <w:sz w:val="20"/>
          <w:szCs w:val="20"/>
          <w:lang w:val="fr-FR" w:eastAsia="fr-FR"/>
        </w:rPr>
        <w:t xml:space="preserve"> </w:t>
      </w:r>
      <w:r w:rsidRPr="00C518A4">
        <w:rPr>
          <w:rFonts w:ascii="Arial" w:eastAsia="Calibri" w:hAnsi="Arial" w:cs="Arial"/>
          <w:sz w:val="20"/>
          <w:szCs w:val="20"/>
          <w:lang w:val="fr-FR" w:eastAsia="fr-FR"/>
        </w:rPr>
        <w:t>considère l’environnement comme un thème transversal. Elle veille à la réduction des risques environnementaux et favorise les innovations dans les approches et les techniques utilisées (écoconstruction, énergies renouvelables, agroforesterie, approche écosystémique, etc.) dans tous les projets. ENABEL a appuyé les actions en faveur de l’assainissement, notamment au niveau de la mairie de Sikasso (CONFIDES 2014-2017) depuis 2002 et a transféré les compétences à la mairie fin 2017</w:t>
      </w:r>
      <w:r w:rsidRPr="00C518A4">
        <w:rPr>
          <w:rFonts w:ascii="Arial" w:eastAsia="Calibri" w:hAnsi="Arial" w:cs="Arial"/>
          <w:sz w:val="20"/>
          <w:szCs w:val="20"/>
          <w:vertAlign w:val="superscript"/>
          <w:lang w:val="fr-FR" w:eastAsia="fr-FR"/>
        </w:rPr>
        <w:t xml:space="preserve"> </w:t>
      </w:r>
      <w:r w:rsidRPr="00C518A4">
        <w:rPr>
          <w:rFonts w:ascii="Arial" w:eastAsia="Calibri" w:hAnsi="Arial" w:cs="Arial"/>
          <w:sz w:val="20"/>
          <w:szCs w:val="20"/>
          <w:lang w:val="fr-FR" w:eastAsia="fr-FR"/>
        </w:rPr>
        <w:t xml:space="preserve">et se limite aujourd’hui à la supervision. Par ailleurs, ENABEL appuie la décentralisation et le développement rural en se focalisant sur l’élevage et la pêche. </w:t>
      </w:r>
    </w:p>
    <w:p w14:paraId="757BD0BF" w14:textId="77777777" w:rsidR="00802BA9" w:rsidRPr="00C518A4" w:rsidRDefault="00802BA9" w:rsidP="00C518A4">
      <w:pPr>
        <w:autoSpaceDE w:val="0"/>
        <w:autoSpaceDN w:val="0"/>
        <w:adjustRightInd w:val="0"/>
        <w:spacing w:before="120" w:after="120" w:line="240" w:lineRule="auto"/>
        <w:rPr>
          <w:rFonts w:ascii="Arial" w:hAnsi="Arial" w:cs="Arial"/>
          <w:sz w:val="20"/>
          <w:szCs w:val="20"/>
          <w:lang w:val="fr-FR"/>
        </w:rPr>
      </w:pPr>
    </w:p>
    <w:p w14:paraId="2A042ACC" w14:textId="77777777" w:rsidR="00802BA9" w:rsidRPr="00C518A4" w:rsidRDefault="00802BA9" w:rsidP="00C518A4">
      <w:pPr>
        <w:pStyle w:val="Pardeliste"/>
        <w:spacing w:before="120" w:after="120" w:line="240" w:lineRule="auto"/>
        <w:ind w:left="0"/>
        <w:rPr>
          <w:rFonts w:ascii="Arial" w:eastAsia="Calibri" w:hAnsi="Arial" w:cs="Arial"/>
          <w:sz w:val="20"/>
          <w:szCs w:val="20"/>
          <w:lang w:val="fr-FR" w:eastAsia="fr-FR"/>
        </w:rPr>
      </w:pPr>
      <w:r w:rsidRPr="00C518A4">
        <w:rPr>
          <w:rFonts w:ascii="Arial" w:hAnsi="Arial" w:cs="Arial"/>
          <w:sz w:val="20"/>
          <w:szCs w:val="20"/>
          <w:lang w:val="fr-FR"/>
        </w:rPr>
        <w:t xml:space="preserve">Les </w:t>
      </w:r>
      <w:r w:rsidRPr="00C518A4">
        <w:rPr>
          <w:rFonts w:ascii="Arial" w:hAnsi="Arial" w:cs="Arial"/>
          <w:b/>
          <w:sz w:val="20"/>
          <w:szCs w:val="20"/>
          <w:lang w:val="fr-FR"/>
        </w:rPr>
        <w:t xml:space="preserve">Pays Bas </w:t>
      </w:r>
      <w:r w:rsidRPr="00C518A4">
        <w:rPr>
          <w:rFonts w:ascii="Arial" w:hAnsi="Arial" w:cs="Arial"/>
          <w:sz w:val="20"/>
          <w:szCs w:val="20"/>
          <w:lang w:val="fr-FR"/>
        </w:rPr>
        <w:t>appuient, dans le cadre environnemental, l’agriculture, l’énergie, l’eau et l’assainissement et la résilience des populations aux crises climatiques. L’appui aux chaines de valeur inclut les filières de recyclage des déchets (engrais organique) et vise la création d’emplois des jeunes. Conjointement avec la Suède, les pays bas mettent en œuvre le programme PCA – GIRE. L’aménagement du delta intérieur du Niger est appuyé à travers CARE Mali. Un projet de gouvernance locale démocratique s’adresse, depuis 2014, entre autres, à la gestion des ressources naturelles dans plusieurs régions au Nord. Par ailleurs, la SNV soutient le renforcement des capacités de résilience des producteurs aux changements climatiques.</w:t>
      </w:r>
    </w:p>
    <w:p w14:paraId="7CEA8DE0" w14:textId="77777777" w:rsidR="00802BA9" w:rsidRPr="00C518A4" w:rsidRDefault="00802BA9" w:rsidP="00C518A4">
      <w:pPr>
        <w:pStyle w:val="Pardeliste"/>
        <w:spacing w:before="120" w:after="120" w:line="240" w:lineRule="auto"/>
        <w:ind w:left="0"/>
        <w:rPr>
          <w:rFonts w:ascii="Arial" w:hAnsi="Arial" w:cs="Arial"/>
          <w:sz w:val="20"/>
          <w:szCs w:val="20"/>
          <w:lang w:val="fr-FR"/>
        </w:rPr>
      </w:pPr>
    </w:p>
    <w:p w14:paraId="4D51CC4D" w14:textId="77777777" w:rsidR="00802BA9" w:rsidRPr="00C518A4" w:rsidRDefault="00802BA9" w:rsidP="00C518A4">
      <w:pPr>
        <w:pStyle w:val="Titre2"/>
        <w:spacing w:before="120" w:after="120"/>
        <w:rPr>
          <w:sz w:val="20"/>
          <w:szCs w:val="20"/>
          <w:lang w:eastAsia="fr-FR"/>
        </w:rPr>
      </w:pPr>
      <w:bookmarkStart w:id="62" w:name="_Toc20505664"/>
      <w:r w:rsidRPr="00C518A4">
        <w:rPr>
          <w:sz w:val="20"/>
          <w:szCs w:val="20"/>
          <w:lang w:eastAsia="fr-FR"/>
        </w:rPr>
        <w:t>5.2 Aspects concernant l’environnement dans la Coopération non UE</w:t>
      </w:r>
      <w:bookmarkEnd w:id="62"/>
    </w:p>
    <w:p w14:paraId="56177E9D" w14:textId="77777777" w:rsidR="00802BA9" w:rsidRPr="00C518A4" w:rsidRDefault="00802BA9" w:rsidP="00C518A4">
      <w:pPr>
        <w:autoSpaceDE w:val="0"/>
        <w:autoSpaceDN w:val="0"/>
        <w:adjustRightInd w:val="0"/>
        <w:spacing w:before="120" w:after="120" w:line="240" w:lineRule="auto"/>
        <w:rPr>
          <w:rFonts w:ascii="Arial" w:hAnsi="Arial" w:cs="Arial"/>
          <w:sz w:val="20"/>
          <w:szCs w:val="20"/>
          <w:lang w:val="fr-FR"/>
        </w:rPr>
      </w:pPr>
      <w:r w:rsidRPr="00C518A4">
        <w:rPr>
          <w:rFonts w:ascii="Arial" w:hAnsi="Arial" w:cs="Arial"/>
          <w:sz w:val="20"/>
          <w:szCs w:val="20"/>
          <w:lang w:val="fr-FR"/>
        </w:rPr>
        <w:t xml:space="preserve">La stratégie de la </w:t>
      </w:r>
      <w:r w:rsidRPr="00C518A4">
        <w:rPr>
          <w:rFonts w:ascii="Arial" w:hAnsi="Arial" w:cs="Arial"/>
          <w:b/>
          <w:sz w:val="20"/>
          <w:szCs w:val="20"/>
          <w:lang w:val="fr-FR"/>
        </w:rPr>
        <w:t>Suisse</w:t>
      </w:r>
      <w:r w:rsidRPr="00C518A4">
        <w:rPr>
          <w:rFonts w:ascii="Arial" w:hAnsi="Arial" w:cs="Arial"/>
          <w:sz w:val="20"/>
          <w:szCs w:val="20"/>
          <w:lang w:val="fr-FR"/>
        </w:rPr>
        <w:t xml:space="preserve"> au Mali 2017–2020 s’articule autour de trois domaines d’intervention avec i) Développement Rural et Sécurité Alimentaire, ii) Education, iii) Gouvernance et Paix et deux thèmes transversaux, la gouvernance et le genre. Sur le plan environnemental, les effets du changement climatique </w:t>
      </w:r>
      <w:r w:rsidRPr="00C518A4">
        <w:rPr>
          <w:rFonts w:ascii="Arial" w:hAnsi="Arial" w:cs="Arial"/>
          <w:sz w:val="20"/>
          <w:szCs w:val="20"/>
          <w:lang w:val="fr-FR"/>
        </w:rPr>
        <w:lastRenderedPageBreak/>
        <w:t>sont intégrés dans la conception et la mise en œuvre des programmes du domaine Développement Rural et Sécurité Alimentaire.</w:t>
      </w:r>
      <w:r w:rsidR="00816800" w:rsidRPr="00C518A4">
        <w:rPr>
          <w:rFonts w:ascii="Arial" w:hAnsi="Arial" w:cs="Arial"/>
          <w:sz w:val="20"/>
          <w:szCs w:val="20"/>
          <w:lang w:val="fr-FR"/>
        </w:rPr>
        <w:t xml:space="preserve"> Jusqu’à 2017</w:t>
      </w:r>
      <w:r w:rsidR="00F231E5" w:rsidRPr="00C518A4">
        <w:rPr>
          <w:rFonts w:ascii="Arial" w:hAnsi="Arial" w:cs="Arial"/>
          <w:sz w:val="20"/>
          <w:szCs w:val="20"/>
          <w:lang w:val="fr-FR"/>
        </w:rPr>
        <w:t>,</w:t>
      </w:r>
      <w:r w:rsidR="00816800" w:rsidRPr="00C518A4">
        <w:rPr>
          <w:rFonts w:ascii="Arial" w:hAnsi="Arial" w:cs="Arial"/>
          <w:sz w:val="20"/>
          <w:szCs w:val="20"/>
          <w:lang w:val="fr-FR"/>
        </w:rPr>
        <w:t xml:space="preserve"> la Suisse a appuyé le pro</w:t>
      </w:r>
      <w:r w:rsidR="003F0782" w:rsidRPr="00C518A4">
        <w:rPr>
          <w:rFonts w:ascii="Arial" w:hAnsi="Arial" w:cs="Arial"/>
          <w:sz w:val="20"/>
          <w:szCs w:val="20"/>
          <w:lang w:val="fr-FR"/>
        </w:rPr>
        <w:t>jet</w:t>
      </w:r>
      <w:r w:rsidR="00816800" w:rsidRPr="00C518A4">
        <w:rPr>
          <w:rFonts w:ascii="Arial" w:hAnsi="Arial" w:cs="Arial"/>
          <w:sz w:val="20"/>
          <w:szCs w:val="20"/>
          <w:lang w:val="fr-FR"/>
        </w:rPr>
        <w:t xml:space="preserve"> régional </w:t>
      </w:r>
      <w:r w:rsidR="003F0782" w:rsidRPr="00C518A4">
        <w:rPr>
          <w:rFonts w:ascii="Arial" w:hAnsi="Arial" w:cs="Arial"/>
          <w:sz w:val="20"/>
          <w:szCs w:val="20"/>
          <w:lang w:val="fr-FR"/>
        </w:rPr>
        <w:t>« Amélioration de la résilience des populations sahéliennes aux mutations environnementales » (</w:t>
      </w:r>
      <w:r w:rsidR="00816800" w:rsidRPr="00C518A4">
        <w:rPr>
          <w:rFonts w:ascii="Arial" w:hAnsi="Arial" w:cs="Arial"/>
          <w:sz w:val="20"/>
          <w:szCs w:val="20"/>
          <w:lang w:val="fr-FR"/>
        </w:rPr>
        <w:t>REPSAHEL</w:t>
      </w:r>
      <w:r w:rsidR="003F0782" w:rsidRPr="00C518A4">
        <w:rPr>
          <w:rFonts w:ascii="Arial" w:hAnsi="Arial" w:cs="Arial"/>
          <w:sz w:val="20"/>
          <w:szCs w:val="20"/>
          <w:lang w:val="fr-FR"/>
        </w:rPr>
        <w:t>)</w:t>
      </w:r>
      <w:r w:rsidR="00816800" w:rsidRPr="00C518A4">
        <w:rPr>
          <w:rFonts w:ascii="Arial" w:hAnsi="Arial" w:cs="Arial"/>
          <w:sz w:val="20"/>
          <w:szCs w:val="20"/>
          <w:lang w:val="fr-FR"/>
        </w:rPr>
        <w:t xml:space="preserve"> au sein de l’</w:t>
      </w:r>
      <w:r w:rsidR="003F0782" w:rsidRPr="00C518A4">
        <w:rPr>
          <w:rFonts w:ascii="Arial" w:hAnsi="Arial" w:cs="Arial"/>
          <w:sz w:val="20"/>
          <w:szCs w:val="20"/>
          <w:lang w:val="fr-FR"/>
        </w:rPr>
        <w:t>Observatoire du Sahara et du Sahel (</w:t>
      </w:r>
      <w:r w:rsidR="00816800" w:rsidRPr="00C518A4">
        <w:rPr>
          <w:rFonts w:ascii="Arial" w:hAnsi="Arial" w:cs="Arial"/>
          <w:sz w:val="20"/>
          <w:szCs w:val="20"/>
          <w:lang w:val="fr-FR"/>
        </w:rPr>
        <w:t>OSS</w:t>
      </w:r>
      <w:r w:rsidR="003F0782" w:rsidRPr="00C518A4">
        <w:rPr>
          <w:rFonts w:ascii="Arial" w:hAnsi="Arial" w:cs="Arial"/>
          <w:sz w:val="20"/>
          <w:szCs w:val="20"/>
          <w:lang w:val="fr-FR"/>
        </w:rPr>
        <w:t>)</w:t>
      </w:r>
      <w:r w:rsidR="00816800" w:rsidRPr="00C518A4">
        <w:rPr>
          <w:rFonts w:ascii="Arial" w:hAnsi="Arial" w:cs="Arial"/>
          <w:sz w:val="20"/>
          <w:szCs w:val="20"/>
          <w:lang w:val="fr-FR"/>
        </w:rPr>
        <w:t>.</w:t>
      </w:r>
    </w:p>
    <w:p w14:paraId="5E61224D" w14:textId="77777777" w:rsidR="00C518A4" w:rsidRPr="00C518A4" w:rsidRDefault="00802BA9" w:rsidP="00C518A4">
      <w:pPr>
        <w:autoSpaceDE w:val="0"/>
        <w:autoSpaceDN w:val="0"/>
        <w:adjustRightInd w:val="0"/>
        <w:spacing w:before="120" w:after="120" w:line="240" w:lineRule="auto"/>
        <w:rPr>
          <w:rFonts w:ascii="Arial" w:hAnsi="Arial" w:cs="Arial"/>
          <w:sz w:val="20"/>
          <w:szCs w:val="20"/>
          <w:lang w:val="fr-FR"/>
        </w:rPr>
      </w:pPr>
      <w:r w:rsidRPr="00C518A4">
        <w:rPr>
          <w:rFonts w:ascii="Arial" w:eastAsia="Calibri" w:hAnsi="Arial" w:cs="Arial"/>
          <w:sz w:val="20"/>
          <w:szCs w:val="20"/>
          <w:lang w:val="fr-FR" w:eastAsia="fr-FR"/>
        </w:rPr>
        <w:t xml:space="preserve">La </w:t>
      </w:r>
      <w:r w:rsidRPr="00C518A4">
        <w:rPr>
          <w:rFonts w:ascii="Arial" w:eastAsia="Calibri" w:hAnsi="Arial" w:cs="Arial"/>
          <w:b/>
          <w:sz w:val="20"/>
          <w:szCs w:val="20"/>
          <w:lang w:val="fr-FR" w:eastAsia="fr-FR"/>
        </w:rPr>
        <w:t>Banque Mondiale</w:t>
      </w:r>
      <w:r w:rsidRPr="00C518A4">
        <w:rPr>
          <w:rFonts w:ascii="Arial" w:eastAsia="Calibri" w:hAnsi="Arial" w:cs="Arial"/>
          <w:sz w:val="20"/>
          <w:szCs w:val="20"/>
          <w:lang w:val="fr-FR" w:eastAsia="fr-FR"/>
        </w:rPr>
        <w:t xml:space="preserve">, conformément à ses principes, s’assure que toute opération qu’elle appuie se développe, entre autres, dans le respect de la durabilité environnementale et sociale telle que définie dans ses politiques opérationnelles (PO) de sauvegarde environnementale et sociale. La BM a révisé en 2016 son Cadre de Gestion Environnementale et Sociale (CGES). Ce cadre </w:t>
      </w:r>
      <w:r w:rsidR="00C23D9B" w:rsidRPr="00C518A4">
        <w:rPr>
          <w:rFonts w:ascii="Arial" w:eastAsia="Calibri" w:hAnsi="Arial" w:cs="Arial"/>
          <w:sz w:val="20"/>
          <w:szCs w:val="20"/>
          <w:lang w:val="fr-FR" w:eastAsia="fr-FR"/>
        </w:rPr>
        <w:t>renforce l’harmonisation</w:t>
      </w:r>
      <w:r w:rsidRPr="00C518A4">
        <w:rPr>
          <w:rFonts w:ascii="Arial" w:eastAsia="Calibri" w:hAnsi="Arial" w:cs="Arial"/>
          <w:sz w:val="20"/>
          <w:szCs w:val="20"/>
          <w:lang w:val="fr-FR" w:eastAsia="fr-FR"/>
        </w:rPr>
        <w:t xml:space="preserve"> des mesures de protection environnementale et sociale de la BM avec celles des autres institutions de développement et marque des avancées importantes dans les domaines tels que la transparence, la non-discrimination, l’inclusion sociale, la participation du public et la responsabilisation, en renforçant notamment les mécanismes de règlement des plaintes. Etant une de plus importantes structures d’investissement au Mali, l’environnement et les changements climatiques sont particulièrement pris en considération au niveau des projets de la BM dans les domaines du développement agricole et pastoral, de l’énergie renouvelable et du développement urbain. Ils s’ajoutent des projets plus spécifiques pour l’environnement avec le Projet Gestion des Ressources Naturelles</w:t>
      </w:r>
      <w:r w:rsidRPr="00C518A4">
        <w:rPr>
          <w:rFonts w:ascii="Arial" w:hAnsi="Arial" w:cs="Arial"/>
          <w:sz w:val="20"/>
          <w:szCs w:val="20"/>
          <w:lang w:val="fr-FR"/>
        </w:rPr>
        <w:t xml:space="preserve">-Changements Climatiques (PGRN-CC), le Projet d’Elimination et de Prévention des Pesticides Obsolètes (PEPPO) et le Projet de Réhabilitation Économique et Environnementale du Fleuve Niger (PREEFN) lancé en 2017. </w:t>
      </w:r>
    </w:p>
    <w:p w14:paraId="4F6DD8EF" w14:textId="77777777" w:rsidR="00802BA9" w:rsidRPr="00C518A4" w:rsidRDefault="00802BA9" w:rsidP="00C518A4">
      <w:pPr>
        <w:autoSpaceDE w:val="0"/>
        <w:autoSpaceDN w:val="0"/>
        <w:adjustRightInd w:val="0"/>
        <w:spacing w:before="120" w:after="120" w:line="240" w:lineRule="auto"/>
        <w:rPr>
          <w:rFonts w:ascii="Arial" w:hAnsi="Arial" w:cs="Arial"/>
          <w:sz w:val="20"/>
          <w:szCs w:val="20"/>
          <w:lang w:val="fr-FR"/>
        </w:rPr>
      </w:pPr>
      <w:r w:rsidRPr="00C518A4">
        <w:rPr>
          <w:rFonts w:ascii="Arial" w:hAnsi="Arial" w:cs="Arial"/>
          <w:sz w:val="20"/>
          <w:szCs w:val="20"/>
          <w:lang w:val="fr-FR"/>
        </w:rPr>
        <w:t>Enfin, la BM finance pour un montant global de 1,8 milliards de dollars (obtenu avec le cofinancement de 12 pays) le Programme Sahel en Afrique de l’Ouest en appui à l’initiative de la Grande muraille verte. La subvention comprend 80,4 millions de dollars du FEM, 20,4 millions de dollars du Fonds pour les Pays les Moins Avancés (FPMA) et 4,6 millions de dollars du Fonds spécial pour les changements climatiques (FSCC). Les investissements concernent, entre autres, la gestion des risques de catastrophes, le développement durable et la gestion des bassins. Au Mali le montant de ce programme s’élève à 21.425.926 US$ avec une contribution de la BM de 12 millions d’US$, 6.574.074 US$ du FEM, 1.851.852 US$ du Fonds pour les Pays les Moins Avancés (FPMA) et 1.000.000 US$ du Gouvernement du Mali pour la période 2014 – 2019. Néanmoins, il faut noter que le PGRNCC est inscrit dans ce financement.</w:t>
      </w:r>
    </w:p>
    <w:p w14:paraId="4428376B" w14:textId="77777777" w:rsidR="00802BA9" w:rsidRPr="00C518A4" w:rsidRDefault="00802BA9" w:rsidP="00C518A4">
      <w:pPr>
        <w:autoSpaceDE w:val="0"/>
        <w:autoSpaceDN w:val="0"/>
        <w:adjustRightInd w:val="0"/>
        <w:spacing w:before="120" w:after="120" w:line="240" w:lineRule="auto"/>
        <w:rPr>
          <w:rFonts w:ascii="Arial" w:hAnsi="Arial" w:cs="Arial"/>
          <w:sz w:val="20"/>
          <w:szCs w:val="20"/>
          <w:lang w:val="fr-FR"/>
        </w:rPr>
      </w:pPr>
      <w:r w:rsidRPr="00C518A4">
        <w:rPr>
          <w:rFonts w:ascii="Arial" w:hAnsi="Arial" w:cs="Arial"/>
          <w:sz w:val="20"/>
          <w:szCs w:val="20"/>
          <w:lang w:val="fr-FR"/>
        </w:rPr>
        <w:t xml:space="preserve">La </w:t>
      </w:r>
      <w:r w:rsidRPr="00C518A4">
        <w:rPr>
          <w:rFonts w:ascii="Arial" w:hAnsi="Arial" w:cs="Arial"/>
          <w:b/>
          <w:sz w:val="20"/>
          <w:szCs w:val="20"/>
          <w:lang w:val="fr-FR"/>
        </w:rPr>
        <w:t>Banque Africaine de Développement</w:t>
      </w:r>
      <w:r w:rsidRPr="00C518A4">
        <w:rPr>
          <w:rFonts w:ascii="Arial" w:hAnsi="Arial" w:cs="Arial"/>
          <w:sz w:val="20"/>
          <w:szCs w:val="20"/>
          <w:lang w:val="fr-FR"/>
        </w:rPr>
        <w:t xml:space="preserve"> (BAD) assure actuellement le rôle de chef de file du groupe PTF « transport » à l'intérieur de la commission « Réhabilitation Zones post-conflits ». L’aspect impact environnemental et social intégrant les changements climatiques est présenté au même niveau que la performance économique et financière. Conformément aux directives et politiques de la Banque, un Plan de Gestion Environnemental et Social (PGES) est élaboré et mis en œuvre concomitamment à l’exécution du projet afin d’atténuer les éventuelles incidences négatives. Toutes les interventions proposées sont résilientes aux impacts de la variabilité et des changements climatiques grâce, notamment, au nouveau système de «</w:t>
      </w:r>
      <w:r w:rsidRPr="00C518A4">
        <w:rPr>
          <w:rFonts w:ascii="Arial" w:hAnsi="Arial" w:cs="Arial"/>
          <w:i/>
          <w:sz w:val="20"/>
          <w:szCs w:val="20"/>
          <w:lang w:val="fr-FR"/>
        </w:rPr>
        <w:t>climate proofing</w:t>
      </w:r>
      <w:r w:rsidRPr="00C518A4">
        <w:rPr>
          <w:rFonts w:ascii="Arial" w:hAnsi="Arial" w:cs="Arial"/>
          <w:sz w:val="20"/>
          <w:szCs w:val="20"/>
          <w:lang w:val="fr-FR"/>
        </w:rPr>
        <w:t>» mis en place au niveau de la Banque pour s’assurer de la durabilité des investissements. Actuellement, dans les domaines liés à l’environnement, la BAD s’engage dans les énergies renouvelables (SREP-Mali pour le solaire), les mini centrales hydro-électrique, la résilience à l’insécurité alimentaire et au changement climatique, la productivité des terres, l’assainissement de la ville de Bamako et l’élaboration du Schéma National d’Aménagement du Territoire (SNAT). En outre, BAD fait partie des bailleurs finançant la station de pompage de Kabala pour l’adduction d’eau potable de Bamako.</w:t>
      </w:r>
    </w:p>
    <w:p w14:paraId="55E2E19B" w14:textId="77777777" w:rsidR="00802BA9" w:rsidRPr="00C518A4" w:rsidRDefault="00802BA9" w:rsidP="00C518A4">
      <w:pPr>
        <w:autoSpaceDE w:val="0"/>
        <w:autoSpaceDN w:val="0"/>
        <w:adjustRightInd w:val="0"/>
        <w:spacing w:before="120" w:after="120" w:line="240" w:lineRule="auto"/>
        <w:rPr>
          <w:rFonts w:ascii="Arial" w:eastAsia="Calibri" w:hAnsi="Arial" w:cs="Arial"/>
          <w:sz w:val="20"/>
          <w:szCs w:val="20"/>
          <w:lang w:val="fr-FR" w:eastAsia="fr-FR"/>
        </w:rPr>
      </w:pPr>
      <w:r w:rsidRPr="00C518A4">
        <w:rPr>
          <w:rFonts w:ascii="Arial" w:hAnsi="Arial" w:cs="Arial"/>
          <w:sz w:val="20"/>
          <w:szCs w:val="20"/>
          <w:lang w:val="fr-FR"/>
        </w:rPr>
        <w:t xml:space="preserve">Les autres banques de développement (BID, BOAD) interviennent essentiellement dans les grands projets multi-bailleurs dans les secteurs d’énergie, de l’hydraulique et de la sécurité alimentaire. </w:t>
      </w:r>
    </w:p>
    <w:p w14:paraId="7BF5DA10" w14:textId="77777777" w:rsidR="00816800" w:rsidRPr="00C518A4" w:rsidRDefault="00802BA9" w:rsidP="00C518A4">
      <w:pPr>
        <w:spacing w:before="120" w:after="120" w:line="240" w:lineRule="auto"/>
        <w:rPr>
          <w:rFonts w:ascii="Arial" w:hAnsi="Arial" w:cs="Arial"/>
          <w:sz w:val="20"/>
          <w:szCs w:val="20"/>
        </w:rPr>
      </w:pPr>
      <w:r w:rsidRPr="00C518A4">
        <w:rPr>
          <w:rFonts w:ascii="Arial" w:hAnsi="Arial" w:cs="Arial"/>
          <w:sz w:val="20"/>
          <w:szCs w:val="20"/>
        </w:rPr>
        <w:t xml:space="preserve">Le </w:t>
      </w:r>
      <w:r w:rsidRPr="00C518A4">
        <w:rPr>
          <w:rFonts w:ascii="Arial" w:hAnsi="Arial" w:cs="Arial"/>
          <w:b/>
          <w:sz w:val="20"/>
          <w:szCs w:val="20"/>
        </w:rPr>
        <w:t>FIDA</w:t>
      </w:r>
      <w:r w:rsidRPr="00C518A4">
        <w:rPr>
          <w:rFonts w:ascii="Arial" w:hAnsi="Arial" w:cs="Arial"/>
          <w:sz w:val="20"/>
          <w:szCs w:val="20"/>
        </w:rPr>
        <w:t xml:space="preserve"> intervient essentiellement dans le domaine du développement rural. </w:t>
      </w:r>
      <w:r w:rsidR="003F0782" w:rsidRPr="00C518A4">
        <w:rPr>
          <w:rFonts w:ascii="Arial" w:hAnsi="Arial" w:cs="Arial"/>
          <w:sz w:val="20"/>
          <w:szCs w:val="20"/>
        </w:rPr>
        <w:t>C</w:t>
      </w:r>
      <w:r w:rsidRPr="00C518A4">
        <w:rPr>
          <w:rFonts w:ascii="Arial" w:hAnsi="Arial" w:cs="Arial"/>
          <w:sz w:val="20"/>
          <w:szCs w:val="20"/>
        </w:rPr>
        <w:t xml:space="preserve">e bailleur appuie les systèmes de microfinance ruraux et l’augmentation de la productivité agricole à travers le Projet d’Accroissement de la Productivité Agricole (PAPAM). </w:t>
      </w:r>
      <w:r w:rsidR="003F0782" w:rsidRPr="00C518A4">
        <w:rPr>
          <w:rFonts w:ascii="Arial" w:hAnsi="Arial" w:cs="Arial"/>
          <w:sz w:val="20"/>
          <w:szCs w:val="20"/>
        </w:rPr>
        <w:t xml:space="preserve">Actuellement (09/208), </w:t>
      </w:r>
      <w:r w:rsidR="00CE7C5A" w:rsidRPr="00C518A4">
        <w:rPr>
          <w:rFonts w:ascii="Arial" w:hAnsi="Arial" w:cs="Arial"/>
          <w:sz w:val="20"/>
          <w:szCs w:val="20"/>
        </w:rPr>
        <w:t>une m</w:t>
      </w:r>
      <w:r w:rsidR="00816800" w:rsidRPr="00C518A4">
        <w:rPr>
          <w:rFonts w:ascii="Arial" w:hAnsi="Arial" w:cs="Arial"/>
          <w:sz w:val="20"/>
          <w:szCs w:val="20"/>
        </w:rPr>
        <w:t xml:space="preserve">ission </w:t>
      </w:r>
      <w:r w:rsidR="003F0782" w:rsidRPr="00C518A4">
        <w:rPr>
          <w:rFonts w:ascii="Arial" w:hAnsi="Arial" w:cs="Arial"/>
          <w:sz w:val="20"/>
          <w:szCs w:val="20"/>
        </w:rPr>
        <w:t>formule le</w:t>
      </w:r>
      <w:r w:rsidR="00816800" w:rsidRPr="00C518A4">
        <w:rPr>
          <w:rFonts w:ascii="Arial" w:hAnsi="Arial" w:cs="Arial"/>
          <w:sz w:val="20"/>
          <w:szCs w:val="20"/>
        </w:rPr>
        <w:t xml:space="preserve"> projet Multi Energies pour la Résilience et la Gestion Intégrée des Territoires-(MERIT), dans la </w:t>
      </w:r>
      <w:r w:rsidR="00CE7C5A" w:rsidRPr="00C518A4">
        <w:rPr>
          <w:rFonts w:ascii="Arial" w:hAnsi="Arial" w:cs="Arial"/>
          <w:sz w:val="20"/>
          <w:szCs w:val="20"/>
        </w:rPr>
        <w:t>continuation du programme PAPAM</w:t>
      </w:r>
      <w:r w:rsidR="003F0782" w:rsidRPr="00C518A4">
        <w:rPr>
          <w:rFonts w:ascii="Arial" w:hAnsi="Arial" w:cs="Arial"/>
          <w:sz w:val="20"/>
          <w:szCs w:val="20"/>
        </w:rPr>
        <w:t xml:space="preserve"> et incluant l’approche </w:t>
      </w:r>
      <w:r w:rsidR="00816800" w:rsidRPr="00C518A4">
        <w:rPr>
          <w:rFonts w:ascii="Arial" w:hAnsi="Arial" w:cs="Arial"/>
          <w:sz w:val="20"/>
          <w:szCs w:val="20"/>
        </w:rPr>
        <w:t xml:space="preserve">nexus bio digesteurs </w:t>
      </w:r>
      <w:r w:rsidR="00816800" w:rsidRPr="00C518A4">
        <w:rPr>
          <w:rFonts w:ascii="Arial" w:hAnsi="Arial" w:cs="Arial"/>
          <w:color w:val="7030A0"/>
          <w:sz w:val="20"/>
          <w:szCs w:val="20"/>
        </w:rPr>
        <w:t>associé</w:t>
      </w:r>
      <w:r w:rsidR="00C23D9B" w:rsidRPr="00C518A4">
        <w:rPr>
          <w:rFonts w:ascii="Arial" w:hAnsi="Arial" w:cs="Arial"/>
          <w:color w:val="7030A0"/>
          <w:sz w:val="20"/>
          <w:szCs w:val="20"/>
        </w:rPr>
        <w:t>s</w:t>
      </w:r>
      <w:r w:rsidR="00816800" w:rsidRPr="00C518A4">
        <w:rPr>
          <w:rFonts w:ascii="Arial" w:hAnsi="Arial" w:cs="Arial"/>
          <w:sz w:val="20"/>
          <w:szCs w:val="20"/>
        </w:rPr>
        <w:t xml:space="preserve"> à des panneaux solaires dans les régions de Koulikoro, Sikasso, Ségou</w:t>
      </w:r>
      <w:r w:rsidR="00CE7C5A" w:rsidRPr="00C518A4">
        <w:rPr>
          <w:rFonts w:ascii="Arial" w:hAnsi="Arial" w:cs="Arial"/>
          <w:sz w:val="20"/>
          <w:szCs w:val="20"/>
        </w:rPr>
        <w:t xml:space="preserve"> et Kayes. </w:t>
      </w:r>
      <w:r w:rsidRPr="00C518A4">
        <w:rPr>
          <w:rFonts w:ascii="Arial" w:hAnsi="Arial" w:cs="Arial"/>
          <w:sz w:val="20"/>
          <w:szCs w:val="20"/>
        </w:rPr>
        <w:t xml:space="preserve">Dans le cadre de la préparation du Programme d’Options Stratégiques pour le Pays 2013-2018 du FIDA, ce PTF a effectué en 2012 une évaluation environnementale et des changements climatiques. </w:t>
      </w:r>
    </w:p>
    <w:p w14:paraId="21BB8117" w14:textId="77777777" w:rsidR="00802BA9" w:rsidRPr="00C518A4" w:rsidRDefault="00802BA9" w:rsidP="00C518A4">
      <w:pPr>
        <w:spacing w:before="120" w:after="120" w:line="240" w:lineRule="auto"/>
        <w:rPr>
          <w:rFonts w:ascii="Arial" w:hAnsi="Arial" w:cs="Arial"/>
          <w:sz w:val="20"/>
          <w:szCs w:val="20"/>
        </w:rPr>
      </w:pPr>
      <w:r w:rsidRPr="00C518A4">
        <w:rPr>
          <w:rFonts w:ascii="Arial" w:hAnsi="Arial" w:cs="Arial"/>
          <w:sz w:val="20"/>
          <w:szCs w:val="20"/>
        </w:rPr>
        <w:t xml:space="preserve">L'assistance de la </w:t>
      </w:r>
      <w:r w:rsidRPr="00C518A4">
        <w:rPr>
          <w:rFonts w:ascii="Arial" w:hAnsi="Arial" w:cs="Arial"/>
          <w:b/>
          <w:sz w:val="20"/>
          <w:szCs w:val="20"/>
        </w:rPr>
        <w:t xml:space="preserve">FAO </w:t>
      </w:r>
      <w:r w:rsidRPr="00C518A4">
        <w:rPr>
          <w:rFonts w:ascii="Arial" w:hAnsi="Arial" w:cs="Arial"/>
          <w:sz w:val="20"/>
          <w:szCs w:val="20"/>
        </w:rPr>
        <w:t>s'articule autour de trois domaines prioritaires : i) L'appui à la production agricole, à la compétitivité et à la sécurité alimentaire, ii) la gestion durable des ressources naturelles et l'amélioration de l'environnement, iii) la réduction et la gestion des risques de catastrophe et le renforcement de la résilience des populations vulnérables affectées par les crises alimentaires et nutritionnelles et les conflits.</w:t>
      </w:r>
      <w:r w:rsidRPr="00C518A4">
        <w:rPr>
          <w:rFonts w:ascii="Arial" w:eastAsiaTheme="minorHAnsi" w:hAnsi="Arial" w:cs="Arial"/>
          <w:sz w:val="20"/>
          <w:szCs w:val="20"/>
          <w:lang w:val="fr-FR"/>
        </w:rPr>
        <w:t xml:space="preserve"> Suite aux </w:t>
      </w:r>
      <w:r w:rsidRPr="00C518A4">
        <w:rPr>
          <w:rFonts w:ascii="Arial" w:hAnsi="Arial" w:cs="Arial"/>
          <w:sz w:val="20"/>
          <w:szCs w:val="20"/>
        </w:rPr>
        <w:t xml:space="preserve">crises alimentaires et aux troubles intérieurs (aggravés par des catastrophes climatiques), les activités récemment menées ont été axées sur les secours d’urgence et l’aide au relèvement. Le programme Gestion Intégrée de la Production et des Déprédateurs en Afrique (GIPD) au Mali s’efforce d’aider les agriculteurs à améliorer l’efficacité, les niveaux de production et les profits dans les productions des cultures commerciales </w:t>
      </w:r>
      <w:r w:rsidRPr="00C518A4">
        <w:rPr>
          <w:rFonts w:ascii="Arial" w:hAnsi="Arial" w:cs="Arial"/>
          <w:sz w:val="20"/>
          <w:szCs w:val="20"/>
        </w:rPr>
        <w:lastRenderedPageBreak/>
        <w:t>et vivrières. Le programme comprend un projet sur l’adaptation au changement climatique œuvrant avec les communautés pour explorer l’adaptation des méthodes culturales « </w:t>
      </w:r>
      <w:r w:rsidRPr="00C518A4">
        <w:rPr>
          <w:rFonts w:ascii="Arial" w:hAnsi="Arial" w:cs="Arial"/>
          <w:i/>
          <w:sz w:val="20"/>
          <w:szCs w:val="20"/>
        </w:rPr>
        <w:t>afin d’obtenir plus de leurs terres dans un contexte de défis climatiques en augmentation </w:t>
      </w:r>
      <w:r w:rsidRPr="00C518A4">
        <w:rPr>
          <w:rFonts w:ascii="Arial" w:hAnsi="Arial" w:cs="Arial"/>
          <w:sz w:val="20"/>
          <w:szCs w:val="20"/>
        </w:rPr>
        <w:t>», comme les sécheresses et les inondations. La FAO a participé jusqu’à 2014 à la réduction des polluants organiques persistants (POP) dans les fleuves Niger et Sénégal. Enfin la FAO participe au Programme Sahel en Afrique de l’Ouest en appui à l’initiative de la Grande muraille verte.</w:t>
      </w:r>
    </w:p>
    <w:p w14:paraId="31540AC6" w14:textId="77777777" w:rsidR="00802BA9" w:rsidRPr="00C518A4" w:rsidRDefault="00802BA9" w:rsidP="00C518A4">
      <w:pPr>
        <w:spacing w:before="120" w:after="120" w:line="240" w:lineRule="auto"/>
        <w:contextualSpacing/>
        <w:rPr>
          <w:rFonts w:ascii="Arial" w:eastAsia="Calibri" w:hAnsi="Arial" w:cs="Arial"/>
          <w:sz w:val="20"/>
          <w:szCs w:val="20"/>
          <w:lang w:val="fr-FR" w:eastAsia="fr-FR"/>
        </w:rPr>
      </w:pPr>
      <w:r w:rsidRPr="00C518A4">
        <w:rPr>
          <w:rFonts w:ascii="Arial" w:eastAsia="Calibri" w:hAnsi="Arial" w:cs="Arial"/>
          <w:sz w:val="20"/>
          <w:szCs w:val="20"/>
          <w:lang w:val="fr-FR" w:eastAsia="fr-FR"/>
        </w:rPr>
        <w:t xml:space="preserve">Le </w:t>
      </w:r>
      <w:r w:rsidRPr="00C518A4">
        <w:rPr>
          <w:rFonts w:ascii="Arial" w:eastAsia="Calibri" w:hAnsi="Arial" w:cs="Arial"/>
          <w:b/>
          <w:sz w:val="20"/>
          <w:szCs w:val="20"/>
          <w:lang w:val="fr-FR" w:eastAsia="fr-FR"/>
        </w:rPr>
        <w:t xml:space="preserve">PNUD </w:t>
      </w:r>
      <w:r w:rsidRPr="00C518A4">
        <w:rPr>
          <w:rFonts w:ascii="Arial" w:eastAsia="Calibri" w:hAnsi="Arial" w:cs="Arial"/>
          <w:sz w:val="20"/>
          <w:szCs w:val="20"/>
          <w:lang w:val="fr-FR" w:eastAsia="fr-FR"/>
        </w:rPr>
        <w:t xml:space="preserve">soutient, dans le cadre du FEM, des projets de résilience aux changements climatiques. Ceci inclut aussi la gestion des risques d’inondations. Le PNUD est également engagé dans l’électrification durable des zones rurales. Le financement permet la mise en œuvre de projets changement climatique à travers des ONG nationales (14 projets approuvés en 2016). </w:t>
      </w:r>
      <w:r w:rsidRPr="00C518A4">
        <w:rPr>
          <w:rFonts w:ascii="Arial" w:eastAsia="Batang" w:hAnsi="Arial" w:cs="Arial"/>
          <w:sz w:val="20"/>
          <w:szCs w:val="20"/>
          <w:lang w:val="fr-FR"/>
        </w:rPr>
        <w:t>Le PNUD a appuyé la préparation de la COP 21 et soutient la CDN et l’alignement des documents stratégiques du Mali aux ODD. En collaboration avec la Norvège il appuie la restauration du système Lac Faguibine. Depuis début 2017, le PNUD est chef de file du groupe thématique de PTF « </w:t>
      </w:r>
      <w:r w:rsidRPr="00C518A4">
        <w:rPr>
          <w:rFonts w:ascii="Arial" w:eastAsia="Batang" w:hAnsi="Arial" w:cs="Arial"/>
          <w:i/>
          <w:sz w:val="20"/>
          <w:szCs w:val="20"/>
          <w:lang w:val="fr-FR"/>
        </w:rPr>
        <w:t>Environnement et changement climatiques</w:t>
      </w:r>
      <w:r w:rsidRPr="00C518A4">
        <w:rPr>
          <w:rFonts w:ascii="Arial" w:eastAsia="Batang" w:hAnsi="Arial" w:cs="Arial"/>
          <w:sz w:val="20"/>
          <w:szCs w:val="20"/>
          <w:lang w:val="fr-FR"/>
        </w:rPr>
        <w:t> », succédant à la Suède.</w:t>
      </w:r>
    </w:p>
    <w:p w14:paraId="002E2959" w14:textId="77777777" w:rsidR="00802BA9" w:rsidRPr="00C518A4" w:rsidRDefault="00802BA9" w:rsidP="00C518A4">
      <w:pPr>
        <w:spacing w:before="120" w:after="120" w:line="240" w:lineRule="auto"/>
        <w:contextualSpacing/>
        <w:rPr>
          <w:rFonts w:ascii="Arial" w:eastAsia="Calibri" w:hAnsi="Arial" w:cs="Arial"/>
          <w:sz w:val="20"/>
          <w:szCs w:val="20"/>
          <w:lang w:val="fr-FR" w:eastAsia="fr-FR"/>
        </w:rPr>
      </w:pPr>
    </w:p>
    <w:p w14:paraId="05F4DF87" w14:textId="77777777" w:rsidR="00802BA9" w:rsidRPr="00C518A4" w:rsidRDefault="00802BA9" w:rsidP="00C518A4">
      <w:pPr>
        <w:autoSpaceDE w:val="0"/>
        <w:autoSpaceDN w:val="0"/>
        <w:adjustRightInd w:val="0"/>
        <w:spacing w:before="120" w:after="120" w:line="240" w:lineRule="auto"/>
        <w:rPr>
          <w:rFonts w:ascii="Arial" w:hAnsi="Arial" w:cs="Arial"/>
          <w:sz w:val="20"/>
          <w:szCs w:val="20"/>
          <w:lang w:val="fr-FR"/>
        </w:rPr>
      </w:pPr>
      <w:r w:rsidRPr="00C518A4">
        <w:rPr>
          <w:rFonts w:ascii="Arial" w:hAnsi="Arial" w:cs="Arial"/>
          <w:sz w:val="20"/>
          <w:szCs w:val="20"/>
          <w:lang w:val="fr-FR"/>
        </w:rPr>
        <w:t xml:space="preserve">Les initiatives de développement du </w:t>
      </w:r>
      <w:r w:rsidRPr="00C518A4">
        <w:rPr>
          <w:rFonts w:ascii="Arial" w:hAnsi="Arial" w:cs="Arial"/>
          <w:b/>
          <w:sz w:val="20"/>
          <w:szCs w:val="20"/>
          <w:lang w:val="fr-FR"/>
        </w:rPr>
        <w:t>Canada</w:t>
      </w:r>
      <w:r w:rsidRPr="00C518A4">
        <w:rPr>
          <w:rFonts w:ascii="Arial" w:hAnsi="Arial" w:cs="Arial"/>
          <w:sz w:val="20"/>
          <w:szCs w:val="20"/>
          <w:lang w:val="fr-FR"/>
        </w:rPr>
        <w:t xml:space="preserve"> au Mali au cours de la période 2014–2019 visent les priorités thématiques : i le développement humain en améliorant la santé sexuelle et reproductive des femmes et des filles ainsi que la qualité de l’éducation et de la formation professionnelle, ii) la croissance économique inclusive en mettant l’accent sur la productivité agricole pour améliorer la résilience, notamment en nutrition, iii) la gouvernance démocratique et les droits humains et l’égalité entre les sexes comme thème transversal </w:t>
      </w:r>
      <w:r w:rsidRPr="00B84254">
        <w:rPr>
          <w:rFonts w:ascii="Arial" w:hAnsi="Arial" w:cs="Arial"/>
          <w:sz w:val="20"/>
          <w:szCs w:val="20"/>
          <w:lang w:val="fr-FR"/>
        </w:rPr>
        <w:t>prioritaire. Actuellement le Canada met l’accent sur les projets genre</w:t>
      </w:r>
      <w:r w:rsidR="006A774D" w:rsidRPr="00B84254">
        <w:rPr>
          <w:rFonts w:ascii="Arial" w:hAnsi="Arial" w:cs="Arial"/>
          <w:sz w:val="20"/>
          <w:szCs w:val="20"/>
          <w:lang w:val="fr-FR"/>
        </w:rPr>
        <w:t xml:space="preserve"> incluant la PAIFC (Politique d’Aide Internationale féministe du Canada)</w:t>
      </w:r>
      <w:r w:rsidRPr="00B84254">
        <w:rPr>
          <w:rFonts w:ascii="Arial" w:hAnsi="Arial" w:cs="Arial"/>
          <w:sz w:val="20"/>
          <w:szCs w:val="20"/>
          <w:lang w:val="fr-FR"/>
        </w:rPr>
        <w:t>. Les projets en lien direct avec l’environnement sont la réhabilitation</w:t>
      </w:r>
      <w:r w:rsidRPr="00C518A4">
        <w:rPr>
          <w:rFonts w:ascii="Arial" w:hAnsi="Arial" w:cs="Arial"/>
          <w:sz w:val="20"/>
          <w:szCs w:val="20"/>
          <w:lang w:val="fr-FR"/>
        </w:rPr>
        <w:t xml:space="preserve"> </w:t>
      </w:r>
      <w:r w:rsidRPr="00B84254">
        <w:rPr>
          <w:rFonts w:ascii="Arial" w:hAnsi="Arial" w:cs="Arial"/>
          <w:sz w:val="20"/>
          <w:szCs w:val="20"/>
          <w:lang w:val="fr-FR"/>
        </w:rPr>
        <w:t>d’infrastructures hydro-agricoles de l’Office du Niger et la promotion de l’agriculture irriguée à travers le</w:t>
      </w:r>
      <w:r w:rsidRPr="00C518A4">
        <w:rPr>
          <w:rFonts w:ascii="Arial" w:hAnsi="Arial" w:cs="Arial"/>
          <w:sz w:val="20"/>
          <w:szCs w:val="20"/>
          <w:lang w:val="fr-FR"/>
        </w:rPr>
        <w:t xml:space="preserve"> financement du projet PASSIP mis en œuvre par la GIZ. L’environnement est intégré transversalement. Lors de la mise en place du programme pays, une étude environnementale stratégique (EES) est effectuée. Ainsi, la dernière EES a préconisé l’éco-conception des écoles. Le Canada réalise systématiquement des EES comme celle qui a été faite pour le programme national d’irrigation de proximité (PNIP) en 2010.</w:t>
      </w:r>
    </w:p>
    <w:p w14:paraId="1E2FE742" w14:textId="77777777" w:rsidR="00802BA9" w:rsidRPr="00C518A4" w:rsidRDefault="00802BA9" w:rsidP="00C518A4">
      <w:pPr>
        <w:autoSpaceDE w:val="0"/>
        <w:autoSpaceDN w:val="0"/>
        <w:adjustRightInd w:val="0"/>
        <w:spacing w:before="120" w:after="120" w:line="240" w:lineRule="auto"/>
        <w:rPr>
          <w:rFonts w:ascii="Arial" w:hAnsi="Arial" w:cs="Arial"/>
          <w:color w:val="C00000"/>
          <w:sz w:val="20"/>
          <w:szCs w:val="20"/>
          <w:lang w:val="fr-FR"/>
        </w:rPr>
      </w:pPr>
      <w:r w:rsidRPr="00C518A4">
        <w:rPr>
          <w:rFonts w:ascii="Arial" w:hAnsi="Arial" w:cs="Arial"/>
          <w:b/>
          <w:sz w:val="20"/>
          <w:szCs w:val="20"/>
          <w:lang w:val="fr-FR"/>
        </w:rPr>
        <w:t>L’USAID</w:t>
      </w:r>
      <w:r w:rsidRPr="00C518A4">
        <w:rPr>
          <w:rFonts w:ascii="Arial" w:hAnsi="Arial" w:cs="Arial"/>
          <w:sz w:val="20"/>
          <w:szCs w:val="20"/>
          <w:lang w:val="fr-FR"/>
        </w:rPr>
        <w:t>, sur le plan environnemental intervient à travers i) l’Initiative Alimentaire pour l’Avenir, initiative mondiale de lutte contre la faim et de promotion de la sécurité alimentaire et ii) l’Initiative mondiale sur les Changements Climatiques du Gouvernement américain. L’Initiative Alimentaire pour l’Avenir investit dans le programme 2016-2020 dans trois chaines de valeur au Mali en lien direct avec le Plan National d’Investissement prioritaire dans le Secteur Agricole (PNISA) avec i) le petit mil et le sorgho pour la sécurité alimentaire et la réduction de la pauvreté, ii) le riz pour l’amélioration des revenus des ménages et le renforcement de la sécurité alimentaire et iii) l’élevage pour l’amélioration des revenus et de la nutrition des ménages.</w:t>
      </w:r>
      <w:r w:rsidRPr="00C518A4">
        <w:rPr>
          <w:rFonts w:ascii="Arial" w:eastAsiaTheme="minorHAnsi" w:hAnsi="Arial" w:cs="Arial"/>
          <w:sz w:val="20"/>
          <w:szCs w:val="20"/>
          <w:lang w:val="fr-FR"/>
        </w:rPr>
        <w:t xml:space="preserve"> </w:t>
      </w:r>
      <w:r w:rsidRPr="00C518A4">
        <w:rPr>
          <w:rFonts w:ascii="Arial" w:hAnsi="Arial" w:cs="Arial"/>
          <w:sz w:val="20"/>
          <w:szCs w:val="20"/>
          <w:lang w:val="fr-FR"/>
        </w:rPr>
        <w:t xml:space="preserve">L’Initiative mondiale sur les Changements Climatiques au Mali traite des questions d’adaptation aux changements climatiques par le truchement de l’extension des petites infrastructures d’irrigation (riz) ainsi que par l’amélioration des pratiques de gestion des ressources naturelles et des pratiques agronomiques en ce qui concerne la production de petit mil/sorgho dans les zones d’intervention de l’Initiative alimentaire pour l’Avenir (Feed the Future). L'objectif global vise l'augmentation de la résilience des populations aux chocs climatiques et le renforcement des stratégies de réduction des risques liés aux catastrophes. Les activités spécifiques concernent, entre autres, l’information sur les changements climatiques, le renforcement des capacités des bénéficiaires et la diffusion des bonnes pratiques de conservation de l’eau et du sol. L’USAID anime avec la FAO le groupe « </w:t>
      </w:r>
      <w:r w:rsidRPr="00C518A4">
        <w:rPr>
          <w:rFonts w:ascii="Arial" w:hAnsi="Arial" w:cs="Arial"/>
          <w:i/>
          <w:sz w:val="20"/>
          <w:szCs w:val="20"/>
          <w:lang w:val="fr-FR"/>
        </w:rPr>
        <w:t>Economie agricole et rurale</w:t>
      </w:r>
      <w:r w:rsidRPr="00C518A4">
        <w:rPr>
          <w:rFonts w:ascii="Arial" w:hAnsi="Arial" w:cs="Arial"/>
          <w:sz w:val="20"/>
          <w:szCs w:val="20"/>
          <w:lang w:val="fr-FR"/>
        </w:rPr>
        <w:t xml:space="preserve"> » dans le cadre de la coordination des PTF.</w:t>
      </w:r>
    </w:p>
    <w:p w14:paraId="2EC78D14" w14:textId="77777777" w:rsidR="00802BA9" w:rsidRPr="00C518A4" w:rsidRDefault="00802BA9" w:rsidP="00C518A4">
      <w:pPr>
        <w:autoSpaceDE w:val="0"/>
        <w:autoSpaceDN w:val="0"/>
        <w:adjustRightInd w:val="0"/>
        <w:spacing w:before="120" w:after="120" w:line="240" w:lineRule="auto"/>
        <w:rPr>
          <w:rFonts w:ascii="Arial" w:hAnsi="Arial" w:cs="Arial"/>
          <w:sz w:val="20"/>
          <w:szCs w:val="20"/>
          <w:lang w:val="fr-FR"/>
        </w:rPr>
      </w:pPr>
    </w:p>
    <w:p w14:paraId="387C1178" w14:textId="77777777" w:rsidR="00802BA9" w:rsidRPr="00C518A4" w:rsidRDefault="00802BA9" w:rsidP="00C518A4">
      <w:pPr>
        <w:pStyle w:val="Titre2"/>
        <w:spacing w:before="120" w:after="120"/>
        <w:rPr>
          <w:sz w:val="20"/>
          <w:szCs w:val="20"/>
          <w:lang w:eastAsia="fr-FR"/>
        </w:rPr>
      </w:pPr>
      <w:bookmarkStart w:id="63" w:name="_Toc20505665"/>
      <w:r w:rsidRPr="00C518A4">
        <w:rPr>
          <w:sz w:val="20"/>
          <w:szCs w:val="20"/>
          <w:lang w:eastAsia="fr-FR"/>
        </w:rPr>
        <w:t>5.3 Coordination des PTF</w:t>
      </w:r>
      <w:bookmarkEnd w:id="63"/>
      <w:r w:rsidRPr="00C518A4">
        <w:rPr>
          <w:sz w:val="20"/>
          <w:szCs w:val="20"/>
          <w:lang w:eastAsia="fr-FR"/>
        </w:rPr>
        <w:t xml:space="preserve"> </w:t>
      </w:r>
    </w:p>
    <w:p w14:paraId="0AB6F895" w14:textId="77777777" w:rsidR="00802BA9" w:rsidRPr="00C518A4" w:rsidRDefault="00802BA9" w:rsidP="00C518A4">
      <w:pPr>
        <w:spacing w:before="120" w:after="120" w:line="240" w:lineRule="auto"/>
        <w:rPr>
          <w:rFonts w:ascii="Arial" w:eastAsia="Calibri" w:hAnsi="Arial" w:cs="Arial"/>
          <w:sz w:val="20"/>
          <w:szCs w:val="20"/>
          <w:lang w:val="fr-FR" w:eastAsia="fr-FR"/>
        </w:rPr>
      </w:pPr>
      <w:r w:rsidRPr="00C518A4">
        <w:rPr>
          <w:rFonts w:ascii="Arial" w:eastAsia="Calibri" w:hAnsi="Arial" w:cs="Arial"/>
          <w:sz w:val="20"/>
          <w:szCs w:val="20"/>
          <w:lang w:val="fr-FR" w:eastAsia="fr-FR"/>
        </w:rPr>
        <w:t xml:space="preserve">Le Mali est l’un des pays dans lesquels les initiatives pour améliorer l’efficacité de l’aide sont les plus avancées. Suite à la Déclaration de </w:t>
      </w:r>
      <w:r w:rsidRPr="001D0C63">
        <w:rPr>
          <w:rFonts w:ascii="Arial" w:eastAsia="Calibri" w:hAnsi="Arial" w:cs="Arial"/>
          <w:sz w:val="20"/>
          <w:szCs w:val="20"/>
          <w:lang w:val="fr-FR" w:eastAsia="fr-FR"/>
        </w:rPr>
        <w:t xml:space="preserve">Paris </w:t>
      </w:r>
      <w:r w:rsidR="007E04E7" w:rsidRPr="001D0C63">
        <w:rPr>
          <w:rFonts w:ascii="Arial" w:eastAsia="Calibri" w:hAnsi="Arial" w:cs="Arial"/>
          <w:sz w:val="20"/>
          <w:szCs w:val="20"/>
          <w:lang w:val="fr-FR" w:eastAsia="fr-FR"/>
        </w:rPr>
        <w:t xml:space="preserve">par rapport à l’efficacité de l’aide </w:t>
      </w:r>
      <w:r w:rsidRPr="001D0C63">
        <w:rPr>
          <w:rFonts w:ascii="Arial" w:eastAsia="Calibri" w:hAnsi="Arial" w:cs="Arial"/>
          <w:sz w:val="20"/>
          <w:szCs w:val="20"/>
          <w:lang w:val="fr-FR" w:eastAsia="fr-FR"/>
        </w:rPr>
        <w:t>(2005</w:t>
      </w:r>
      <w:r w:rsidRPr="00C518A4">
        <w:rPr>
          <w:rFonts w:ascii="Arial" w:eastAsia="Calibri" w:hAnsi="Arial" w:cs="Arial"/>
          <w:sz w:val="20"/>
          <w:szCs w:val="20"/>
          <w:lang w:val="fr-FR" w:eastAsia="fr-FR"/>
        </w:rPr>
        <w:t xml:space="preserve">), les donateurs ont démontré depuis 2008 leurs volontés de collaborer et d’harmoniser leurs efforts de développement au moyen de la Stratégie Commune d’Assistance Pays (SCAP), qui vise à améliorer l’efficacité de l’aide au regard du document de planification nationale global qu’est le CREDD. La SCAP 2016-2018 est accompagné du rapport du Cadre des Ressources Externes à Moyen-Terme (CRMT), géré par le Secrétariat à l’Harmonisation de l’Aide (SHA) au sein du MEF. L’objectif est de faire un point sur les décaissements enregistrés et de dresser une perspective sur les prévisions de décaissements à moyen terme dans les différents domaines. Il contribue à l’amélioration de la transparence et à la prévisibilité de l’aide. Les progrès sont considérables avec : i) une aide davantage alignée sur les priorités nationales, ii) une coordination des PTF de mieux en mieux organisée, à travers 13 groupes thématiques, dont 3 groupes transversaux, iii) une institutionnalisation du dialogue entre Gouvernement et PTF, iv) une meilleure négociation des conditionnalités des projets d’appui, v) une meilleure implication de la société civile, de secteur privé et des collectivités territoriales. </w:t>
      </w:r>
    </w:p>
    <w:p w14:paraId="286B2EF7" w14:textId="77777777" w:rsidR="00802BA9" w:rsidRPr="00C518A4" w:rsidRDefault="00802BA9" w:rsidP="00C518A4">
      <w:pPr>
        <w:spacing w:before="120" w:after="120" w:line="240" w:lineRule="auto"/>
        <w:rPr>
          <w:rFonts w:ascii="Arial" w:eastAsia="Calibri" w:hAnsi="Arial" w:cs="Arial"/>
          <w:sz w:val="20"/>
          <w:szCs w:val="20"/>
          <w:lang w:val="fr-FR" w:eastAsia="fr-FR"/>
        </w:rPr>
      </w:pPr>
    </w:p>
    <w:p w14:paraId="32F59478" w14:textId="77777777" w:rsidR="00802BA9" w:rsidRPr="00C518A4" w:rsidRDefault="00802BA9" w:rsidP="00C518A4">
      <w:pPr>
        <w:spacing w:before="120" w:after="120" w:line="240" w:lineRule="auto"/>
        <w:rPr>
          <w:rFonts w:ascii="Arial" w:eastAsia="Calibri" w:hAnsi="Arial" w:cs="Arial"/>
          <w:sz w:val="20"/>
          <w:szCs w:val="20"/>
          <w:lang w:val="fr-FR" w:eastAsia="fr-FR"/>
        </w:rPr>
      </w:pPr>
      <w:r w:rsidRPr="00C518A4">
        <w:rPr>
          <w:rFonts w:ascii="Arial" w:eastAsia="Calibri" w:hAnsi="Arial" w:cs="Arial"/>
          <w:sz w:val="20"/>
          <w:szCs w:val="20"/>
          <w:lang w:val="fr-FR" w:eastAsia="fr-FR"/>
        </w:rPr>
        <w:lastRenderedPageBreak/>
        <w:t>Le groupe thématique des PTF « </w:t>
      </w:r>
      <w:r w:rsidRPr="00C518A4">
        <w:rPr>
          <w:rFonts w:ascii="Arial" w:eastAsia="Calibri" w:hAnsi="Arial" w:cs="Arial"/>
          <w:i/>
          <w:sz w:val="20"/>
          <w:szCs w:val="20"/>
          <w:lang w:val="fr-FR" w:eastAsia="fr-FR"/>
        </w:rPr>
        <w:t>Environnement et Changements Climatiques</w:t>
      </w:r>
      <w:r w:rsidRPr="00C518A4">
        <w:rPr>
          <w:rFonts w:ascii="Arial" w:eastAsia="Calibri" w:hAnsi="Arial" w:cs="Arial"/>
          <w:sz w:val="20"/>
          <w:szCs w:val="20"/>
          <w:lang w:val="fr-FR" w:eastAsia="fr-FR"/>
        </w:rPr>
        <w:t> » est bien structuré. Jusqu’à 2016, la présidence de la Suède a présenté un plan de communication et un plan de travail annuel. Actuellement le PNUD assure la coordination du groupe thématique. Le groupe a été évalué le groupe thématique le plus dynamique lors de la présidence suédoise. Toutefois, cette dynamique s’est affaiblie ces deux dernières années. De plus, étant donné le caractère transversal de l’environnement et du Changement Climatique, des échanges avec les autres groupes thématiques (eau potable et assainissement, énergie, développement urbain, économie agricole et rurale) sont souhaitables ; échanges existants uniquement de façon informelle sous initiative propre d’un PTF. Il se pose également un problème de plus en plus important d’intégration des PTF non-traditionnels et non-adhérents à la Déclaration de Paris tels que la Chine et l’Inde. Les financements grandissants de ces pays, notamment de la Chine, interviennent prioritairement dans les secteurs sensibles et en lien direct à l’environnement, tels que l’énergie (42,5 % des appuis pour la période 2016-2018) et les transports (11 % des appuis 2016-2018) (CRMT, 2016). Néanmoins, ces pays ne participent pas aux processus de coordination des PTF traditionnels. L’intégration de ces pays au sein des groupes thématiques, ainsi que plus d’échange entre le groupe « </w:t>
      </w:r>
      <w:r w:rsidRPr="00C518A4">
        <w:rPr>
          <w:rFonts w:ascii="Arial" w:eastAsia="Calibri" w:hAnsi="Arial" w:cs="Arial"/>
          <w:i/>
          <w:sz w:val="20"/>
          <w:szCs w:val="20"/>
          <w:lang w:val="fr-FR" w:eastAsia="fr-FR"/>
        </w:rPr>
        <w:t>Environnement et Changements Climatiques</w:t>
      </w:r>
      <w:r w:rsidRPr="00C518A4">
        <w:rPr>
          <w:rFonts w:ascii="Arial" w:eastAsia="Calibri" w:hAnsi="Arial" w:cs="Arial"/>
          <w:sz w:val="20"/>
          <w:szCs w:val="20"/>
          <w:lang w:val="fr-FR" w:eastAsia="fr-FR"/>
        </w:rPr>
        <w:t> » et les autres groupes techniques semblent hautement souhaitables pour</w:t>
      </w:r>
      <w:r w:rsidRPr="00C518A4">
        <w:rPr>
          <w:rFonts w:ascii="Arial" w:eastAsiaTheme="minorHAnsi" w:hAnsi="Arial" w:cs="Arial"/>
          <w:sz w:val="20"/>
          <w:szCs w:val="20"/>
          <w:lang w:val="fr-FR"/>
        </w:rPr>
        <w:t xml:space="preserve"> assurer</w:t>
      </w:r>
      <w:r w:rsidRPr="00C518A4">
        <w:rPr>
          <w:rFonts w:ascii="Arial" w:eastAsia="Calibri" w:hAnsi="Arial" w:cs="Arial"/>
          <w:sz w:val="20"/>
          <w:szCs w:val="20"/>
          <w:lang w:val="fr-FR" w:eastAsia="fr-FR"/>
        </w:rPr>
        <w:t xml:space="preserve"> la prise en compte transversale de l’environnement et du Changement Climatique.</w:t>
      </w:r>
    </w:p>
    <w:p w14:paraId="124D9829" w14:textId="77777777" w:rsidR="00C518A4" w:rsidRDefault="00C518A4" w:rsidP="00500D2D">
      <w:pPr>
        <w:pStyle w:val="Titre1"/>
        <w:sectPr w:rsidR="00C518A4" w:rsidSect="00715A3F">
          <w:pgSz w:w="11906" w:h="16838"/>
          <w:pgMar w:top="1134" w:right="1021" w:bottom="1134" w:left="1134" w:header="709" w:footer="709" w:gutter="0"/>
          <w:cols w:space="708"/>
          <w:docGrid w:linePitch="360"/>
        </w:sectPr>
      </w:pPr>
    </w:p>
    <w:p w14:paraId="45D32B32" w14:textId="77777777" w:rsidR="00802BA9" w:rsidRPr="00C518A4" w:rsidRDefault="00802BA9" w:rsidP="00500D2D">
      <w:pPr>
        <w:pStyle w:val="Titre1"/>
        <w:rPr>
          <w:rFonts w:cs="Arial"/>
        </w:rPr>
      </w:pPr>
      <w:bookmarkStart w:id="64" w:name="_Toc20505666"/>
      <w:r w:rsidRPr="00C518A4">
        <w:rPr>
          <w:rFonts w:cs="Arial"/>
        </w:rPr>
        <w:lastRenderedPageBreak/>
        <w:t>6. Conclusions et recommandations</w:t>
      </w:r>
      <w:bookmarkEnd w:id="64"/>
    </w:p>
    <w:p w14:paraId="512CEFE2" w14:textId="77777777" w:rsidR="00CE03E2" w:rsidRPr="00C518A4" w:rsidRDefault="00CE03E2" w:rsidP="00CE03E2">
      <w:pPr>
        <w:spacing w:after="0" w:line="240" w:lineRule="auto"/>
        <w:rPr>
          <w:rFonts w:ascii="Arial" w:hAnsi="Arial" w:cs="Arial"/>
          <w:lang w:eastAsia="fr-FR"/>
        </w:rPr>
      </w:pPr>
    </w:p>
    <w:p w14:paraId="43FB9F52" w14:textId="77777777" w:rsidR="00802BA9" w:rsidRPr="00C518A4" w:rsidRDefault="00802BA9" w:rsidP="00802BA9">
      <w:pPr>
        <w:pStyle w:val="Titre2"/>
        <w:rPr>
          <w:lang w:eastAsia="fr-FR"/>
        </w:rPr>
      </w:pPr>
      <w:bookmarkStart w:id="65" w:name="_Toc20505667"/>
      <w:r w:rsidRPr="00C518A4">
        <w:rPr>
          <w:lang w:val="fr-BE" w:eastAsia="fr-FR"/>
        </w:rPr>
        <w:t>6</w:t>
      </w:r>
      <w:r w:rsidRPr="00C518A4">
        <w:rPr>
          <w:lang w:eastAsia="fr-FR"/>
        </w:rPr>
        <w:t>.1 Analyse de la prise en compte des recommandations du profil environnemental effectué en 2014</w:t>
      </w:r>
      <w:bookmarkEnd w:id="65"/>
    </w:p>
    <w:p w14:paraId="271BEE0C" w14:textId="77777777" w:rsidR="00802BA9" w:rsidRPr="00C518A4" w:rsidRDefault="00802BA9" w:rsidP="00802BA9">
      <w:pPr>
        <w:spacing w:after="0" w:line="240" w:lineRule="auto"/>
        <w:rPr>
          <w:rFonts w:ascii="Arial" w:eastAsia="Calibri" w:hAnsi="Arial" w:cs="Arial"/>
          <w:lang w:val="fr-FR" w:eastAsia="fr-FR"/>
        </w:rPr>
      </w:pPr>
    </w:p>
    <w:p w14:paraId="7588135B" w14:textId="77777777" w:rsidR="00802BA9" w:rsidRPr="00C518A4" w:rsidRDefault="00802BA9" w:rsidP="00C518A4">
      <w:pPr>
        <w:spacing w:before="120" w:after="120" w:line="240" w:lineRule="auto"/>
        <w:rPr>
          <w:rFonts w:ascii="Arial" w:eastAsia="Times New Roman" w:hAnsi="Arial" w:cs="Arial"/>
          <w:sz w:val="20"/>
          <w:szCs w:val="20"/>
          <w:lang w:val="fr-FR"/>
        </w:rPr>
      </w:pPr>
      <w:r w:rsidRPr="00C518A4">
        <w:rPr>
          <w:rFonts w:ascii="Arial" w:eastAsia="Times New Roman" w:hAnsi="Arial" w:cs="Arial"/>
          <w:sz w:val="20"/>
          <w:szCs w:val="20"/>
          <w:lang w:val="fr-FR"/>
        </w:rPr>
        <w:t xml:space="preserve">L’environnement et les ressources naturelles du pays subissent des pressions multiples résultant de l’action de l’homme et des croissances démographique et économique. Les principaux problèmes environnementaux d’ordre général ont déjà été identifiés (PEP 2006 &amp; PEP, 2014), à savoir : la croissance démographique, la pauvreté, l’exode rural, la déforestation, le braconnage, la pêche abusive, l’agriculture non adaptée, l’extension des zones agricoles, le surpâturage, les feux de brousse, la dégradation des sols, l’ensablement des fleuves, les sécheresses récurrentes et l’aridité croissante du climat, la surexploitation des ressources en eau, les pollutions de l’eau et de l’air et la mauvaise gestion des déchets liquides et solides. </w:t>
      </w:r>
    </w:p>
    <w:p w14:paraId="005B7177" w14:textId="77777777" w:rsidR="00802BA9" w:rsidRPr="00C518A4" w:rsidRDefault="00802BA9" w:rsidP="00C518A4">
      <w:pPr>
        <w:spacing w:before="120" w:after="120" w:line="240" w:lineRule="auto"/>
        <w:rPr>
          <w:rFonts w:ascii="Arial" w:eastAsia="Times New Roman" w:hAnsi="Arial" w:cs="Arial"/>
          <w:sz w:val="20"/>
          <w:szCs w:val="20"/>
          <w:lang w:val="fr-FR"/>
        </w:rPr>
      </w:pPr>
      <w:r w:rsidRPr="00C518A4">
        <w:rPr>
          <w:rFonts w:ascii="Arial" w:eastAsia="Times New Roman" w:hAnsi="Arial" w:cs="Arial"/>
          <w:sz w:val="20"/>
          <w:szCs w:val="20"/>
          <w:lang w:val="fr-FR"/>
        </w:rPr>
        <w:t>Les tendances actuelles, depuis le PEP précédent de 2014, montrent que ces problèmes environnementaux restent d’actualité, aussi bien en milieu urbain qu’en zone rurale. La forte vulnérabilité aux changements climatiques, problème transversal et lié surtout aux contraintes structurelles de l’économie, attire de plus en plus l’attention des gestionnaires du pays et aussi de la communauté internationale.</w:t>
      </w:r>
    </w:p>
    <w:p w14:paraId="4F1C88D1" w14:textId="77777777" w:rsidR="00802BA9" w:rsidRPr="00C518A4" w:rsidRDefault="00802BA9" w:rsidP="00802BA9">
      <w:pPr>
        <w:spacing w:after="0" w:line="240" w:lineRule="auto"/>
        <w:rPr>
          <w:rFonts w:ascii="Arial" w:eastAsia="Times New Roman" w:hAnsi="Arial" w:cs="Arial"/>
          <w:lang w:val="fr-FR"/>
        </w:rPr>
      </w:pPr>
    </w:p>
    <w:p w14:paraId="14B9A8AD" w14:textId="77777777" w:rsidR="00802BA9" w:rsidRPr="00C518A4" w:rsidRDefault="00802BA9" w:rsidP="00802BA9">
      <w:pPr>
        <w:spacing w:after="0" w:line="240" w:lineRule="auto"/>
        <w:rPr>
          <w:rFonts w:ascii="Arial" w:hAnsi="Arial" w:cs="Arial"/>
          <w:b/>
          <w:sz w:val="20"/>
          <w:szCs w:val="20"/>
          <w:lang w:val="fr-FR"/>
        </w:rPr>
      </w:pPr>
      <w:r w:rsidRPr="00C518A4">
        <w:rPr>
          <w:rFonts w:ascii="Arial" w:hAnsi="Arial" w:cs="Arial"/>
          <w:b/>
          <w:lang w:val="fr-FR"/>
        </w:rPr>
        <w:t>Matrice des enjeux environnementaux</w:t>
      </w:r>
      <w:r w:rsidRPr="00C518A4">
        <w:rPr>
          <w:rFonts w:ascii="Arial" w:hAnsi="Arial" w:cs="Arial"/>
          <w:b/>
          <w:sz w:val="20"/>
          <w:szCs w:val="20"/>
          <w:lang w:val="fr-FR"/>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35"/>
        <w:gridCol w:w="444"/>
        <w:gridCol w:w="443"/>
        <w:gridCol w:w="443"/>
        <w:gridCol w:w="443"/>
        <w:gridCol w:w="443"/>
        <w:gridCol w:w="443"/>
        <w:gridCol w:w="443"/>
        <w:gridCol w:w="443"/>
        <w:gridCol w:w="443"/>
        <w:gridCol w:w="443"/>
        <w:gridCol w:w="443"/>
        <w:gridCol w:w="443"/>
        <w:gridCol w:w="443"/>
        <w:gridCol w:w="443"/>
        <w:gridCol w:w="443"/>
        <w:gridCol w:w="443"/>
        <w:gridCol w:w="443"/>
      </w:tblGrid>
      <w:tr w:rsidR="00802BA9" w:rsidRPr="006B13A4" w14:paraId="0BA8324C" w14:textId="77777777" w:rsidTr="00883224">
        <w:trPr>
          <w:cantSplit/>
          <w:trHeight w:val="1531"/>
        </w:trPr>
        <w:tc>
          <w:tcPr>
            <w:tcW w:w="1220" w:type="pct"/>
            <w:shd w:val="pct15" w:color="auto" w:fill="auto"/>
            <w:vAlign w:val="center"/>
          </w:tcPr>
          <w:p w14:paraId="3188A22E" w14:textId="77777777" w:rsidR="00802BA9" w:rsidRPr="006B13A4" w:rsidRDefault="00802BA9" w:rsidP="00883224">
            <w:pPr>
              <w:spacing w:after="0" w:line="240" w:lineRule="auto"/>
              <w:jc w:val="center"/>
              <w:rPr>
                <w:rFonts w:eastAsia="SimSun" w:cs="Arial"/>
                <w:sz w:val="16"/>
                <w:szCs w:val="16"/>
                <w:lang w:val="fr-FR" w:eastAsia="zh-CN"/>
              </w:rPr>
            </w:pPr>
            <w:r w:rsidRPr="006B13A4">
              <w:rPr>
                <w:rFonts w:eastAsia="SimSun" w:cs="Arial"/>
                <w:sz w:val="16"/>
                <w:szCs w:val="16"/>
                <w:lang w:val="fr-FR" w:eastAsia="zh-CN"/>
              </w:rPr>
              <w:t>Pressions sur l’environnement</w:t>
            </w:r>
          </w:p>
        </w:tc>
        <w:tc>
          <w:tcPr>
            <w:tcW w:w="222" w:type="pct"/>
            <w:shd w:val="pct12" w:color="auto" w:fill="auto"/>
            <w:textDirection w:val="btLr"/>
            <w:vAlign w:val="center"/>
          </w:tcPr>
          <w:p w14:paraId="61C2946D" w14:textId="77777777" w:rsidR="00802BA9" w:rsidRPr="006B13A4" w:rsidRDefault="00802BA9" w:rsidP="00883224">
            <w:pPr>
              <w:spacing w:after="0" w:line="240" w:lineRule="auto"/>
              <w:rPr>
                <w:rFonts w:eastAsia="SimSun" w:cs="Arial"/>
                <w:sz w:val="16"/>
                <w:szCs w:val="16"/>
                <w:lang w:val="fr-FR" w:eastAsia="zh-CN"/>
              </w:rPr>
            </w:pPr>
            <w:r w:rsidRPr="006B13A4">
              <w:rPr>
                <w:rFonts w:eastAsia="SimSun" w:cs="Arial"/>
                <w:sz w:val="16"/>
                <w:szCs w:val="16"/>
                <w:lang w:val="fr-FR" w:eastAsia="zh-CN"/>
              </w:rPr>
              <w:t>Croissance démographique</w:t>
            </w:r>
          </w:p>
        </w:tc>
        <w:tc>
          <w:tcPr>
            <w:tcW w:w="222" w:type="pct"/>
            <w:shd w:val="pct12" w:color="auto" w:fill="auto"/>
            <w:textDirection w:val="btLr"/>
            <w:vAlign w:val="center"/>
          </w:tcPr>
          <w:p w14:paraId="00C51203" w14:textId="77777777" w:rsidR="00802BA9" w:rsidRPr="006B13A4" w:rsidRDefault="00802BA9" w:rsidP="00883224">
            <w:pPr>
              <w:spacing w:after="0" w:line="240" w:lineRule="auto"/>
              <w:rPr>
                <w:rFonts w:eastAsia="SimSun" w:cs="Arial"/>
                <w:sz w:val="16"/>
                <w:szCs w:val="16"/>
                <w:lang w:val="fr-FR" w:eastAsia="zh-CN"/>
              </w:rPr>
            </w:pPr>
            <w:r w:rsidRPr="006B13A4">
              <w:rPr>
                <w:rFonts w:eastAsia="SimSun" w:cs="Arial"/>
                <w:sz w:val="16"/>
                <w:szCs w:val="16"/>
                <w:lang w:val="fr-FR" w:eastAsia="zh-CN"/>
              </w:rPr>
              <w:t>Pauvreté</w:t>
            </w:r>
          </w:p>
        </w:tc>
        <w:tc>
          <w:tcPr>
            <w:tcW w:w="222" w:type="pct"/>
            <w:shd w:val="pct12" w:color="auto" w:fill="auto"/>
            <w:textDirection w:val="btLr"/>
            <w:vAlign w:val="center"/>
          </w:tcPr>
          <w:p w14:paraId="2350AC99" w14:textId="77777777" w:rsidR="00802BA9" w:rsidRPr="006B13A4" w:rsidRDefault="00802BA9" w:rsidP="00883224">
            <w:pPr>
              <w:spacing w:after="0" w:line="240" w:lineRule="auto"/>
              <w:rPr>
                <w:rFonts w:eastAsia="SimSun" w:cs="Arial"/>
                <w:sz w:val="16"/>
                <w:szCs w:val="16"/>
                <w:lang w:val="fr-FR" w:eastAsia="zh-CN"/>
              </w:rPr>
            </w:pPr>
            <w:r w:rsidRPr="006B13A4">
              <w:rPr>
                <w:rFonts w:eastAsia="SimSun" w:cs="Arial"/>
                <w:sz w:val="16"/>
                <w:szCs w:val="16"/>
                <w:lang w:val="fr-FR" w:eastAsia="zh-CN"/>
              </w:rPr>
              <w:t xml:space="preserve">Exode rural </w:t>
            </w:r>
          </w:p>
        </w:tc>
        <w:tc>
          <w:tcPr>
            <w:tcW w:w="222" w:type="pct"/>
            <w:shd w:val="pct12" w:color="auto" w:fill="auto"/>
            <w:textDirection w:val="btLr"/>
            <w:vAlign w:val="center"/>
          </w:tcPr>
          <w:p w14:paraId="68FA2333" w14:textId="77777777" w:rsidR="00802BA9" w:rsidRPr="006B13A4" w:rsidRDefault="00802BA9" w:rsidP="00883224">
            <w:pPr>
              <w:spacing w:after="0" w:line="240" w:lineRule="auto"/>
              <w:rPr>
                <w:rFonts w:eastAsia="SimSun" w:cs="Arial"/>
                <w:sz w:val="16"/>
                <w:szCs w:val="16"/>
                <w:lang w:val="fr-FR" w:eastAsia="zh-CN"/>
              </w:rPr>
            </w:pPr>
            <w:r w:rsidRPr="006B13A4">
              <w:rPr>
                <w:rFonts w:eastAsia="SimSun" w:cs="Arial"/>
                <w:sz w:val="16"/>
                <w:szCs w:val="16"/>
                <w:lang w:val="fr-FR" w:eastAsia="zh-CN"/>
              </w:rPr>
              <w:t>Déforestation</w:t>
            </w:r>
          </w:p>
        </w:tc>
        <w:tc>
          <w:tcPr>
            <w:tcW w:w="222" w:type="pct"/>
            <w:shd w:val="pct12" w:color="auto" w:fill="auto"/>
            <w:textDirection w:val="btLr"/>
            <w:vAlign w:val="center"/>
          </w:tcPr>
          <w:p w14:paraId="5F255B04" w14:textId="77777777" w:rsidR="00802BA9" w:rsidRPr="006B13A4" w:rsidRDefault="00802BA9" w:rsidP="00883224">
            <w:pPr>
              <w:spacing w:after="0" w:line="240" w:lineRule="auto"/>
              <w:rPr>
                <w:rFonts w:eastAsia="SimSun" w:cs="Arial"/>
                <w:sz w:val="16"/>
                <w:szCs w:val="16"/>
                <w:lang w:val="fr-FR" w:eastAsia="zh-CN"/>
              </w:rPr>
            </w:pPr>
            <w:r w:rsidRPr="006B13A4">
              <w:rPr>
                <w:rFonts w:eastAsia="SimSun" w:cs="Arial"/>
                <w:sz w:val="16"/>
                <w:szCs w:val="16"/>
                <w:lang w:val="fr-FR" w:eastAsia="zh-CN"/>
              </w:rPr>
              <w:t xml:space="preserve">Agriculture non adaptée </w:t>
            </w:r>
          </w:p>
        </w:tc>
        <w:tc>
          <w:tcPr>
            <w:tcW w:w="222" w:type="pct"/>
            <w:shd w:val="pct12" w:color="auto" w:fill="auto"/>
            <w:textDirection w:val="btLr"/>
            <w:vAlign w:val="center"/>
          </w:tcPr>
          <w:p w14:paraId="372197CC" w14:textId="77777777" w:rsidR="00802BA9" w:rsidRPr="006B13A4" w:rsidRDefault="00802BA9" w:rsidP="00883224">
            <w:pPr>
              <w:spacing w:after="0" w:line="240" w:lineRule="auto"/>
              <w:rPr>
                <w:rFonts w:eastAsia="SimSun" w:cs="Arial"/>
                <w:sz w:val="16"/>
                <w:szCs w:val="16"/>
                <w:lang w:val="fr-FR" w:eastAsia="zh-CN"/>
              </w:rPr>
            </w:pPr>
            <w:r w:rsidRPr="006B13A4">
              <w:rPr>
                <w:rFonts w:eastAsia="SimSun" w:cs="Arial"/>
                <w:sz w:val="16"/>
                <w:szCs w:val="16"/>
                <w:lang w:val="fr-FR" w:eastAsia="zh-CN"/>
              </w:rPr>
              <w:t>Surpâturage</w:t>
            </w:r>
          </w:p>
        </w:tc>
        <w:tc>
          <w:tcPr>
            <w:tcW w:w="222" w:type="pct"/>
            <w:shd w:val="pct12" w:color="auto" w:fill="auto"/>
            <w:textDirection w:val="btLr"/>
            <w:vAlign w:val="center"/>
          </w:tcPr>
          <w:p w14:paraId="1EC943CE" w14:textId="77777777" w:rsidR="00802BA9" w:rsidRPr="006B13A4" w:rsidRDefault="00802BA9" w:rsidP="00883224">
            <w:pPr>
              <w:spacing w:after="0" w:line="240" w:lineRule="auto"/>
              <w:rPr>
                <w:rFonts w:eastAsia="SimSun" w:cs="Arial"/>
                <w:sz w:val="16"/>
                <w:szCs w:val="16"/>
                <w:lang w:val="fr-FR" w:eastAsia="zh-CN"/>
              </w:rPr>
            </w:pPr>
            <w:r w:rsidRPr="006B13A4">
              <w:rPr>
                <w:rFonts w:eastAsia="SimSun" w:cs="Arial"/>
                <w:sz w:val="16"/>
                <w:szCs w:val="16"/>
                <w:lang w:val="fr-FR" w:eastAsia="zh-CN"/>
              </w:rPr>
              <w:t>Feux de brousse</w:t>
            </w:r>
          </w:p>
        </w:tc>
        <w:tc>
          <w:tcPr>
            <w:tcW w:w="222" w:type="pct"/>
            <w:shd w:val="pct12" w:color="auto" w:fill="auto"/>
            <w:textDirection w:val="btLr"/>
            <w:vAlign w:val="center"/>
          </w:tcPr>
          <w:p w14:paraId="2A3AEF62" w14:textId="77777777" w:rsidR="00802BA9" w:rsidRPr="006B13A4" w:rsidRDefault="00802BA9" w:rsidP="00883224">
            <w:pPr>
              <w:spacing w:after="0" w:line="240" w:lineRule="auto"/>
              <w:rPr>
                <w:rFonts w:eastAsia="SimSun" w:cs="Arial"/>
                <w:sz w:val="16"/>
                <w:szCs w:val="16"/>
                <w:lang w:val="fr-FR" w:eastAsia="zh-CN"/>
              </w:rPr>
            </w:pPr>
            <w:r w:rsidRPr="006B13A4">
              <w:rPr>
                <w:rFonts w:eastAsia="SimSun" w:cs="Arial"/>
                <w:sz w:val="16"/>
                <w:szCs w:val="16"/>
                <w:lang w:val="fr-FR" w:eastAsia="zh-CN"/>
              </w:rPr>
              <w:t>Dégradation sols</w:t>
            </w:r>
          </w:p>
        </w:tc>
        <w:tc>
          <w:tcPr>
            <w:tcW w:w="222" w:type="pct"/>
            <w:shd w:val="pct12" w:color="auto" w:fill="auto"/>
            <w:textDirection w:val="btLr"/>
            <w:vAlign w:val="center"/>
          </w:tcPr>
          <w:p w14:paraId="31FE4943" w14:textId="77777777" w:rsidR="00802BA9" w:rsidRPr="006B13A4" w:rsidRDefault="00802BA9" w:rsidP="00883224">
            <w:pPr>
              <w:spacing w:after="0" w:line="240" w:lineRule="auto"/>
              <w:rPr>
                <w:rFonts w:eastAsia="SimSun" w:cs="Arial"/>
                <w:sz w:val="16"/>
                <w:szCs w:val="16"/>
                <w:lang w:val="fr-FR" w:eastAsia="zh-CN"/>
              </w:rPr>
            </w:pPr>
            <w:r w:rsidRPr="006B13A4">
              <w:rPr>
                <w:rFonts w:eastAsia="SimSun" w:cs="Arial"/>
                <w:sz w:val="16"/>
                <w:szCs w:val="16"/>
                <w:lang w:val="fr-FR" w:eastAsia="zh-CN"/>
              </w:rPr>
              <w:t>Ensablement</w:t>
            </w:r>
          </w:p>
        </w:tc>
        <w:tc>
          <w:tcPr>
            <w:tcW w:w="222" w:type="pct"/>
            <w:tcBorders>
              <w:bottom w:val="single" w:sz="4" w:space="0" w:color="auto"/>
            </w:tcBorders>
            <w:shd w:val="pct12" w:color="auto" w:fill="auto"/>
            <w:textDirection w:val="btLr"/>
            <w:vAlign w:val="center"/>
          </w:tcPr>
          <w:p w14:paraId="034D4DD6" w14:textId="77777777" w:rsidR="00802BA9" w:rsidRPr="006B13A4" w:rsidRDefault="00802BA9" w:rsidP="00883224">
            <w:pPr>
              <w:spacing w:after="0" w:line="240" w:lineRule="auto"/>
              <w:rPr>
                <w:rFonts w:eastAsia="SimSun" w:cs="Arial"/>
                <w:sz w:val="16"/>
                <w:szCs w:val="16"/>
                <w:lang w:val="fr-FR" w:eastAsia="zh-CN"/>
              </w:rPr>
            </w:pPr>
            <w:r w:rsidRPr="006B13A4">
              <w:rPr>
                <w:rFonts w:eastAsia="SimSun" w:cs="Arial"/>
                <w:sz w:val="16"/>
                <w:szCs w:val="16"/>
                <w:lang w:val="fr-FR" w:eastAsia="zh-CN"/>
              </w:rPr>
              <w:t>Sécheresses récurrentes</w:t>
            </w:r>
          </w:p>
        </w:tc>
        <w:tc>
          <w:tcPr>
            <w:tcW w:w="222" w:type="pct"/>
            <w:tcBorders>
              <w:bottom w:val="single" w:sz="4" w:space="0" w:color="auto"/>
            </w:tcBorders>
            <w:shd w:val="pct12" w:color="auto" w:fill="auto"/>
            <w:textDirection w:val="btLr"/>
            <w:vAlign w:val="center"/>
          </w:tcPr>
          <w:p w14:paraId="47AFAA96" w14:textId="77777777" w:rsidR="00802BA9" w:rsidRPr="006B13A4" w:rsidRDefault="00802BA9" w:rsidP="00883224">
            <w:pPr>
              <w:spacing w:after="0" w:line="240" w:lineRule="auto"/>
              <w:rPr>
                <w:rFonts w:eastAsia="SimSun" w:cs="Arial"/>
                <w:bCs/>
                <w:sz w:val="16"/>
                <w:szCs w:val="16"/>
                <w:lang w:val="fr-FR" w:eastAsia="zh-CN"/>
              </w:rPr>
            </w:pPr>
            <w:r w:rsidRPr="006B13A4">
              <w:rPr>
                <w:rFonts w:eastAsia="SimSun" w:cs="Arial"/>
                <w:bCs/>
                <w:sz w:val="16"/>
                <w:szCs w:val="16"/>
                <w:lang w:val="fr-FR" w:eastAsia="zh-CN"/>
              </w:rPr>
              <w:t>Surexploitation des  ressources en eau</w:t>
            </w:r>
          </w:p>
        </w:tc>
        <w:tc>
          <w:tcPr>
            <w:tcW w:w="222" w:type="pct"/>
            <w:shd w:val="pct12" w:color="auto" w:fill="auto"/>
            <w:textDirection w:val="btLr"/>
            <w:vAlign w:val="center"/>
          </w:tcPr>
          <w:p w14:paraId="39301DE7" w14:textId="77777777" w:rsidR="00802BA9" w:rsidRPr="006B13A4" w:rsidRDefault="00802BA9" w:rsidP="00883224">
            <w:pPr>
              <w:spacing w:after="0" w:line="240" w:lineRule="auto"/>
              <w:rPr>
                <w:rFonts w:eastAsia="SimSun" w:cs="Arial"/>
                <w:sz w:val="16"/>
                <w:szCs w:val="16"/>
                <w:lang w:val="fr-FR" w:eastAsia="zh-CN"/>
              </w:rPr>
            </w:pPr>
            <w:r w:rsidRPr="006B13A4">
              <w:rPr>
                <w:rFonts w:eastAsia="SimSun" w:cs="Arial"/>
                <w:sz w:val="16"/>
                <w:szCs w:val="16"/>
                <w:lang w:val="fr-FR" w:eastAsia="zh-CN"/>
              </w:rPr>
              <w:t xml:space="preserve">Pollution de l’eau </w:t>
            </w:r>
          </w:p>
        </w:tc>
        <w:tc>
          <w:tcPr>
            <w:tcW w:w="222" w:type="pct"/>
            <w:shd w:val="pct12" w:color="auto" w:fill="auto"/>
            <w:textDirection w:val="btLr"/>
            <w:vAlign w:val="center"/>
          </w:tcPr>
          <w:p w14:paraId="05F7F67F" w14:textId="77777777" w:rsidR="00802BA9" w:rsidRPr="006B13A4" w:rsidRDefault="00802BA9" w:rsidP="00883224">
            <w:pPr>
              <w:spacing w:after="0" w:line="240" w:lineRule="auto"/>
              <w:rPr>
                <w:rFonts w:eastAsia="SimSun" w:cs="Arial"/>
                <w:sz w:val="16"/>
                <w:szCs w:val="16"/>
                <w:lang w:val="fr-FR" w:eastAsia="zh-CN"/>
              </w:rPr>
            </w:pPr>
            <w:r w:rsidRPr="006B13A4">
              <w:rPr>
                <w:rFonts w:eastAsia="SimSun" w:cs="Arial"/>
                <w:sz w:val="16"/>
                <w:szCs w:val="16"/>
                <w:lang w:val="fr-FR" w:eastAsia="zh-CN"/>
              </w:rPr>
              <w:t>Pollution de l’air</w:t>
            </w:r>
          </w:p>
        </w:tc>
        <w:tc>
          <w:tcPr>
            <w:tcW w:w="222" w:type="pct"/>
            <w:shd w:val="pct12" w:color="auto" w:fill="auto"/>
            <w:textDirection w:val="btLr"/>
            <w:vAlign w:val="center"/>
          </w:tcPr>
          <w:p w14:paraId="14B815DE" w14:textId="77777777" w:rsidR="00802BA9" w:rsidRPr="006B13A4" w:rsidRDefault="00802BA9" w:rsidP="00883224">
            <w:pPr>
              <w:spacing w:after="0" w:line="240" w:lineRule="auto"/>
              <w:rPr>
                <w:rFonts w:eastAsia="SimSun" w:cs="Arial"/>
                <w:sz w:val="16"/>
                <w:szCs w:val="16"/>
                <w:lang w:val="fr-FR" w:eastAsia="zh-CN"/>
              </w:rPr>
            </w:pPr>
            <w:r w:rsidRPr="006B13A4">
              <w:rPr>
                <w:rFonts w:eastAsia="SimSun" w:cs="Arial"/>
                <w:sz w:val="16"/>
                <w:szCs w:val="16"/>
                <w:lang w:val="fr-FR" w:eastAsia="zh-CN"/>
              </w:rPr>
              <w:t>Mauvaise gestion des déchets solides</w:t>
            </w:r>
          </w:p>
        </w:tc>
        <w:tc>
          <w:tcPr>
            <w:tcW w:w="222" w:type="pct"/>
            <w:shd w:val="pct12" w:color="auto" w:fill="auto"/>
            <w:textDirection w:val="btLr"/>
            <w:vAlign w:val="center"/>
          </w:tcPr>
          <w:p w14:paraId="752BB42C" w14:textId="77777777" w:rsidR="00802BA9" w:rsidRPr="006B13A4" w:rsidRDefault="00802BA9" w:rsidP="00883224">
            <w:pPr>
              <w:spacing w:after="0" w:line="240" w:lineRule="auto"/>
              <w:rPr>
                <w:rFonts w:eastAsia="SimSun" w:cs="Arial"/>
                <w:sz w:val="16"/>
                <w:szCs w:val="16"/>
                <w:lang w:val="fr-FR" w:eastAsia="zh-CN"/>
              </w:rPr>
            </w:pPr>
            <w:r w:rsidRPr="006B13A4">
              <w:rPr>
                <w:rFonts w:eastAsia="SimSun" w:cs="Arial"/>
                <w:sz w:val="16"/>
                <w:szCs w:val="16"/>
                <w:lang w:val="fr-FR" w:eastAsia="zh-CN"/>
              </w:rPr>
              <w:t xml:space="preserve">Braconnage </w:t>
            </w:r>
          </w:p>
        </w:tc>
        <w:tc>
          <w:tcPr>
            <w:tcW w:w="222" w:type="pct"/>
            <w:shd w:val="pct12" w:color="auto" w:fill="auto"/>
            <w:textDirection w:val="btLr"/>
            <w:vAlign w:val="center"/>
          </w:tcPr>
          <w:p w14:paraId="28ABE39D" w14:textId="77777777" w:rsidR="00802BA9" w:rsidRPr="006B13A4" w:rsidRDefault="00802BA9" w:rsidP="00883224">
            <w:pPr>
              <w:spacing w:after="0" w:line="240" w:lineRule="auto"/>
              <w:rPr>
                <w:rFonts w:eastAsia="SimSun" w:cs="Arial"/>
                <w:sz w:val="16"/>
                <w:szCs w:val="16"/>
                <w:lang w:val="fr-FR" w:eastAsia="zh-CN"/>
              </w:rPr>
            </w:pPr>
            <w:r w:rsidRPr="006B13A4">
              <w:rPr>
                <w:rFonts w:eastAsia="SimSun" w:cs="Arial"/>
                <w:sz w:val="16"/>
                <w:szCs w:val="16"/>
                <w:lang w:val="fr-FR" w:eastAsia="zh-CN"/>
              </w:rPr>
              <w:t>Pêche abusive</w:t>
            </w:r>
          </w:p>
        </w:tc>
        <w:tc>
          <w:tcPr>
            <w:tcW w:w="222" w:type="pct"/>
            <w:shd w:val="pct12" w:color="auto" w:fill="auto"/>
            <w:textDirection w:val="btLr"/>
          </w:tcPr>
          <w:p w14:paraId="6547B99A" w14:textId="77777777" w:rsidR="00802BA9" w:rsidRPr="006B13A4" w:rsidRDefault="00802BA9" w:rsidP="00883224">
            <w:pPr>
              <w:spacing w:after="0" w:line="240" w:lineRule="auto"/>
              <w:rPr>
                <w:rFonts w:eastAsia="SimSun" w:cs="Arial"/>
                <w:sz w:val="16"/>
                <w:szCs w:val="16"/>
                <w:lang w:val="fr-FR" w:eastAsia="zh-CN"/>
              </w:rPr>
            </w:pPr>
            <w:r w:rsidRPr="006B13A4">
              <w:rPr>
                <w:rFonts w:eastAsia="SimSun" w:cs="Arial"/>
                <w:sz w:val="16"/>
                <w:szCs w:val="16"/>
                <w:lang w:val="fr-FR" w:eastAsia="zh-CN"/>
              </w:rPr>
              <w:t>Vulnérabilité aux CC</w:t>
            </w:r>
          </w:p>
        </w:tc>
      </w:tr>
      <w:tr w:rsidR="00802BA9" w:rsidRPr="006B13A4" w14:paraId="54D5AE36" w14:textId="77777777" w:rsidTr="00883224">
        <w:tc>
          <w:tcPr>
            <w:tcW w:w="1220" w:type="pct"/>
            <w:shd w:val="pct5" w:color="auto" w:fill="auto"/>
            <w:vAlign w:val="center"/>
          </w:tcPr>
          <w:p w14:paraId="4E9E4FEC" w14:textId="77777777" w:rsidR="00802BA9" w:rsidRPr="006B13A4" w:rsidRDefault="00802BA9" w:rsidP="00883224">
            <w:pPr>
              <w:spacing w:after="0" w:line="240" w:lineRule="auto"/>
              <w:rPr>
                <w:rFonts w:eastAsia="SimSun" w:cs="Arial"/>
                <w:sz w:val="16"/>
                <w:szCs w:val="16"/>
                <w:lang w:val="fr-FR" w:eastAsia="zh-CN"/>
              </w:rPr>
            </w:pPr>
            <w:r w:rsidRPr="006B13A4">
              <w:rPr>
                <w:rFonts w:eastAsia="SimSun" w:cs="Arial"/>
                <w:sz w:val="16"/>
                <w:szCs w:val="16"/>
                <w:lang w:val="fr-FR" w:eastAsia="zh-CN"/>
              </w:rPr>
              <w:t>SECTEUR</w:t>
            </w:r>
          </w:p>
        </w:tc>
        <w:tc>
          <w:tcPr>
            <w:tcW w:w="222" w:type="pct"/>
          </w:tcPr>
          <w:p w14:paraId="2A6CE10F"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2E02CB80"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3C45B92E"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59DDDEB8"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2FB61DD9"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78A3E1F9"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42210CFC"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08FBFF62"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4681124A"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tcPr>
          <w:p w14:paraId="60A789DB"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tcPr>
          <w:p w14:paraId="166082C2"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tcPr>
          <w:p w14:paraId="0F850B0C"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tcPr>
          <w:p w14:paraId="7E05722B"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tcPr>
          <w:p w14:paraId="31F9DF45"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59F73973"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7C63D361"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1CB131F1" w14:textId="77777777" w:rsidR="00802BA9" w:rsidRPr="006B13A4" w:rsidRDefault="00802BA9" w:rsidP="00883224">
            <w:pPr>
              <w:spacing w:after="0" w:line="240" w:lineRule="auto"/>
              <w:rPr>
                <w:rFonts w:eastAsia="SimSun" w:cs="Arial"/>
                <w:sz w:val="16"/>
                <w:szCs w:val="16"/>
                <w:lang w:val="fr-FR" w:eastAsia="zh-CN"/>
              </w:rPr>
            </w:pPr>
          </w:p>
        </w:tc>
      </w:tr>
      <w:tr w:rsidR="00802BA9" w:rsidRPr="006B13A4" w14:paraId="4EA517B7" w14:textId="77777777" w:rsidTr="00883224">
        <w:tc>
          <w:tcPr>
            <w:tcW w:w="1220" w:type="pct"/>
            <w:shd w:val="pct5" w:color="auto" w:fill="auto"/>
            <w:vAlign w:val="center"/>
          </w:tcPr>
          <w:p w14:paraId="24892848" w14:textId="77777777" w:rsidR="00802BA9" w:rsidRPr="006B13A4" w:rsidRDefault="00802BA9" w:rsidP="00883224">
            <w:pPr>
              <w:spacing w:after="0" w:line="240" w:lineRule="auto"/>
              <w:rPr>
                <w:rFonts w:eastAsia="SimSun" w:cs="Arial"/>
                <w:bCs/>
                <w:sz w:val="16"/>
                <w:szCs w:val="16"/>
                <w:lang w:val="fr-FR" w:eastAsia="zh-CN"/>
              </w:rPr>
            </w:pPr>
            <w:r w:rsidRPr="006B13A4">
              <w:rPr>
                <w:rFonts w:eastAsia="SimSun" w:cs="Arial"/>
                <w:bCs/>
                <w:sz w:val="16"/>
                <w:szCs w:val="16"/>
                <w:lang w:val="fr-FR" w:eastAsia="zh-CN"/>
              </w:rPr>
              <w:t>Sécurité alimentaire</w:t>
            </w:r>
          </w:p>
        </w:tc>
        <w:tc>
          <w:tcPr>
            <w:tcW w:w="222" w:type="pct"/>
            <w:tcBorders>
              <w:bottom w:val="single" w:sz="4" w:space="0" w:color="auto"/>
            </w:tcBorders>
            <w:shd w:val="thinDiagStripe" w:color="auto" w:fill="auto"/>
          </w:tcPr>
          <w:p w14:paraId="3CDB23C1"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3DF77589"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5964DB1D"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0D36D948"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0C3A484C"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32F4345F"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5D89F328"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10422CC9"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55BCDA09"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49055BE4"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6DA324C0"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26C5BB4F"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clear" w:color="auto" w:fill="auto"/>
          </w:tcPr>
          <w:p w14:paraId="0AAF8C5C"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0BA863EA"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560DCE37"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6AACF563"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084EB5E7" w14:textId="77777777" w:rsidR="00802BA9" w:rsidRPr="006B13A4" w:rsidRDefault="00802BA9" w:rsidP="00883224">
            <w:pPr>
              <w:spacing w:after="0" w:line="240" w:lineRule="auto"/>
              <w:rPr>
                <w:rFonts w:eastAsia="SimSun" w:cs="Arial"/>
                <w:sz w:val="16"/>
                <w:szCs w:val="16"/>
                <w:lang w:val="fr-FR" w:eastAsia="zh-CN"/>
              </w:rPr>
            </w:pPr>
          </w:p>
        </w:tc>
      </w:tr>
      <w:tr w:rsidR="00802BA9" w:rsidRPr="006B13A4" w14:paraId="3D7E757F" w14:textId="77777777" w:rsidTr="00883224">
        <w:tc>
          <w:tcPr>
            <w:tcW w:w="1220" w:type="pct"/>
            <w:shd w:val="pct5" w:color="auto" w:fill="auto"/>
            <w:vAlign w:val="center"/>
          </w:tcPr>
          <w:p w14:paraId="2E8B952F" w14:textId="77777777" w:rsidR="00802BA9" w:rsidRPr="006B13A4" w:rsidRDefault="00802BA9" w:rsidP="00883224">
            <w:pPr>
              <w:spacing w:after="0" w:line="240" w:lineRule="auto"/>
              <w:rPr>
                <w:rFonts w:eastAsia="SimSun" w:cs="Arial"/>
                <w:bCs/>
                <w:sz w:val="16"/>
                <w:szCs w:val="16"/>
                <w:lang w:val="fr-FR" w:eastAsia="zh-CN"/>
              </w:rPr>
            </w:pPr>
            <w:r w:rsidRPr="006B13A4">
              <w:rPr>
                <w:rFonts w:eastAsia="SimSun" w:cs="Arial"/>
                <w:bCs/>
                <w:sz w:val="16"/>
                <w:szCs w:val="16"/>
                <w:lang w:val="fr-FR" w:eastAsia="zh-CN"/>
              </w:rPr>
              <w:t>Vulnérabilité aux changements climatiques</w:t>
            </w:r>
          </w:p>
        </w:tc>
        <w:tc>
          <w:tcPr>
            <w:tcW w:w="222" w:type="pct"/>
            <w:tcBorders>
              <w:bottom w:val="single" w:sz="4" w:space="0" w:color="auto"/>
            </w:tcBorders>
            <w:shd w:val="thinDiagStripe" w:color="auto" w:fill="auto"/>
          </w:tcPr>
          <w:p w14:paraId="3BE6ED6A"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252EBDF9"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0D3AB15B"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1FB2B6DE"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261E2F14"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6F00D03B"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0D414998"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1CB0FDE6"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4D092470"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72C7CC41"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75F3C535"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23E17C2A"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1C651F1E"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6E677CCA"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132B48BF"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7E92887F"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clear" w:color="auto" w:fill="FFFFFF" w:themeFill="background1"/>
          </w:tcPr>
          <w:p w14:paraId="568B6A6B" w14:textId="77777777" w:rsidR="00802BA9" w:rsidRPr="006B13A4" w:rsidRDefault="00802BA9" w:rsidP="00883224">
            <w:pPr>
              <w:spacing w:after="0" w:line="240" w:lineRule="auto"/>
              <w:rPr>
                <w:rFonts w:eastAsia="SimSun" w:cs="Arial"/>
                <w:sz w:val="16"/>
                <w:szCs w:val="16"/>
                <w:lang w:val="fr-FR" w:eastAsia="zh-CN"/>
              </w:rPr>
            </w:pPr>
          </w:p>
        </w:tc>
      </w:tr>
      <w:tr w:rsidR="00802BA9" w:rsidRPr="006B13A4" w14:paraId="4967991E" w14:textId="77777777" w:rsidTr="00883224">
        <w:tc>
          <w:tcPr>
            <w:tcW w:w="1220" w:type="pct"/>
            <w:shd w:val="pct5" w:color="auto" w:fill="auto"/>
            <w:vAlign w:val="center"/>
          </w:tcPr>
          <w:p w14:paraId="376E4ED2" w14:textId="77777777" w:rsidR="00802BA9" w:rsidRPr="006B13A4" w:rsidRDefault="00802BA9" w:rsidP="00883224">
            <w:pPr>
              <w:spacing w:after="0" w:line="240" w:lineRule="auto"/>
              <w:rPr>
                <w:rFonts w:eastAsia="SimSun" w:cs="Arial"/>
                <w:bCs/>
                <w:sz w:val="16"/>
                <w:szCs w:val="16"/>
                <w:lang w:val="fr-FR" w:eastAsia="zh-CN"/>
              </w:rPr>
            </w:pPr>
            <w:r w:rsidRPr="006B13A4">
              <w:rPr>
                <w:rFonts w:eastAsia="SimSun" w:cs="Arial"/>
                <w:bCs/>
                <w:sz w:val="16"/>
                <w:szCs w:val="16"/>
                <w:lang w:val="fr-FR" w:eastAsia="zh-CN"/>
              </w:rPr>
              <w:t>Macro – économie</w:t>
            </w:r>
            <w:r>
              <w:rPr>
                <w:rFonts w:eastAsia="SimSun" w:cs="Arial"/>
                <w:bCs/>
                <w:sz w:val="16"/>
                <w:szCs w:val="16"/>
                <w:lang w:val="fr-FR" w:eastAsia="zh-CN"/>
              </w:rPr>
              <w:t> </w:t>
            </w:r>
            <w:r w:rsidRPr="006B13A4">
              <w:rPr>
                <w:rFonts w:eastAsia="SimSun" w:cs="Arial"/>
                <w:bCs/>
                <w:sz w:val="16"/>
                <w:szCs w:val="16"/>
                <w:lang w:val="fr-FR" w:eastAsia="zh-CN"/>
              </w:rPr>
              <w:t>:</w:t>
            </w:r>
          </w:p>
        </w:tc>
        <w:tc>
          <w:tcPr>
            <w:tcW w:w="222" w:type="pct"/>
          </w:tcPr>
          <w:p w14:paraId="1DD2A549"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351B9093"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7D8633EF"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2083648B"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tcPr>
          <w:p w14:paraId="6BB4E0C4"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tcPr>
          <w:p w14:paraId="151FA8DB"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7A9D9187"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09E4DC2F"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2BDFBF88"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tcPr>
          <w:p w14:paraId="41C390AF"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tcPr>
          <w:p w14:paraId="06925FF8"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tcPr>
          <w:p w14:paraId="38787121"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tcPr>
          <w:p w14:paraId="7F98D620"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255B9358"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45306B6A"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6D95902E"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tcPr>
          <w:p w14:paraId="1DC92A47" w14:textId="77777777" w:rsidR="00802BA9" w:rsidRPr="006B13A4" w:rsidRDefault="00802BA9" w:rsidP="00883224">
            <w:pPr>
              <w:spacing w:after="0" w:line="240" w:lineRule="auto"/>
              <w:rPr>
                <w:rFonts w:eastAsia="SimSun" w:cs="Arial"/>
                <w:sz w:val="16"/>
                <w:szCs w:val="16"/>
                <w:lang w:val="fr-FR" w:eastAsia="zh-CN"/>
              </w:rPr>
            </w:pPr>
          </w:p>
        </w:tc>
      </w:tr>
      <w:tr w:rsidR="00802BA9" w:rsidRPr="006B13A4" w14:paraId="254B8B83" w14:textId="77777777" w:rsidTr="00883224">
        <w:tc>
          <w:tcPr>
            <w:tcW w:w="1220" w:type="pct"/>
            <w:shd w:val="pct5" w:color="auto" w:fill="auto"/>
            <w:vAlign w:val="center"/>
          </w:tcPr>
          <w:p w14:paraId="2669FE00" w14:textId="77777777" w:rsidR="00802BA9" w:rsidRPr="006B13A4" w:rsidRDefault="00802BA9" w:rsidP="00883224">
            <w:pPr>
              <w:spacing w:after="0" w:line="240" w:lineRule="auto"/>
              <w:rPr>
                <w:rFonts w:eastAsia="SimSun" w:cs="Arial"/>
                <w:bCs/>
                <w:sz w:val="16"/>
                <w:szCs w:val="16"/>
                <w:lang w:val="fr-FR" w:eastAsia="zh-CN"/>
              </w:rPr>
            </w:pPr>
            <w:r w:rsidRPr="006B13A4">
              <w:rPr>
                <w:rFonts w:eastAsia="SimSun" w:cs="Arial"/>
                <w:bCs/>
                <w:sz w:val="16"/>
                <w:szCs w:val="16"/>
                <w:lang w:val="fr-FR" w:eastAsia="zh-CN"/>
              </w:rPr>
              <w:t xml:space="preserve">Transport et Infrastructure </w:t>
            </w:r>
          </w:p>
        </w:tc>
        <w:tc>
          <w:tcPr>
            <w:tcW w:w="222" w:type="pct"/>
            <w:shd w:val="thinDiagStripe" w:color="auto" w:fill="auto"/>
          </w:tcPr>
          <w:p w14:paraId="4B420145"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3E37818B"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7271844A"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07ED0013"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2A288FAD"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711CB138"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74C79538"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27B48A7E"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5431D512"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16C7F074"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0F604E9C"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7CB4808C"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33B47ECF"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2E71A018"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58178AD7"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1A3636F2"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2CE6976A" w14:textId="77777777" w:rsidR="00802BA9" w:rsidRPr="006B13A4" w:rsidRDefault="00802BA9" w:rsidP="00883224">
            <w:pPr>
              <w:spacing w:after="0" w:line="240" w:lineRule="auto"/>
              <w:rPr>
                <w:rFonts w:eastAsia="SimSun" w:cs="Arial"/>
                <w:sz w:val="16"/>
                <w:szCs w:val="16"/>
                <w:lang w:val="fr-FR" w:eastAsia="zh-CN"/>
              </w:rPr>
            </w:pPr>
          </w:p>
        </w:tc>
      </w:tr>
      <w:tr w:rsidR="00802BA9" w:rsidRPr="006B13A4" w14:paraId="256C6C69" w14:textId="77777777" w:rsidTr="00883224">
        <w:tc>
          <w:tcPr>
            <w:tcW w:w="1220" w:type="pct"/>
            <w:shd w:val="pct5" w:color="auto" w:fill="auto"/>
            <w:vAlign w:val="center"/>
          </w:tcPr>
          <w:p w14:paraId="5E33D770" w14:textId="77777777" w:rsidR="00802BA9" w:rsidRPr="006B13A4" w:rsidRDefault="00802BA9" w:rsidP="00883224">
            <w:pPr>
              <w:spacing w:after="0" w:line="240" w:lineRule="auto"/>
              <w:rPr>
                <w:rFonts w:eastAsia="SimSun" w:cs="Arial"/>
                <w:bCs/>
                <w:sz w:val="16"/>
                <w:szCs w:val="16"/>
                <w:lang w:val="fr-FR" w:eastAsia="zh-CN"/>
              </w:rPr>
            </w:pPr>
            <w:r w:rsidRPr="006B13A4">
              <w:rPr>
                <w:rFonts w:eastAsia="SimSun" w:cs="Arial"/>
                <w:bCs/>
                <w:sz w:val="16"/>
                <w:szCs w:val="16"/>
                <w:lang w:val="fr-FR" w:eastAsia="zh-CN"/>
              </w:rPr>
              <w:t>Agriculture</w:t>
            </w:r>
          </w:p>
        </w:tc>
        <w:tc>
          <w:tcPr>
            <w:tcW w:w="222" w:type="pct"/>
            <w:tcBorders>
              <w:bottom w:val="single" w:sz="4" w:space="0" w:color="auto"/>
            </w:tcBorders>
            <w:shd w:val="thinDiagStripe" w:color="auto" w:fill="auto"/>
          </w:tcPr>
          <w:p w14:paraId="05DCBC08"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0026384E"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554AC10E"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2FDD232F"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519B95EB"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58D33C06"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3AB2A259"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720B06F2"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2C167138"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74023C32"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14CC359D"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79318DCA"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7D1982B4"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56B82B33"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725E2E73"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2228D356"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134050E7" w14:textId="77777777" w:rsidR="00802BA9" w:rsidRPr="006B13A4" w:rsidRDefault="00802BA9" w:rsidP="00883224">
            <w:pPr>
              <w:spacing w:after="0" w:line="240" w:lineRule="auto"/>
              <w:rPr>
                <w:rFonts w:eastAsia="SimSun" w:cs="Arial"/>
                <w:sz w:val="16"/>
                <w:szCs w:val="16"/>
                <w:lang w:val="fr-FR" w:eastAsia="zh-CN"/>
              </w:rPr>
            </w:pPr>
          </w:p>
        </w:tc>
      </w:tr>
      <w:tr w:rsidR="00802BA9" w:rsidRPr="006B13A4" w14:paraId="2286252F" w14:textId="77777777" w:rsidTr="00883224">
        <w:tc>
          <w:tcPr>
            <w:tcW w:w="1220" w:type="pct"/>
            <w:shd w:val="pct5" w:color="auto" w:fill="auto"/>
            <w:vAlign w:val="center"/>
          </w:tcPr>
          <w:p w14:paraId="4B87BE5A" w14:textId="77777777" w:rsidR="00802BA9" w:rsidRPr="006B13A4" w:rsidRDefault="00802BA9" w:rsidP="00883224">
            <w:pPr>
              <w:spacing w:after="0" w:line="240" w:lineRule="auto"/>
              <w:rPr>
                <w:rFonts w:eastAsia="SimSun" w:cs="Arial"/>
                <w:bCs/>
                <w:sz w:val="16"/>
                <w:szCs w:val="16"/>
                <w:lang w:val="fr-FR" w:eastAsia="zh-CN"/>
              </w:rPr>
            </w:pPr>
            <w:r w:rsidRPr="006B13A4">
              <w:rPr>
                <w:rFonts w:eastAsia="SimSun" w:cs="Arial"/>
                <w:bCs/>
                <w:sz w:val="16"/>
                <w:szCs w:val="16"/>
                <w:lang w:val="fr-FR" w:eastAsia="zh-CN"/>
              </w:rPr>
              <w:t>Elevage</w:t>
            </w:r>
          </w:p>
        </w:tc>
        <w:tc>
          <w:tcPr>
            <w:tcW w:w="222" w:type="pct"/>
            <w:shd w:val="thinDiagStripe" w:color="auto" w:fill="auto"/>
          </w:tcPr>
          <w:p w14:paraId="319E641A"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24731862"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6E7B2065"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0496B6C2"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24EDF1E4"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57658142"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6C1C9B1D"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20779515"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269F0FB0"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3F298A3C"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37A8FB96"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68C87086"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6C91A602"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2A9A990F"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07EE9185"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tcPr>
          <w:p w14:paraId="66515037"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587F30F6" w14:textId="77777777" w:rsidR="00802BA9" w:rsidRPr="006B13A4" w:rsidRDefault="00802BA9" w:rsidP="00883224">
            <w:pPr>
              <w:spacing w:after="0" w:line="240" w:lineRule="auto"/>
              <w:rPr>
                <w:rFonts w:eastAsia="SimSun" w:cs="Arial"/>
                <w:sz w:val="16"/>
                <w:szCs w:val="16"/>
                <w:lang w:val="fr-FR" w:eastAsia="zh-CN"/>
              </w:rPr>
            </w:pPr>
          </w:p>
        </w:tc>
      </w:tr>
      <w:tr w:rsidR="00802BA9" w:rsidRPr="006B13A4" w14:paraId="582E1A0B" w14:textId="77777777" w:rsidTr="00883224">
        <w:tc>
          <w:tcPr>
            <w:tcW w:w="1220" w:type="pct"/>
            <w:shd w:val="pct5" w:color="auto" w:fill="auto"/>
            <w:vAlign w:val="center"/>
          </w:tcPr>
          <w:p w14:paraId="0F4D516C" w14:textId="77777777" w:rsidR="00802BA9" w:rsidRPr="006B13A4" w:rsidRDefault="00802BA9" w:rsidP="00883224">
            <w:pPr>
              <w:spacing w:after="0" w:line="240" w:lineRule="auto"/>
              <w:rPr>
                <w:rFonts w:eastAsia="SimSun" w:cs="Arial"/>
                <w:bCs/>
                <w:sz w:val="16"/>
                <w:szCs w:val="16"/>
                <w:lang w:val="fr-FR" w:eastAsia="zh-CN"/>
              </w:rPr>
            </w:pPr>
            <w:r w:rsidRPr="006B13A4">
              <w:rPr>
                <w:rFonts w:eastAsia="SimSun" w:cs="Arial"/>
                <w:bCs/>
                <w:sz w:val="16"/>
                <w:szCs w:val="16"/>
                <w:lang w:val="fr-FR" w:eastAsia="zh-CN"/>
              </w:rPr>
              <w:t>Pêche</w:t>
            </w:r>
          </w:p>
        </w:tc>
        <w:tc>
          <w:tcPr>
            <w:tcW w:w="222" w:type="pct"/>
            <w:shd w:val="thinDiagStripe" w:color="auto" w:fill="auto"/>
          </w:tcPr>
          <w:p w14:paraId="24394B71"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450FF229"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0FC9ED02"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50961E99"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2A20A841"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41E382D4"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501EE837"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4CBF60B8"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64EE4B68"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24CFC972"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526FED22"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2AE91F93"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tcPr>
          <w:p w14:paraId="4C6D054C"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0D71059C"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43F0F2B6"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0D9BFD12"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344863EC" w14:textId="77777777" w:rsidR="00802BA9" w:rsidRPr="006B13A4" w:rsidRDefault="00802BA9" w:rsidP="00883224">
            <w:pPr>
              <w:spacing w:after="0" w:line="240" w:lineRule="auto"/>
              <w:rPr>
                <w:rFonts w:eastAsia="SimSun" w:cs="Arial"/>
                <w:sz w:val="16"/>
                <w:szCs w:val="16"/>
                <w:lang w:val="fr-FR" w:eastAsia="zh-CN"/>
              </w:rPr>
            </w:pPr>
          </w:p>
        </w:tc>
      </w:tr>
      <w:tr w:rsidR="00802BA9" w:rsidRPr="006B13A4" w14:paraId="6335BB74" w14:textId="77777777" w:rsidTr="00883224">
        <w:tc>
          <w:tcPr>
            <w:tcW w:w="1220" w:type="pct"/>
            <w:shd w:val="pct5" w:color="auto" w:fill="auto"/>
            <w:vAlign w:val="center"/>
          </w:tcPr>
          <w:p w14:paraId="7BA9F282" w14:textId="77777777" w:rsidR="00802BA9" w:rsidRPr="006B13A4" w:rsidRDefault="00802BA9" w:rsidP="00883224">
            <w:pPr>
              <w:spacing w:after="0" w:line="240" w:lineRule="auto"/>
              <w:rPr>
                <w:rFonts w:eastAsia="SimSun" w:cs="Arial"/>
                <w:bCs/>
                <w:sz w:val="16"/>
                <w:szCs w:val="16"/>
                <w:lang w:val="fr-FR" w:eastAsia="zh-CN"/>
              </w:rPr>
            </w:pPr>
            <w:r w:rsidRPr="006B13A4">
              <w:rPr>
                <w:rFonts w:eastAsia="SimSun" w:cs="Arial"/>
                <w:bCs/>
                <w:sz w:val="16"/>
                <w:szCs w:val="16"/>
                <w:lang w:val="fr-FR" w:eastAsia="zh-CN"/>
              </w:rPr>
              <w:t>Foresterie</w:t>
            </w:r>
          </w:p>
        </w:tc>
        <w:tc>
          <w:tcPr>
            <w:tcW w:w="222" w:type="pct"/>
            <w:shd w:val="thinDiagStripe" w:color="auto" w:fill="auto"/>
          </w:tcPr>
          <w:p w14:paraId="41C94F40"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62F224FD"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7E81D679"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560DD49F"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6BA2AA8E"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5A75FEC6"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7BBBCF10"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6F03908C"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tcPr>
          <w:p w14:paraId="76CD2EE3"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388CA730"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06F6A57F"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3F37B06F"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56786E1C"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65251591"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5AB93D02"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0F664DB2"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62BF6294" w14:textId="77777777" w:rsidR="00802BA9" w:rsidRPr="006B13A4" w:rsidRDefault="00802BA9" w:rsidP="00883224">
            <w:pPr>
              <w:spacing w:after="0" w:line="240" w:lineRule="auto"/>
              <w:rPr>
                <w:rFonts w:eastAsia="SimSun" w:cs="Arial"/>
                <w:sz w:val="16"/>
                <w:szCs w:val="16"/>
                <w:lang w:val="fr-FR" w:eastAsia="zh-CN"/>
              </w:rPr>
            </w:pPr>
          </w:p>
        </w:tc>
      </w:tr>
      <w:tr w:rsidR="00802BA9" w:rsidRPr="006B13A4" w14:paraId="265393D7" w14:textId="77777777" w:rsidTr="00883224">
        <w:tc>
          <w:tcPr>
            <w:tcW w:w="1220" w:type="pct"/>
            <w:shd w:val="pct5" w:color="auto" w:fill="auto"/>
            <w:vAlign w:val="center"/>
          </w:tcPr>
          <w:p w14:paraId="1F653C5E" w14:textId="77777777" w:rsidR="00802BA9" w:rsidRPr="006B13A4" w:rsidRDefault="00802BA9" w:rsidP="00883224">
            <w:pPr>
              <w:spacing w:after="0" w:line="240" w:lineRule="auto"/>
              <w:rPr>
                <w:rFonts w:eastAsia="SimSun" w:cs="Arial"/>
                <w:bCs/>
                <w:sz w:val="16"/>
                <w:szCs w:val="16"/>
                <w:lang w:val="fr-FR" w:eastAsia="zh-CN"/>
              </w:rPr>
            </w:pPr>
            <w:r w:rsidRPr="006B13A4">
              <w:rPr>
                <w:rFonts w:eastAsia="SimSun" w:cs="Arial"/>
                <w:bCs/>
                <w:sz w:val="16"/>
                <w:szCs w:val="16"/>
                <w:lang w:val="fr-FR" w:eastAsia="zh-CN"/>
              </w:rPr>
              <w:t>Industrie</w:t>
            </w:r>
          </w:p>
        </w:tc>
        <w:tc>
          <w:tcPr>
            <w:tcW w:w="222" w:type="pct"/>
            <w:shd w:val="thinDiagStripe" w:color="auto" w:fill="auto"/>
          </w:tcPr>
          <w:p w14:paraId="09C992DB"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15139196"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2AC4D98C"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tcPr>
          <w:p w14:paraId="5CDA9039"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47DBB5AB"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52D54E97"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5C34DF27"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7361D560"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0B43A788"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3D7ED65C"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45F26BFA"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00252686"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2C4387D8"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35BF46E8"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tcPr>
          <w:p w14:paraId="0610078E"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2FFE7AD3"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50BAB8E2" w14:textId="77777777" w:rsidR="00802BA9" w:rsidRPr="006B13A4" w:rsidRDefault="00802BA9" w:rsidP="00883224">
            <w:pPr>
              <w:spacing w:after="0" w:line="240" w:lineRule="auto"/>
              <w:rPr>
                <w:rFonts w:eastAsia="SimSun" w:cs="Arial"/>
                <w:sz w:val="16"/>
                <w:szCs w:val="16"/>
                <w:lang w:val="fr-FR" w:eastAsia="zh-CN"/>
              </w:rPr>
            </w:pPr>
          </w:p>
        </w:tc>
      </w:tr>
      <w:tr w:rsidR="00802BA9" w:rsidRPr="006B13A4" w14:paraId="24E33639" w14:textId="77777777" w:rsidTr="00883224">
        <w:tc>
          <w:tcPr>
            <w:tcW w:w="1220" w:type="pct"/>
            <w:shd w:val="pct5" w:color="auto" w:fill="auto"/>
            <w:vAlign w:val="center"/>
          </w:tcPr>
          <w:p w14:paraId="6F5B5B7F" w14:textId="77777777" w:rsidR="00802BA9" w:rsidRPr="006B13A4" w:rsidRDefault="00802BA9" w:rsidP="00883224">
            <w:pPr>
              <w:spacing w:after="0" w:line="240" w:lineRule="auto"/>
              <w:rPr>
                <w:rFonts w:eastAsia="SimSun" w:cs="Arial"/>
                <w:bCs/>
                <w:sz w:val="16"/>
                <w:szCs w:val="16"/>
                <w:lang w:val="fr-FR" w:eastAsia="zh-CN"/>
              </w:rPr>
            </w:pPr>
            <w:r w:rsidRPr="006B13A4">
              <w:rPr>
                <w:rFonts w:eastAsia="SimSun" w:cs="Arial"/>
                <w:bCs/>
                <w:sz w:val="16"/>
                <w:szCs w:val="16"/>
                <w:lang w:val="fr-FR" w:eastAsia="zh-CN"/>
              </w:rPr>
              <w:t>Exploitation minière</w:t>
            </w:r>
            <w:r>
              <w:rPr>
                <w:rFonts w:eastAsia="SimSun" w:cs="Arial"/>
                <w:bCs/>
                <w:sz w:val="16"/>
                <w:szCs w:val="16"/>
                <w:lang w:val="fr-FR" w:eastAsia="zh-CN"/>
              </w:rPr>
              <w:t xml:space="preserve"> industrielle</w:t>
            </w:r>
          </w:p>
        </w:tc>
        <w:tc>
          <w:tcPr>
            <w:tcW w:w="222" w:type="pct"/>
            <w:shd w:val="thinDiagStripe" w:color="auto" w:fill="auto"/>
          </w:tcPr>
          <w:p w14:paraId="1ED2006A"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tcPr>
          <w:p w14:paraId="79669DEC"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70C56882"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60473424"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tcPr>
          <w:p w14:paraId="26A83F18"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1F89326B"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6D5FFD46"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16844E6F"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6CC1B04B"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5D952162"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3D2E9B6C"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400D4A83"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58F059FB"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17B8DC96"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29F31746"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6DD0956B"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76012487" w14:textId="77777777" w:rsidR="00802BA9" w:rsidRPr="006B13A4" w:rsidRDefault="00802BA9" w:rsidP="00883224">
            <w:pPr>
              <w:spacing w:after="0" w:line="240" w:lineRule="auto"/>
              <w:rPr>
                <w:rFonts w:eastAsia="SimSun" w:cs="Arial"/>
                <w:sz w:val="16"/>
                <w:szCs w:val="16"/>
                <w:lang w:val="fr-FR" w:eastAsia="zh-CN"/>
              </w:rPr>
            </w:pPr>
          </w:p>
        </w:tc>
      </w:tr>
      <w:tr w:rsidR="00802BA9" w:rsidRPr="001D5458" w14:paraId="73A38E95" w14:textId="77777777" w:rsidTr="00883224">
        <w:tc>
          <w:tcPr>
            <w:tcW w:w="1220" w:type="pct"/>
            <w:shd w:val="pct5" w:color="auto" w:fill="auto"/>
            <w:vAlign w:val="center"/>
          </w:tcPr>
          <w:p w14:paraId="3BA3E0D4" w14:textId="77777777" w:rsidR="00802BA9" w:rsidRPr="001D5458" w:rsidRDefault="00802BA9" w:rsidP="00883224">
            <w:pPr>
              <w:spacing w:after="0" w:line="240" w:lineRule="auto"/>
              <w:rPr>
                <w:rFonts w:eastAsia="SimSun" w:cs="Arial"/>
                <w:bCs/>
                <w:sz w:val="16"/>
                <w:szCs w:val="16"/>
                <w:lang w:val="fr-FR" w:eastAsia="zh-CN"/>
              </w:rPr>
            </w:pPr>
            <w:r w:rsidRPr="001D5458">
              <w:rPr>
                <w:rFonts w:eastAsia="SimSun" w:cs="Arial"/>
                <w:bCs/>
                <w:sz w:val="16"/>
                <w:szCs w:val="16"/>
                <w:lang w:val="fr-FR" w:eastAsia="zh-CN"/>
              </w:rPr>
              <w:t>Orpaillage</w:t>
            </w:r>
          </w:p>
        </w:tc>
        <w:tc>
          <w:tcPr>
            <w:tcW w:w="222" w:type="pct"/>
            <w:shd w:val="thinDiagStripe" w:color="auto" w:fill="auto"/>
          </w:tcPr>
          <w:p w14:paraId="18F500BB" w14:textId="77777777" w:rsidR="00802BA9" w:rsidRPr="001D5458"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0A29C600" w14:textId="77777777" w:rsidR="00802BA9" w:rsidRPr="001D5458"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7F9DAD16" w14:textId="77777777" w:rsidR="00802BA9" w:rsidRPr="001D5458"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5F0622F2" w14:textId="77777777" w:rsidR="00802BA9" w:rsidRPr="001D5458"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tcPr>
          <w:p w14:paraId="097784CB" w14:textId="77777777" w:rsidR="00802BA9" w:rsidRPr="001D5458" w:rsidRDefault="00802BA9" w:rsidP="00883224">
            <w:pPr>
              <w:spacing w:after="0" w:line="240" w:lineRule="auto"/>
              <w:rPr>
                <w:rFonts w:eastAsia="SimSun" w:cs="Arial"/>
                <w:sz w:val="16"/>
                <w:szCs w:val="16"/>
                <w:lang w:val="fr-FR" w:eastAsia="zh-CN"/>
              </w:rPr>
            </w:pPr>
          </w:p>
        </w:tc>
        <w:tc>
          <w:tcPr>
            <w:tcW w:w="222" w:type="pct"/>
          </w:tcPr>
          <w:p w14:paraId="492E2248" w14:textId="77777777" w:rsidR="00802BA9" w:rsidRPr="001D5458" w:rsidRDefault="00802BA9" w:rsidP="00883224">
            <w:pPr>
              <w:spacing w:after="0" w:line="240" w:lineRule="auto"/>
              <w:rPr>
                <w:rFonts w:eastAsia="SimSun" w:cs="Arial"/>
                <w:sz w:val="16"/>
                <w:szCs w:val="16"/>
                <w:lang w:val="fr-FR" w:eastAsia="zh-CN"/>
              </w:rPr>
            </w:pPr>
          </w:p>
        </w:tc>
        <w:tc>
          <w:tcPr>
            <w:tcW w:w="222" w:type="pct"/>
          </w:tcPr>
          <w:p w14:paraId="09E60963" w14:textId="77777777" w:rsidR="00802BA9" w:rsidRPr="001D5458"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5902DDA6" w14:textId="77777777" w:rsidR="00802BA9" w:rsidRPr="001D5458"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5DFE1C78" w14:textId="77777777" w:rsidR="00802BA9" w:rsidRPr="001D5458"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78970866" w14:textId="77777777" w:rsidR="00802BA9" w:rsidRPr="001D5458"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552A24F8" w14:textId="77777777" w:rsidR="00802BA9" w:rsidRPr="001D5458"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4CD917EF" w14:textId="77777777" w:rsidR="00802BA9" w:rsidRPr="001D5458"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3F77FD7F" w14:textId="77777777" w:rsidR="00802BA9" w:rsidRPr="001D5458"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7944CA86" w14:textId="77777777" w:rsidR="00802BA9" w:rsidRPr="001D5458"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5F1A6B44" w14:textId="77777777" w:rsidR="00802BA9" w:rsidRPr="001D5458" w:rsidRDefault="00802BA9" w:rsidP="00883224">
            <w:pPr>
              <w:spacing w:after="0" w:line="240" w:lineRule="auto"/>
              <w:rPr>
                <w:rFonts w:eastAsia="SimSun" w:cs="Arial"/>
                <w:sz w:val="16"/>
                <w:szCs w:val="16"/>
                <w:lang w:val="fr-FR" w:eastAsia="zh-CN"/>
              </w:rPr>
            </w:pPr>
          </w:p>
        </w:tc>
        <w:tc>
          <w:tcPr>
            <w:tcW w:w="222" w:type="pct"/>
          </w:tcPr>
          <w:p w14:paraId="139201D2" w14:textId="77777777" w:rsidR="00802BA9" w:rsidRPr="001D5458"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635CA144" w14:textId="77777777" w:rsidR="00802BA9" w:rsidRPr="001D5458" w:rsidRDefault="00802BA9" w:rsidP="00883224">
            <w:pPr>
              <w:spacing w:after="0" w:line="240" w:lineRule="auto"/>
              <w:rPr>
                <w:rFonts w:eastAsia="SimSun" w:cs="Arial"/>
                <w:sz w:val="16"/>
                <w:szCs w:val="16"/>
                <w:lang w:val="fr-FR" w:eastAsia="zh-CN"/>
              </w:rPr>
            </w:pPr>
          </w:p>
        </w:tc>
      </w:tr>
      <w:tr w:rsidR="00802BA9" w:rsidRPr="006B13A4" w14:paraId="7CAE942C" w14:textId="77777777" w:rsidTr="00883224">
        <w:tc>
          <w:tcPr>
            <w:tcW w:w="1220" w:type="pct"/>
            <w:shd w:val="pct5" w:color="auto" w:fill="auto"/>
            <w:vAlign w:val="center"/>
          </w:tcPr>
          <w:p w14:paraId="64A1E502" w14:textId="77777777" w:rsidR="00802BA9" w:rsidRPr="006B13A4" w:rsidRDefault="00802BA9" w:rsidP="00883224">
            <w:pPr>
              <w:spacing w:after="0" w:line="240" w:lineRule="auto"/>
              <w:rPr>
                <w:rFonts w:eastAsia="SimSun" w:cs="Arial"/>
                <w:bCs/>
                <w:sz w:val="16"/>
                <w:szCs w:val="16"/>
                <w:lang w:val="fr-FR" w:eastAsia="zh-CN"/>
              </w:rPr>
            </w:pPr>
            <w:r w:rsidRPr="006B13A4">
              <w:rPr>
                <w:rFonts w:eastAsia="SimSun" w:cs="Arial"/>
                <w:bCs/>
                <w:sz w:val="16"/>
                <w:szCs w:val="16"/>
                <w:lang w:val="fr-FR" w:eastAsia="zh-CN"/>
              </w:rPr>
              <w:t>Energie</w:t>
            </w:r>
          </w:p>
        </w:tc>
        <w:tc>
          <w:tcPr>
            <w:tcW w:w="222" w:type="pct"/>
            <w:shd w:val="thinDiagStripe" w:color="auto" w:fill="auto"/>
          </w:tcPr>
          <w:p w14:paraId="31DB79BC"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4BD9EC60"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024DF8DE"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045115E6"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35C1C358"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656FC692"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0C21C820"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07073B7C"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3B81BEF1"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7B86F48C"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03608644"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290B854B"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3A0556A1"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79D923CB"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tcPr>
          <w:p w14:paraId="1A3F23A0"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tcPr>
          <w:p w14:paraId="034674CA"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40FB1DAF" w14:textId="77777777" w:rsidR="00802BA9" w:rsidRPr="006B13A4" w:rsidRDefault="00802BA9" w:rsidP="00883224">
            <w:pPr>
              <w:spacing w:after="0" w:line="240" w:lineRule="auto"/>
              <w:rPr>
                <w:rFonts w:eastAsia="SimSun" w:cs="Arial"/>
                <w:sz w:val="16"/>
                <w:szCs w:val="16"/>
                <w:lang w:val="fr-FR" w:eastAsia="zh-CN"/>
              </w:rPr>
            </w:pPr>
          </w:p>
        </w:tc>
      </w:tr>
      <w:tr w:rsidR="00802BA9" w:rsidRPr="006B13A4" w14:paraId="4A84C7AF" w14:textId="77777777" w:rsidTr="00883224">
        <w:tc>
          <w:tcPr>
            <w:tcW w:w="1220" w:type="pct"/>
            <w:shd w:val="pct5" w:color="auto" w:fill="auto"/>
            <w:vAlign w:val="center"/>
          </w:tcPr>
          <w:p w14:paraId="50774568" w14:textId="77777777" w:rsidR="00802BA9" w:rsidRPr="006B13A4" w:rsidRDefault="00802BA9" w:rsidP="00883224">
            <w:pPr>
              <w:spacing w:after="0" w:line="240" w:lineRule="auto"/>
              <w:rPr>
                <w:rFonts w:eastAsia="SimSun" w:cs="Arial"/>
                <w:bCs/>
                <w:sz w:val="16"/>
                <w:szCs w:val="16"/>
                <w:lang w:val="fr-FR" w:eastAsia="zh-CN"/>
              </w:rPr>
            </w:pPr>
            <w:r w:rsidRPr="006B13A4">
              <w:rPr>
                <w:rFonts w:eastAsia="SimSun" w:cs="Arial"/>
                <w:bCs/>
                <w:sz w:val="16"/>
                <w:szCs w:val="16"/>
                <w:lang w:val="fr-FR" w:eastAsia="zh-CN"/>
              </w:rPr>
              <w:t>Tourisme</w:t>
            </w:r>
          </w:p>
        </w:tc>
        <w:tc>
          <w:tcPr>
            <w:tcW w:w="222" w:type="pct"/>
            <w:shd w:val="thinDiagStripe" w:color="auto" w:fill="auto"/>
          </w:tcPr>
          <w:p w14:paraId="0AAE9681"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66D07FAB"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67BEB4C9"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1A2A71EB"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6960F140"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47141CE2"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69A4F4DF"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785308FE"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248CED63"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4D7BC535"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20495EB8"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39C371DD"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19F40DE5"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42C5BF2A"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37439835"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3732FCF3"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3A1ECBFF" w14:textId="77777777" w:rsidR="00802BA9" w:rsidRPr="006B13A4" w:rsidRDefault="00802BA9" w:rsidP="00883224">
            <w:pPr>
              <w:spacing w:after="0" w:line="240" w:lineRule="auto"/>
              <w:rPr>
                <w:rFonts w:eastAsia="SimSun" w:cs="Arial"/>
                <w:sz w:val="16"/>
                <w:szCs w:val="16"/>
                <w:lang w:val="fr-FR" w:eastAsia="zh-CN"/>
              </w:rPr>
            </w:pPr>
          </w:p>
        </w:tc>
      </w:tr>
      <w:tr w:rsidR="00802BA9" w:rsidRPr="006B13A4" w14:paraId="44A6D649" w14:textId="77777777" w:rsidTr="00883224">
        <w:tc>
          <w:tcPr>
            <w:tcW w:w="1220" w:type="pct"/>
            <w:shd w:val="pct5" w:color="auto" w:fill="auto"/>
            <w:vAlign w:val="center"/>
          </w:tcPr>
          <w:p w14:paraId="62ED5A71" w14:textId="77777777" w:rsidR="00802BA9" w:rsidRPr="006B13A4" w:rsidRDefault="00802BA9" w:rsidP="00883224">
            <w:pPr>
              <w:spacing w:after="0" w:line="240" w:lineRule="auto"/>
              <w:rPr>
                <w:rFonts w:eastAsia="SimSun" w:cs="Arial"/>
                <w:bCs/>
                <w:sz w:val="16"/>
                <w:szCs w:val="16"/>
                <w:lang w:val="fr-FR" w:eastAsia="zh-CN"/>
              </w:rPr>
            </w:pPr>
            <w:r w:rsidRPr="006B13A4">
              <w:rPr>
                <w:rFonts w:eastAsia="SimSun" w:cs="Arial"/>
                <w:bCs/>
                <w:sz w:val="16"/>
                <w:szCs w:val="16"/>
                <w:lang w:val="fr-FR" w:eastAsia="zh-CN"/>
              </w:rPr>
              <w:t>Commerce</w:t>
            </w:r>
          </w:p>
        </w:tc>
        <w:tc>
          <w:tcPr>
            <w:tcW w:w="222" w:type="pct"/>
            <w:shd w:val="thinDiagStripe" w:color="auto" w:fill="auto"/>
          </w:tcPr>
          <w:p w14:paraId="46B38109"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6F6A03E5"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512448EC"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780E72C0"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5D553AF7"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29C40274"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5F9EE51F"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6DC8ACF4"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469FEC8C"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0042A3E2"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tcPr>
          <w:p w14:paraId="1795D398"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69E3346D"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tcPr>
          <w:p w14:paraId="4C5F295F"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79C30384"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496ACF45"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219E6EB3"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56097A54" w14:textId="77777777" w:rsidR="00802BA9" w:rsidRPr="006B13A4" w:rsidRDefault="00802BA9" w:rsidP="00883224">
            <w:pPr>
              <w:spacing w:after="0" w:line="240" w:lineRule="auto"/>
              <w:rPr>
                <w:rFonts w:eastAsia="SimSun" w:cs="Arial"/>
                <w:sz w:val="16"/>
                <w:szCs w:val="16"/>
                <w:lang w:val="fr-FR" w:eastAsia="zh-CN"/>
              </w:rPr>
            </w:pPr>
          </w:p>
        </w:tc>
      </w:tr>
      <w:tr w:rsidR="00802BA9" w:rsidRPr="006B13A4" w14:paraId="43DAB508" w14:textId="77777777" w:rsidTr="00883224">
        <w:tc>
          <w:tcPr>
            <w:tcW w:w="1220" w:type="pct"/>
            <w:shd w:val="pct5" w:color="auto" w:fill="auto"/>
            <w:vAlign w:val="center"/>
          </w:tcPr>
          <w:p w14:paraId="4F778C54" w14:textId="77777777" w:rsidR="00802BA9" w:rsidRPr="006B13A4" w:rsidRDefault="00802BA9" w:rsidP="00883224">
            <w:pPr>
              <w:spacing w:after="0" w:line="240" w:lineRule="auto"/>
              <w:rPr>
                <w:rFonts w:eastAsia="SimSun" w:cs="Arial"/>
                <w:bCs/>
                <w:sz w:val="16"/>
                <w:szCs w:val="16"/>
                <w:lang w:val="fr-FR" w:eastAsia="zh-CN"/>
              </w:rPr>
            </w:pPr>
            <w:r w:rsidRPr="006B13A4">
              <w:rPr>
                <w:rFonts w:eastAsia="SimSun" w:cs="Arial"/>
                <w:bCs/>
                <w:sz w:val="16"/>
                <w:szCs w:val="16"/>
                <w:lang w:val="fr-FR" w:eastAsia="zh-CN"/>
              </w:rPr>
              <w:t>Education</w:t>
            </w:r>
          </w:p>
        </w:tc>
        <w:tc>
          <w:tcPr>
            <w:tcW w:w="222" w:type="pct"/>
            <w:shd w:val="thinDiagStripe" w:color="auto" w:fill="auto"/>
          </w:tcPr>
          <w:p w14:paraId="384F5C3E"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57927550"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28AB6025"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51943C5D"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3EDC9C38"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3061E16B"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36118DE1"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5A7CB991"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7DE7DECA"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435AF9E6"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1431B29E"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519E0481"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361FB00A"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78B14E0A"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450BD0BD"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7153CD48"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36F72F34" w14:textId="77777777" w:rsidR="00802BA9" w:rsidRPr="006B13A4" w:rsidRDefault="00802BA9" w:rsidP="00883224">
            <w:pPr>
              <w:spacing w:after="0" w:line="240" w:lineRule="auto"/>
              <w:rPr>
                <w:rFonts w:eastAsia="SimSun" w:cs="Arial"/>
                <w:sz w:val="16"/>
                <w:szCs w:val="16"/>
                <w:lang w:val="fr-FR" w:eastAsia="zh-CN"/>
              </w:rPr>
            </w:pPr>
          </w:p>
        </w:tc>
      </w:tr>
      <w:tr w:rsidR="00802BA9" w:rsidRPr="006B13A4" w14:paraId="0BF53EF5" w14:textId="77777777" w:rsidTr="00883224">
        <w:tc>
          <w:tcPr>
            <w:tcW w:w="1220" w:type="pct"/>
            <w:shd w:val="pct5" w:color="auto" w:fill="auto"/>
            <w:vAlign w:val="center"/>
          </w:tcPr>
          <w:p w14:paraId="385FD743" w14:textId="77777777" w:rsidR="00802BA9" w:rsidRPr="006B13A4" w:rsidRDefault="00802BA9" w:rsidP="00883224">
            <w:pPr>
              <w:spacing w:after="0" w:line="240" w:lineRule="auto"/>
              <w:rPr>
                <w:rFonts w:eastAsia="SimSun" w:cs="Arial"/>
                <w:bCs/>
                <w:sz w:val="16"/>
                <w:szCs w:val="16"/>
                <w:lang w:val="fr-FR" w:eastAsia="zh-CN"/>
              </w:rPr>
            </w:pPr>
            <w:r w:rsidRPr="006B13A4">
              <w:rPr>
                <w:rFonts w:eastAsia="SimSun" w:cs="Arial"/>
                <w:bCs/>
                <w:sz w:val="16"/>
                <w:szCs w:val="16"/>
                <w:lang w:val="fr-FR" w:eastAsia="zh-CN"/>
              </w:rPr>
              <w:t>Santé</w:t>
            </w:r>
          </w:p>
        </w:tc>
        <w:tc>
          <w:tcPr>
            <w:tcW w:w="222" w:type="pct"/>
            <w:shd w:val="thinDiagStripe" w:color="auto" w:fill="auto"/>
          </w:tcPr>
          <w:p w14:paraId="4FD1F9A2"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4562A2F4"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74124214"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7B7DF87E"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2AB2E419"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2BE56355"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1A207BF6"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6B405C2A"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1F1CA242"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28898024"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3E05A777"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79F65785"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7A887A9B"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60D47EB9"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530E6722"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tcPr>
          <w:p w14:paraId="6A975AB7"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4B8016BD" w14:textId="77777777" w:rsidR="00802BA9" w:rsidRPr="006B13A4" w:rsidRDefault="00802BA9" w:rsidP="00883224">
            <w:pPr>
              <w:spacing w:after="0" w:line="240" w:lineRule="auto"/>
              <w:rPr>
                <w:rFonts w:eastAsia="SimSun" w:cs="Arial"/>
                <w:sz w:val="16"/>
                <w:szCs w:val="16"/>
                <w:lang w:val="fr-FR" w:eastAsia="zh-CN"/>
              </w:rPr>
            </w:pPr>
          </w:p>
        </w:tc>
      </w:tr>
      <w:tr w:rsidR="00802BA9" w:rsidRPr="006B13A4" w14:paraId="7DC75D9E" w14:textId="77777777" w:rsidTr="00883224">
        <w:tc>
          <w:tcPr>
            <w:tcW w:w="1220" w:type="pct"/>
            <w:shd w:val="pct5" w:color="auto" w:fill="auto"/>
            <w:vAlign w:val="center"/>
          </w:tcPr>
          <w:p w14:paraId="5A7CFEDD" w14:textId="77777777" w:rsidR="00802BA9" w:rsidRPr="006B13A4" w:rsidRDefault="00802BA9" w:rsidP="00883224">
            <w:pPr>
              <w:spacing w:after="0" w:line="240" w:lineRule="auto"/>
              <w:rPr>
                <w:rFonts w:eastAsia="SimSun" w:cs="Arial"/>
                <w:bCs/>
                <w:sz w:val="16"/>
                <w:szCs w:val="16"/>
                <w:lang w:val="fr-FR" w:eastAsia="zh-CN"/>
              </w:rPr>
            </w:pPr>
            <w:r w:rsidRPr="006B13A4">
              <w:rPr>
                <w:rFonts w:eastAsia="SimSun" w:cs="Arial"/>
                <w:bCs/>
                <w:sz w:val="16"/>
                <w:szCs w:val="16"/>
                <w:lang w:val="fr-FR" w:eastAsia="zh-CN"/>
              </w:rPr>
              <w:t>Eau &amp; Assainissement</w:t>
            </w:r>
          </w:p>
        </w:tc>
        <w:tc>
          <w:tcPr>
            <w:tcW w:w="222" w:type="pct"/>
            <w:shd w:val="thinDiagStripe" w:color="auto" w:fill="auto"/>
          </w:tcPr>
          <w:p w14:paraId="084A5787"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270C9775"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291B2CEF" w14:textId="77777777" w:rsidR="00802BA9" w:rsidRPr="006B13A4" w:rsidRDefault="00802BA9" w:rsidP="00883224">
            <w:pPr>
              <w:spacing w:after="0" w:line="240" w:lineRule="auto"/>
              <w:rPr>
                <w:rFonts w:eastAsia="SimSun" w:cs="Arial"/>
                <w:sz w:val="16"/>
                <w:szCs w:val="16"/>
                <w:lang w:val="fr-FR" w:eastAsia="zh-CN"/>
              </w:rPr>
            </w:pPr>
          </w:p>
        </w:tc>
        <w:tc>
          <w:tcPr>
            <w:tcW w:w="222" w:type="pct"/>
          </w:tcPr>
          <w:p w14:paraId="1297A6F7"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5EED18E9"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48E191EA"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10A78DBC"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06F522F7"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054B2404"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2EB16F77"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680E030B"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7C979C87"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tcPr>
          <w:p w14:paraId="5F5CD795"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07C768BE"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tcPr>
          <w:p w14:paraId="0809ECEF"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7FD3513B"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68E03E6A" w14:textId="77777777" w:rsidR="00802BA9" w:rsidRPr="006B13A4" w:rsidRDefault="00802BA9" w:rsidP="00883224">
            <w:pPr>
              <w:spacing w:after="0" w:line="240" w:lineRule="auto"/>
              <w:rPr>
                <w:rFonts w:eastAsia="SimSun" w:cs="Arial"/>
                <w:sz w:val="16"/>
                <w:szCs w:val="16"/>
                <w:lang w:val="fr-FR" w:eastAsia="zh-CN"/>
              </w:rPr>
            </w:pPr>
          </w:p>
        </w:tc>
      </w:tr>
      <w:tr w:rsidR="00802BA9" w:rsidRPr="006B13A4" w14:paraId="56EE74F2" w14:textId="77777777" w:rsidTr="00883224">
        <w:tc>
          <w:tcPr>
            <w:tcW w:w="1220" w:type="pct"/>
            <w:shd w:val="pct5" w:color="auto" w:fill="auto"/>
            <w:vAlign w:val="center"/>
          </w:tcPr>
          <w:p w14:paraId="645F72ED" w14:textId="77777777" w:rsidR="00802BA9" w:rsidRPr="006B13A4" w:rsidRDefault="00802BA9" w:rsidP="00883224">
            <w:pPr>
              <w:spacing w:after="0" w:line="240" w:lineRule="auto"/>
              <w:rPr>
                <w:rFonts w:eastAsia="SimSun" w:cs="Arial"/>
                <w:bCs/>
                <w:sz w:val="16"/>
                <w:szCs w:val="16"/>
                <w:lang w:val="fr-FR" w:eastAsia="zh-CN"/>
              </w:rPr>
            </w:pPr>
            <w:r w:rsidRPr="006B13A4">
              <w:rPr>
                <w:rFonts w:eastAsia="SimSun" w:cs="Arial"/>
                <w:bCs/>
                <w:sz w:val="16"/>
                <w:szCs w:val="16"/>
                <w:lang w:val="fr-FR" w:eastAsia="zh-CN"/>
              </w:rPr>
              <w:t>Justice Loi et Réglementation</w:t>
            </w:r>
          </w:p>
        </w:tc>
        <w:tc>
          <w:tcPr>
            <w:tcW w:w="222" w:type="pct"/>
            <w:shd w:val="thinDiagStripe" w:color="auto" w:fill="auto"/>
          </w:tcPr>
          <w:p w14:paraId="3CC8EA1B"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02C9D8E4"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14925675"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4D0B7FC0"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4D30D0E6"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64CAF3D3"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58F8D18C"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5C8BD747"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7BCE9C73"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tcPr>
          <w:p w14:paraId="4054E9EE"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149F1692"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3631A0FA"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28F96AAB"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037DDF6B"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0EF0AF51"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428266AE"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1FA9FA27" w14:textId="77777777" w:rsidR="00802BA9" w:rsidRPr="006B13A4" w:rsidRDefault="00802BA9" w:rsidP="00883224">
            <w:pPr>
              <w:spacing w:after="0" w:line="240" w:lineRule="auto"/>
              <w:rPr>
                <w:rFonts w:eastAsia="SimSun" w:cs="Arial"/>
                <w:sz w:val="16"/>
                <w:szCs w:val="16"/>
                <w:lang w:val="fr-FR" w:eastAsia="zh-CN"/>
              </w:rPr>
            </w:pPr>
          </w:p>
        </w:tc>
      </w:tr>
      <w:tr w:rsidR="00802BA9" w:rsidRPr="006B13A4" w14:paraId="5ABB55F6" w14:textId="77777777" w:rsidTr="00883224">
        <w:tc>
          <w:tcPr>
            <w:tcW w:w="1220" w:type="pct"/>
            <w:shd w:val="pct5" w:color="auto" w:fill="auto"/>
            <w:vAlign w:val="center"/>
          </w:tcPr>
          <w:p w14:paraId="15094C65" w14:textId="77777777" w:rsidR="00802BA9" w:rsidRPr="006B13A4" w:rsidRDefault="00802BA9" w:rsidP="00883224">
            <w:pPr>
              <w:spacing w:after="0" w:line="240" w:lineRule="auto"/>
              <w:rPr>
                <w:rFonts w:eastAsia="SimSun" w:cs="Arial"/>
                <w:bCs/>
                <w:sz w:val="16"/>
                <w:szCs w:val="16"/>
                <w:lang w:val="fr-FR" w:eastAsia="zh-CN"/>
              </w:rPr>
            </w:pPr>
            <w:r w:rsidRPr="006B13A4">
              <w:rPr>
                <w:rFonts w:eastAsia="SimSun" w:cs="Arial"/>
                <w:bCs/>
                <w:sz w:val="16"/>
                <w:szCs w:val="16"/>
                <w:lang w:val="fr-FR" w:eastAsia="zh-CN"/>
              </w:rPr>
              <w:t>Bilan de payement</w:t>
            </w:r>
          </w:p>
        </w:tc>
        <w:tc>
          <w:tcPr>
            <w:tcW w:w="222" w:type="pct"/>
            <w:shd w:val="thinDiagStripe" w:color="auto" w:fill="auto"/>
          </w:tcPr>
          <w:p w14:paraId="20C4886C"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2EB266E2"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0D21C92A"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642F1AA9"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7E1EAD64"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79EEDA06"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5B2F0C64"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36FB4E0B"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61EDBD2F"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787F8EF6"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509C59DE"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19308613"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75943402"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519C17E7"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6C4DD766"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014D6622"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1153E66B" w14:textId="77777777" w:rsidR="00802BA9" w:rsidRPr="006B13A4" w:rsidRDefault="00802BA9" w:rsidP="00883224">
            <w:pPr>
              <w:spacing w:after="0" w:line="240" w:lineRule="auto"/>
              <w:rPr>
                <w:rFonts w:eastAsia="SimSun" w:cs="Arial"/>
                <w:sz w:val="16"/>
                <w:szCs w:val="16"/>
                <w:lang w:val="fr-FR" w:eastAsia="zh-CN"/>
              </w:rPr>
            </w:pPr>
          </w:p>
        </w:tc>
      </w:tr>
      <w:tr w:rsidR="00802BA9" w:rsidRPr="006B13A4" w14:paraId="23A87B73" w14:textId="77777777" w:rsidTr="00883224">
        <w:tc>
          <w:tcPr>
            <w:tcW w:w="1220" w:type="pct"/>
            <w:shd w:val="pct5" w:color="auto" w:fill="auto"/>
            <w:vAlign w:val="center"/>
          </w:tcPr>
          <w:p w14:paraId="5FDDA175" w14:textId="77777777" w:rsidR="00802BA9" w:rsidRPr="006B13A4" w:rsidRDefault="00802BA9" w:rsidP="00883224">
            <w:pPr>
              <w:spacing w:after="0" w:line="240" w:lineRule="auto"/>
              <w:rPr>
                <w:rFonts w:eastAsia="SimSun" w:cs="Arial"/>
                <w:bCs/>
                <w:sz w:val="16"/>
                <w:szCs w:val="16"/>
                <w:lang w:val="fr-FR" w:eastAsia="zh-CN"/>
              </w:rPr>
            </w:pPr>
            <w:r w:rsidRPr="006B13A4">
              <w:rPr>
                <w:rFonts w:eastAsia="SimSun" w:cs="Arial"/>
                <w:bCs/>
                <w:sz w:val="16"/>
                <w:szCs w:val="16"/>
                <w:lang w:val="fr-FR" w:eastAsia="zh-CN"/>
              </w:rPr>
              <w:t>Décentralisation</w:t>
            </w:r>
          </w:p>
        </w:tc>
        <w:tc>
          <w:tcPr>
            <w:tcW w:w="222" w:type="pct"/>
            <w:shd w:val="thinDiagStripe" w:color="auto" w:fill="auto"/>
          </w:tcPr>
          <w:p w14:paraId="5487FAFE"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7FB4B4EA"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528D829F"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19D8F34B"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32FA3C72"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44ED9DBB"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6AC8F13D"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39DB96FD"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383C3C0E"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79D8BE3F" w14:textId="77777777" w:rsidR="00802BA9" w:rsidRPr="006B13A4" w:rsidRDefault="00802BA9" w:rsidP="00883224">
            <w:pPr>
              <w:spacing w:after="0" w:line="240" w:lineRule="auto"/>
              <w:rPr>
                <w:rFonts w:eastAsia="SimSun" w:cs="Arial"/>
                <w:sz w:val="16"/>
                <w:szCs w:val="16"/>
                <w:lang w:val="fr-FR" w:eastAsia="zh-CN"/>
              </w:rPr>
            </w:pPr>
          </w:p>
        </w:tc>
        <w:tc>
          <w:tcPr>
            <w:tcW w:w="222" w:type="pct"/>
            <w:tcBorders>
              <w:bottom w:val="single" w:sz="4" w:space="0" w:color="auto"/>
            </w:tcBorders>
            <w:shd w:val="thinDiagStripe" w:color="auto" w:fill="auto"/>
          </w:tcPr>
          <w:p w14:paraId="0B077CF0"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3950B504"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683D2C46"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0DD860C2"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4104B876"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6D25535E"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4BFC2872" w14:textId="77777777" w:rsidR="00802BA9" w:rsidRPr="006B13A4" w:rsidRDefault="00802BA9" w:rsidP="00883224">
            <w:pPr>
              <w:spacing w:after="0" w:line="240" w:lineRule="auto"/>
              <w:rPr>
                <w:rFonts w:eastAsia="SimSun" w:cs="Arial"/>
                <w:sz w:val="16"/>
                <w:szCs w:val="16"/>
                <w:lang w:val="fr-FR" w:eastAsia="zh-CN"/>
              </w:rPr>
            </w:pPr>
          </w:p>
        </w:tc>
      </w:tr>
      <w:tr w:rsidR="00802BA9" w:rsidRPr="006B13A4" w14:paraId="676CCE8F" w14:textId="77777777" w:rsidTr="00883224">
        <w:tc>
          <w:tcPr>
            <w:tcW w:w="1220" w:type="pct"/>
            <w:shd w:val="pct5" w:color="auto" w:fill="auto"/>
            <w:vAlign w:val="center"/>
          </w:tcPr>
          <w:p w14:paraId="1194C30C" w14:textId="77777777" w:rsidR="00802BA9" w:rsidRPr="006B13A4" w:rsidRDefault="00802BA9" w:rsidP="00883224">
            <w:pPr>
              <w:spacing w:after="0" w:line="240" w:lineRule="auto"/>
              <w:rPr>
                <w:rFonts w:eastAsia="SimSun" w:cs="Arial"/>
                <w:bCs/>
                <w:sz w:val="16"/>
                <w:szCs w:val="16"/>
                <w:lang w:val="fr-FR" w:eastAsia="zh-CN"/>
              </w:rPr>
            </w:pPr>
            <w:r w:rsidRPr="006B13A4">
              <w:rPr>
                <w:rFonts w:eastAsia="SimSun" w:cs="Arial"/>
                <w:bCs/>
                <w:sz w:val="16"/>
                <w:szCs w:val="16"/>
                <w:lang w:val="fr-FR" w:eastAsia="zh-CN"/>
              </w:rPr>
              <w:t>Bonne gouvernance, institutions, droits</w:t>
            </w:r>
          </w:p>
        </w:tc>
        <w:tc>
          <w:tcPr>
            <w:tcW w:w="222" w:type="pct"/>
            <w:shd w:val="thinDiagStripe" w:color="auto" w:fill="auto"/>
          </w:tcPr>
          <w:p w14:paraId="130B55CA"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34E6E33A"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18A7EE6E"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7D72BAF0"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357A863E"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387CD882"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288AC0DB"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6E154BED"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420EB00B"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48847408"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1C642F2D"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4A7283C6"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26362623"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0661D314"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71EB48E1"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6A57DCCB" w14:textId="77777777" w:rsidR="00802BA9" w:rsidRPr="006B13A4" w:rsidRDefault="00802BA9" w:rsidP="00883224">
            <w:pPr>
              <w:spacing w:after="0" w:line="240" w:lineRule="auto"/>
              <w:rPr>
                <w:rFonts w:eastAsia="SimSun" w:cs="Arial"/>
                <w:sz w:val="16"/>
                <w:szCs w:val="16"/>
                <w:lang w:val="fr-FR" w:eastAsia="zh-CN"/>
              </w:rPr>
            </w:pPr>
          </w:p>
        </w:tc>
        <w:tc>
          <w:tcPr>
            <w:tcW w:w="222" w:type="pct"/>
            <w:shd w:val="thinDiagStripe" w:color="auto" w:fill="auto"/>
          </w:tcPr>
          <w:p w14:paraId="47BE37BB" w14:textId="77777777" w:rsidR="00802BA9" w:rsidRPr="006B13A4" w:rsidRDefault="00802BA9" w:rsidP="00883224">
            <w:pPr>
              <w:spacing w:after="0" w:line="240" w:lineRule="auto"/>
              <w:rPr>
                <w:rFonts w:eastAsia="SimSun" w:cs="Arial"/>
                <w:sz w:val="16"/>
                <w:szCs w:val="16"/>
                <w:lang w:val="fr-FR" w:eastAsia="zh-CN"/>
              </w:rPr>
            </w:pPr>
          </w:p>
        </w:tc>
      </w:tr>
    </w:tbl>
    <w:p w14:paraId="543D24AE" w14:textId="77777777" w:rsidR="00802BA9" w:rsidRPr="006B13A4" w:rsidRDefault="00802BA9" w:rsidP="00802BA9">
      <w:pPr>
        <w:spacing w:after="0" w:line="240" w:lineRule="auto"/>
        <w:rPr>
          <w:rFonts w:eastAsia="Times New Roman" w:cs="Arial"/>
          <w:color w:val="000000"/>
          <w:lang w:val="fr-FR"/>
        </w:rPr>
      </w:pPr>
    </w:p>
    <w:p w14:paraId="48B51428" w14:textId="77777777" w:rsidR="00802BA9" w:rsidRPr="00B84254" w:rsidRDefault="00802BA9" w:rsidP="00C518A4">
      <w:pPr>
        <w:spacing w:before="120" w:after="120" w:line="240" w:lineRule="auto"/>
        <w:rPr>
          <w:rFonts w:ascii="Arial" w:eastAsia="Times New Roman" w:hAnsi="Arial" w:cs="Arial"/>
          <w:color w:val="000000"/>
          <w:sz w:val="20"/>
          <w:szCs w:val="20"/>
          <w:lang w:val="fr-FR"/>
        </w:rPr>
      </w:pPr>
      <w:r w:rsidRPr="00B84254">
        <w:rPr>
          <w:rFonts w:ascii="Arial" w:eastAsia="Times New Roman" w:hAnsi="Arial" w:cs="Arial"/>
          <w:color w:val="000000"/>
          <w:sz w:val="20"/>
          <w:szCs w:val="20"/>
          <w:lang w:val="fr-FR"/>
        </w:rPr>
        <w:t>La matrice montre clairement la dépendance entre les enjeux environnementaux et presque tous les secteurs économiques et sociaux du pays. La gestion de l’environnement du Mali connait plusieurs contraintes prioritaires, surtout structurelles</w:t>
      </w:r>
      <w:r w:rsidRPr="00B84254">
        <w:rPr>
          <w:rFonts w:ascii="Arial" w:eastAsia="Times New Roman" w:hAnsi="Arial" w:cs="Arial"/>
          <w:sz w:val="20"/>
          <w:szCs w:val="20"/>
          <w:lang w:val="fr-FR"/>
        </w:rPr>
        <w:t xml:space="preserve"> </w:t>
      </w:r>
      <w:r w:rsidRPr="00B84254">
        <w:rPr>
          <w:rFonts w:ascii="Arial" w:eastAsia="Times New Roman" w:hAnsi="Arial" w:cs="Arial"/>
          <w:color w:val="000000"/>
          <w:sz w:val="20"/>
          <w:szCs w:val="20"/>
          <w:lang w:val="fr-FR"/>
        </w:rPr>
        <w:t xml:space="preserve">et liées aux modes de gouvernance et, de ce fait, assez difficiles à améliorer à court terme. </w:t>
      </w:r>
    </w:p>
    <w:p w14:paraId="65D3206A" w14:textId="77777777" w:rsidR="00802BA9" w:rsidRPr="00B84254" w:rsidRDefault="00802BA9" w:rsidP="00C518A4">
      <w:pPr>
        <w:spacing w:before="120" w:after="120" w:line="240" w:lineRule="auto"/>
        <w:rPr>
          <w:rFonts w:ascii="Arial" w:eastAsia="Calibri" w:hAnsi="Arial" w:cs="Arial"/>
          <w:sz w:val="20"/>
          <w:szCs w:val="20"/>
          <w:lang w:val="fr-FR" w:eastAsia="fr-FR"/>
        </w:rPr>
      </w:pPr>
      <w:r w:rsidRPr="00B84254">
        <w:rPr>
          <w:rFonts w:ascii="Arial" w:eastAsia="Calibri" w:hAnsi="Arial" w:cs="Arial"/>
          <w:sz w:val="20"/>
          <w:szCs w:val="20"/>
          <w:lang w:val="fr-FR" w:eastAsia="fr-FR"/>
        </w:rPr>
        <w:t>L’analyse de la prise en compte des recommandations du PEP 2014 (annexe 7.4.1.) permet les constats suivants : Les recommandations liées à la réglementation, notamment l’EES, et du suivi environnemental ont été prises en compte avec, notamment, la mise en place d’un SNGIE harmonisé qui représente une étape importante pour une meilleure gestion environnementale, si le système fait preuve de sa durabilité dans l’avenir.</w:t>
      </w:r>
    </w:p>
    <w:p w14:paraId="6F8F7333" w14:textId="77777777" w:rsidR="00802BA9" w:rsidRPr="00B84254" w:rsidRDefault="00802BA9" w:rsidP="00C518A4">
      <w:pPr>
        <w:spacing w:before="120" w:after="120" w:line="240" w:lineRule="auto"/>
        <w:rPr>
          <w:rFonts w:ascii="Arial" w:eastAsia="Calibri" w:hAnsi="Arial" w:cs="Arial"/>
          <w:sz w:val="20"/>
          <w:szCs w:val="20"/>
          <w:lang w:val="fr-FR" w:eastAsia="fr-FR"/>
        </w:rPr>
      </w:pPr>
      <w:r w:rsidRPr="00B84254">
        <w:rPr>
          <w:rFonts w:ascii="Arial" w:eastAsia="Calibri" w:hAnsi="Arial" w:cs="Arial"/>
          <w:sz w:val="20"/>
          <w:szCs w:val="20"/>
          <w:lang w:val="fr-FR" w:eastAsia="fr-FR"/>
        </w:rPr>
        <w:lastRenderedPageBreak/>
        <w:t>Pour une grande partie des recommandations, les activités ont été entamées par leur inscription dans les planifications récentes. Néanmoins, la traduction sur le terrain, notamment dans secteur développement rural /sécurité alimentaire, reste encore timide, limitée à quelques projets appuyés par les PTF et les processus sont à suivre, élargir et à accélérer. Il est important de mentionner le début du transfert de compétences de gestion des ressources naturelles aux collectivités territoriales et la plus grande implication du secteur privé et des acteurs locaux, domaines qui demandent encore beaucoup d’effort pour le renforcement des capacités des acteurs pour rendre la gestion environnementale locale efficace.</w:t>
      </w:r>
    </w:p>
    <w:p w14:paraId="6D434C8F" w14:textId="77777777" w:rsidR="00802BA9" w:rsidRPr="00B84254" w:rsidRDefault="00802BA9" w:rsidP="00C518A4">
      <w:pPr>
        <w:spacing w:before="120" w:after="120" w:line="240" w:lineRule="auto"/>
        <w:rPr>
          <w:rFonts w:ascii="Arial" w:eastAsia="Calibri" w:hAnsi="Arial" w:cs="Arial"/>
          <w:sz w:val="20"/>
          <w:szCs w:val="20"/>
          <w:lang w:val="fr-FR" w:eastAsia="fr-FR"/>
        </w:rPr>
      </w:pPr>
      <w:r w:rsidRPr="00B84254">
        <w:rPr>
          <w:rFonts w:ascii="Arial" w:eastAsia="Calibri" w:hAnsi="Arial" w:cs="Arial"/>
          <w:sz w:val="20"/>
          <w:szCs w:val="20"/>
          <w:lang w:val="fr-FR" w:eastAsia="fr-FR"/>
        </w:rPr>
        <w:t>Plusieurs recommandations stratégiques et cruciales telles que le financement durable de l’action environnementale, la maîtrise de la croissance démographique, l’</w:t>
      </w:r>
      <w:r w:rsidR="00570495" w:rsidRPr="00B84254">
        <w:rPr>
          <w:rFonts w:ascii="Arial" w:eastAsia="Calibri" w:hAnsi="Arial" w:cs="Arial"/>
          <w:sz w:val="20"/>
          <w:szCs w:val="20"/>
          <w:lang w:val="fr-FR" w:eastAsia="fr-FR"/>
        </w:rPr>
        <w:t xml:space="preserve">Information, </w:t>
      </w:r>
      <w:r w:rsidRPr="00B84254">
        <w:rPr>
          <w:rFonts w:ascii="Arial" w:eastAsia="Calibri" w:hAnsi="Arial" w:cs="Arial"/>
          <w:sz w:val="20"/>
          <w:szCs w:val="20"/>
          <w:lang w:val="fr-FR" w:eastAsia="fr-FR"/>
        </w:rPr>
        <w:t>Education et la Communication (IEC), l’intégration transversale des aspects environnementaux dans tous les domaines, les questions institutionnelles et le développement urbain et des industries n’ont pas reçu de réponses adéquates et devront rester les priorités de l’avenir, malgré leur priorisation depuis le premier PEP de 2006. Ce constat de non mise en œuvre des recommandations concerne aussi le « suivi environnemental spécifique au niveau des bailleurs », où les indicateurs proposés par le PEP 2014 pour les principaux domaines d’intervention n’ont pas trouvé leur traduction dans la matrice de suivi du 11</w:t>
      </w:r>
      <w:r w:rsidRPr="00B84254">
        <w:rPr>
          <w:rFonts w:ascii="Arial" w:eastAsia="Calibri" w:hAnsi="Arial" w:cs="Arial"/>
          <w:sz w:val="20"/>
          <w:szCs w:val="20"/>
          <w:vertAlign w:val="superscript"/>
          <w:lang w:val="fr-FR" w:eastAsia="fr-FR"/>
        </w:rPr>
        <w:t>ème</w:t>
      </w:r>
      <w:r w:rsidRPr="00B84254">
        <w:rPr>
          <w:rFonts w:ascii="Arial" w:eastAsia="Calibri" w:hAnsi="Arial" w:cs="Arial"/>
          <w:sz w:val="20"/>
          <w:szCs w:val="20"/>
          <w:lang w:val="fr-FR" w:eastAsia="fr-FR"/>
        </w:rPr>
        <w:t xml:space="preserve"> FED. </w:t>
      </w:r>
    </w:p>
    <w:p w14:paraId="49DCEC7B" w14:textId="77777777" w:rsidR="00802BA9" w:rsidRPr="00B84254" w:rsidRDefault="00802BA9" w:rsidP="00802BA9">
      <w:pPr>
        <w:spacing w:after="0" w:line="240" w:lineRule="auto"/>
        <w:rPr>
          <w:rFonts w:cs="Arial"/>
          <w:lang w:val="fr-FR"/>
        </w:rPr>
      </w:pPr>
    </w:p>
    <w:p w14:paraId="3B68FF21" w14:textId="77777777" w:rsidR="00802BA9" w:rsidRPr="00B84254" w:rsidRDefault="00802BA9" w:rsidP="00C518A4">
      <w:pPr>
        <w:pStyle w:val="Titre2"/>
      </w:pPr>
      <w:bookmarkStart w:id="66" w:name="_Toc20505668"/>
      <w:r w:rsidRPr="00B84254">
        <w:t>6.2 Conclusions et recommadations</w:t>
      </w:r>
      <w:bookmarkEnd w:id="66"/>
    </w:p>
    <w:p w14:paraId="461063AA" w14:textId="77777777" w:rsidR="00802BA9" w:rsidRPr="00B84254" w:rsidRDefault="00802BA9" w:rsidP="00C518A4">
      <w:pPr>
        <w:shd w:val="clear" w:color="auto" w:fill="FFFFFF" w:themeFill="background1"/>
        <w:spacing w:before="120" w:after="120" w:line="240" w:lineRule="auto"/>
        <w:rPr>
          <w:rFonts w:ascii="Arial" w:hAnsi="Arial" w:cs="Arial"/>
          <w:sz w:val="20"/>
          <w:szCs w:val="20"/>
          <w:lang w:val="fr-FR"/>
        </w:rPr>
      </w:pPr>
      <w:r w:rsidRPr="00B84254">
        <w:rPr>
          <w:rFonts w:ascii="Arial" w:hAnsi="Arial" w:cs="Arial"/>
          <w:sz w:val="20"/>
          <w:szCs w:val="20"/>
          <w:lang w:val="fr-FR"/>
        </w:rPr>
        <w:t>Les conclusions et recommandations du PEP précédent de 2014 restent en grande partie valables vue le faible niveau de mise en œuvre de l</w:t>
      </w:r>
      <w:r w:rsidR="00DA4E4D">
        <w:rPr>
          <w:rFonts w:ascii="Arial" w:hAnsi="Arial" w:cs="Arial"/>
          <w:sz w:val="20"/>
          <w:szCs w:val="20"/>
          <w:lang w:val="fr-FR"/>
        </w:rPr>
        <w:t>a plupart des recommandations (annexe</w:t>
      </w:r>
      <w:r w:rsidRPr="00B84254">
        <w:rPr>
          <w:rFonts w:ascii="Arial" w:hAnsi="Arial" w:cs="Arial"/>
          <w:sz w:val="20"/>
          <w:szCs w:val="20"/>
          <w:lang w:val="fr-FR"/>
        </w:rPr>
        <w:t xml:space="preserve"> 7.4.1). Elles ne sont pas reprises ici en totalité, mais présentées en annexe 7.4.1. Toutefois, certains points doivent être accentués au vu des évolutions récentes.</w:t>
      </w:r>
    </w:p>
    <w:p w14:paraId="7DCC3FF4" w14:textId="77777777" w:rsidR="00802BA9" w:rsidRPr="00B84254" w:rsidRDefault="00802BA9" w:rsidP="00C518A4">
      <w:pPr>
        <w:spacing w:before="120" w:after="120" w:line="240" w:lineRule="auto"/>
        <w:rPr>
          <w:rFonts w:ascii="Arial" w:eastAsia="SimSun" w:hAnsi="Arial" w:cs="Arial"/>
          <w:bCs/>
          <w:i/>
          <w:sz w:val="20"/>
          <w:szCs w:val="20"/>
          <w:lang w:val="fr-FR" w:eastAsia="zh-CN"/>
        </w:rPr>
      </w:pPr>
      <w:r w:rsidRPr="00B84254">
        <w:rPr>
          <w:rFonts w:ascii="Arial" w:eastAsia="SimSun" w:hAnsi="Arial" w:cs="Arial"/>
          <w:bCs/>
          <w:i/>
          <w:sz w:val="20"/>
          <w:szCs w:val="20"/>
          <w:lang w:val="fr-FR" w:eastAsia="zh-CN"/>
        </w:rPr>
        <w:t>Un code (1, 2 ou 3) a été attribué à chaque recommandation pour rendre explicite le découpage entre les recommandations spécifiques au Gouvernement du Mali (code 1), celles spécifiques aux PTF (code 2), et celles qui concernent le Gouvernement malien et les bailleurs de fonds (code 3). (*) indique les recommandations spécifiques qui concernent la DUE.</w:t>
      </w:r>
    </w:p>
    <w:p w14:paraId="1FBE739F" w14:textId="77777777" w:rsidR="00802BA9" w:rsidRPr="00B84254" w:rsidRDefault="00802BA9" w:rsidP="00C518A4">
      <w:pPr>
        <w:shd w:val="clear" w:color="auto" w:fill="FFFFFF" w:themeFill="background1"/>
        <w:spacing w:before="120" w:after="120" w:line="240" w:lineRule="auto"/>
        <w:rPr>
          <w:rFonts w:ascii="Arial" w:hAnsi="Arial" w:cs="Arial"/>
          <w:color w:val="C00000"/>
          <w:sz w:val="20"/>
          <w:szCs w:val="20"/>
          <w:lang w:val="fr-FR"/>
        </w:rPr>
      </w:pPr>
      <w:r w:rsidRPr="00B84254">
        <w:rPr>
          <w:rFonts w:ascii="Arial" w:hAnsi="Arial" w:cs="Arial"/>
          <w:color w:val="C00000"/>
          <w:sz w:val="20"/>
          <w:szCs w:val="20"/>
          <w:lang w:val="fr-FR"/>
        </w:rPr>
        <w:t xml:space="preserve"> </w:t>
      </w:r>
    </w:p>
    <w:p w14:paraId="68665787" w14:textId="77777777" w:rsidR="00802BA9" w:rsidRPr="00B84254" w:rsidRDefault="00802BA9" w:rsidP="00C518A4">
      <w:pPr>
        <w:spacing w:before="120" w:after="120" w:line="240" w:lineRule="auto"/>
        <w:rPr>
          <w:rFonts w:ascii="Arial" w:hAnsi="Arial" w:cs="Arial"/>
          <w:i/>
          <w:color w:val="000000" w:themeColor="text1"/>
          <w:sz w:val="20"/>
          <w:szCs w:val="20"/>
          <w:lang w:val="fr-FR"/>
        </w:rPr>
      </w:pPr>
      <w:r w:rsidRPr="00B84254">
        <w:rPr>
          <w:rFonts w:ascii="Arial" w:hAnsi="Arial" w:cs="Arial"/>
          <w:b/>
          <w:i/>
          <w:color w:val="000000" w:themeColor="text1"/>
          <w:sz w:val="20"/>
          <w:szCs w:val="20"/>
          <w:lang w:val="fr-FR"/>
        </w:rPr>
        <w:t>Conclusion 1 (prioritaire)</w:t>
      </w:r>
      <w:r w:rsidRPr="00B84254">
        <w:rPr>
          <w:rFonts w:ascii="Arial" w:hAnsi="Arial" w:cs="Arial"/>
          <w:i/>
          <w:color w:val="000000" w:themeColor="text1"/>
          <w:sz w:val="20"/>
          <w:szCs w:val="20"/>
          <w:lang w:val="fr-FR"/>
        </w:rPr>
        <w:t xml:space="preserve"> </w:t>
      </w:r>
    </w:p>
    <w:p w14:paraId="3938BBCC" w14:textId="77777777" w:rsidR="00802BA9" w:rsidRPr="00B84254" w:rsidRDefault="00802BA9" w:rsidP="00C518A4">
      <w:pPr>
        <w:spacing w:before="120" w:after="120" w:line="240" w:lineRule="auto"/>
        <w:rPr>
          <w:rFonts w:ascii="Arial" w:hAnsi="Arial" w:cs="Arial"/>
          <w:b/>
          <w:color w:val="000000" w:themeColor="text1"/>
          <w:sz w:val="20"/>
          <w:szCs w:val="20"/>
          <w:lang w:val="fr-FR"/>
        </w:rPr>
      </w:pPr>
      <w:r w:rsidRPr="00B84254">
        <w:rPr>
          <w:rFonts w:ascii="Arial" w:hAnsi="Arial" w:cs="Arial"/>
          <w:b/>
          <w:color w:val="000000" w:themeColor="text1"/>
          <w:sz w:val="20"/>
          <w:szCs w:val="20"/>
          <w:lang w:val="fr-FR"/>
        </w:rPr>
        <w:t>L’application de la législation environnementale</w:t>
      </w:r>
      <w:r w:rsidR="009F2329" w:rsidRPr="00B84254">
        <w:rPr>
          <w:rFonts w:ascii="Arial" w:hAnsi="Arial" w:cs="Arial"/>
          <w:b/>
          <w:color w:val="000000" w:themeColor="text1"/>
          <w:sz w:val="20"/>
          <w:szCs w:val="20"/>
          <w:lang w:val="fr-FR"/>
        </w:rPr>
        <w:t>,</w:t>
      </w:r>
      <w:r w:rsidRPr="00B84254">
        <w:rPr>
          <w:rFonts w:ascii="Arial" w:hAnsi="Arial" w:cs="Arial"/>
          <w:b/>
          <w:color w:val="000000" w:themeColor="text1"/>
          <w:sz w:val="20"/>
          <w:szCs w:val="20"/>
          <w:lang w:val="fr-FR"/>
        </w:rPr>
        <w:t xml:space="preserve"> son contrôle </w:t>
      </w:r>
      <w:r w:rsidR="009F2329" w:rsidRPr="00B84254">
        <w:rPr>
          <w:rFonts w:ascii="Arial" w:hAnsi="Arial" w:cs="Arial"/>
          <w:b/>
          <w:color w:val="000000" w:themeColor="text1"/>
          <w:sz w:val="20"/>
          <w:szCs w:val="20"/>
          <w:lang w:val="fr-FR"/>
        </w:rPr>
        <w:t xml:space="preserve">et la sanction </w:t>
      </w:r>
      <w:r w:rsidRPr="00B84254">
        <w:rPr>
          <w:rFonts w:ascii="Arial" w:hAnsi="Arial" w:cs="Arial"/>
          <w:b/>
          <w:color w:val="000000" w:themeColor="text1"/>
          <w:sz w:val="20"/>
          <w:szCs w:val="20"/>
          <w:lang w:val="fr-FR"/>
        </w:rPr>
        <w:t xml:space="preserve">font défaut et s’accroissent </w:t>
      </w:r>
    </w:p>
    <w:p w14:paraId="50894E36" w14:textId="77777777" w:rsidR="00802BA9" w:rsidRPr="00B84254" w:rsidRDefault="00802BA9" w:rsidP="00C518A4">
      <w:pPr>
        <w:spacing w:before="120" w:after="120" w:line="240" w:lineRule="auto"/>
        <w:rPr>
          <w:rFonts w:ascii="Arial" w:hAnsi="Arial" w:cs="Arial"/>
          <w:color w:val="000000" w:themeColor="text1"/>
          <w:sz w:val="20"/>
          <w:szCs w:val="20"/>
          <w:lang w:val="fr-FR"/>
        </w:rPr>
      </w:pPr>
      <w:r w:rsidRPr="00B84254">
        <w:rPr>
          <w:rFonts w:ascii="Arial" w:hAnsi="Arial" w:cs="Arial"/>
          <w:color w:val="000000" w:themeColor="text1"/>
          <w:sz w:val="20"/>
          <w:szCs w:val="20"/>
          <w:lang w:val="fr-FR"/>
        </w:rPr>
        <w:t>Des efforts importants ont été engagés sur le plan législatif et le Mali dispose aujourd’hui d’un cadre réglementaire environnemental quasi - complet. Néanmoins, l</w:t>
      </w:r>
      <w:r w:rsidR="009F2329" w:rsidRPr="00B84254">
        <w:rPr>
          <w:rFonts w:ascii="Arial" w:hAnsi="Arial" w:cs="Arial"/>
          <w:color w:val="000000" w:themeColor="text1"/>
          <w:sz w:val="20"/>
          <w:szCs w:val="20"/>
          <w:lang w:val="fr-FR"/>
        </w:rPr>
        <w:t>es</w:t>
      </w:r>
      <w:r w:rsidRPr="00B84254">
        <w:rPr>
          <w:rFonts w:ascii="Arial" w:hAnsi="Arial" w:cs="Arial"/>
          <w:color w:val="000000" w:themeColor="text1"/>
          <w:sz w:val="20"/>
          <w:szCs w:val="20"/>
          <w:lang w:val="fr-FR"/>
        </w:rPr>
        <w:t xml:space="preserve"> réglementation</w:t>
      </w:r>
      <w:r w:rsidR="009F2329" w:rsidRPr="00B84254">
        <w:rPr>
          <w:rFonts w:ascii="Arial" w:hAnsi="Arial" w:cs="Arial"/>
          <w:color w:val="000000" w:themeColor="text1"/>
          <w:sz w:val="20"/>
          <w:szCs w:val="20"/>
          <w:lang w:val="fr-FR"/>
        </w:rPr>
        <w:t>s</w:t>
      </w:r>
      <w:r w:rsidRPr="00B84254">
        <w:rPr>
          <w:rFonts w:ascii="Arial" w:hAnsi="Arial" w:cs="Arial"/>
          <w:color w:val="000000" w:themeColor="text1"/>
          <w:sz w:val="20"/>
          <w:szCs w:val="20"/>
          <w:lang w:val="fr-FR"/>
        </w:rPr>
        <w:t xml:space="preserve"> </w:t>
      </w:r>
      <w:r w:rsidR="009F2329" w:rsidRPr="00B84254">
        <w:rPr>
          <w:rFonts w:ascii="Arial" w:hAnsi="Arial" w:cs="Arial"/>
          <w:color w:val="000000" w:themeColor="text1"/>
          <w:sz w:val="20"/>
          <w:szCs w:val="20"/>
          <w:lang w:val="fr-FR"/>
        </w:rPr>
        <w:t>sont</w:t>
      </w:r>
      <w:r w:rsidRPr="00B84254">
        <w:rPr>
          <w:rFonts w:ascii="Arial" w:hAnsi="Arial" w:cs="Arial"/>
          <w:color w:val="000000" w:themeColor="text1"/>
          <w:sz w:val="20"/>
          <w:szCs w:val="20"/>
          <w:lang w:val="fr-FR"/>
        </w:rPr>
        <w:t xml:space="preserve"> mal connue</w:t>
      </w:r>
      <w:r w:rsidR="009F2329" w:rsidRPr="00B84254">
        <w:rPr>
          <w:rFonts w:ascii="Arial" w:hAnsi="Arial" w:cs="Arial"/>
          <w:color w:val="000000" w:themeColor="text1"/>
          <w:sz w:val="20"/>
          <w:szCs w:val="20"/>
          <w:lang w:val="fr-FR"/>
        </w:rPr>
        <w:t>s</w:t>
      </w:r>
      <w:r w:rsidRPr="00B84254">
        <w:rPr>
          <w:rFonts w:ascii="Arial" w:hAnsi="Arial" w:cs="Arial"/>
          <w:color w:val="000000" w:themeColor="text1"/>
          <w:sz w:val="20"/>
          <w:szCs w:val="20"/>
          <w:lang w:val="fr-FR"/>
        </w:rPr>
        <w:t xml:space="preserve"> et surtout peu </w:t>
      </w:r>
      <w:r w:rsidR="004F7879" w:rsidRPr="00B84254">
        <w:rPr>
          <w:rFonts w:ascii="Arial" w:hAnsi="Arial" w:cs="Arial"/>
          <w:color w:val="000000" w:themeColor="text1"/>
          <w:sz w:val="20"/>
          <w:szCs w:val="20"/>
          <w:lang w:val="fr-FR"/>
        </w:rPr>
        <w:t xml:space="preserve">ou pas </w:t>
      </w:r>
      <w:r w:rsidRPr="00B84254">
        <w:rPr>
          <w:rFonts w:ascii="Arial" w:hAnsi="Arial" w:cs="Arial"/>
          <w:color w:val="000000" w:themeColor="text1"/>
          <w:sz w:val="20"/>
          <w:szCs w:val="20"/>
          <w:lang w:val="fr-FR"/>
        </w:rPr>
        <w:t>appliquée</w:t>
      </w:r>
      <w:r w:rsidR="009F2329" w:rsidRPr="00B84254">
        <w:rPr>
          <w:rFonts w:ascii="Arial" w:hAnsi="Arial" w:cs="Arial"/>
          <w:color w:val="000000" w:themeColor="text1"/>
          <w:sz w:val="20"/>
          <w:szCs w:val="20"/>
          <w:lang w:val="fr-FR"/>
        </w:rPr>
        <w:t>s</w:t>
      </w:r>
      <w:r w:rsidRPr="00B84254">
        <w:rPr>
          <w:rFonts w:ascii="Arial" w:hAnsi="Arial" w:cs="Arial"/>
          <w:color w:val="000000" w:themeColor="text1"/>
          <w:sz w:val="20"/>
          <w:szCs w:val="20"/>
          <w:lang w:val="fr-FR"/>
        </w:rPr>
        <w:t>. Il apparait une absence de volonté politique à prendre des décisions et à appliquer des mesures peu populaires au profit de la protection du patrimoine naturel, base de la vie et du développement économique ; absence qui s’est renforcée dans le contexte post - crise avec un gouvernement fragilisé. Dans ce contexte de non – respect croissant des réglementations environnementales, aucun engagement au profit de l’environnement ne peut avoir un impact significatif.</w:t>
      </w:r>
    </w:p>
    <w:p w14:paraId="3E8A43EF" w14:textId="77777777" w:rsidR="00802BA9" w:rsidRPr="00B84254" w:rsidRDefault="00802BA9" w:rsidP="00C518A4">
      <w:pPr>
        <w:spacing w:before="120" w:after="120" w:line="240" w:lineRule="auto"/>
        <w:rPr>
          <w:rFonts w:ascii="Arial" w:hAnsi="Arial" w:cs="Arial"/>
          <w:color w:val="C00000"/>
          <w:sz w:val="20"/>
          <w:szCs w:val="20"/>
          <w:lang w:val="fr-FR"/>
        </w:rPr>
      </w:pPr>
    </w:p>
    <w:p w14:paraId="595D0B41" w14:textId="77777777" w:rsidR="00802BA9" w:rsidRPr="00B84254" w:rsidRDefault="00802BA9" w:rsidP="00C518A4">
      <w:pPr>
        <w:spacing w:before="120" w:after="120" w:line="240" w:lineRule="auto"/>
        <w:rPr>
          <w:rFonts w:ascii="Arial" w:hAnsi="Arial" w:cs="Arial"/>
          <w:b/>
          <w:color w:val="000000" w:themeColor="text1"/>
          <w:sz w:val="20"/>
          <w:szCs w:val="20"/>
          <w:lang w:val="fr-FR"/>
        </w:rPr>
      </w:pPr>
      <w:r w:rsidRPr="00B84254">
        <w:rPr>
          <w:rFonts w:ascii="Arial" w:hAnsi="Arial" w:cs="Arial"/>
          <w:b/>
          <w:color w:val="000000" w:themeColor="text1"/>
          <w:sz w:val="20"/>
          <w:szCs w:val="20"/>
          <w:lang w:val="fr-FR"/>
        </w:rPr>
        <w:t>Recommandation 1 (condition préalable)</w:t>
      </w:r>
    </w:p>
    <w:p w14:paraId="618597E0" w14:textId="77777777" w:rsidR="00802BA9" w:rsidRPr="00B84254" w:rsidRDefault="00802BA9" w:rsidP="00C518A4">
      <w:pPr>
        <w:spacing w:before="120" w:after="120" w:line="240" w:lineRule="auto"/>
        <w:rPr>
          <w:rFonts w:ascii="Arial" w:hAnsi="Arial" w:cs="Arial"/>
          <w:color w:val="000000" w:themeColor="text1"/>
          <w:sz w:val="20"/>
          <w:szCs w:val="20"/>
          <w:lang w:val="fr-FR"/>
        </w:rPr>
      </w:pPr>
      <w:r w:rsidRPr="00B84254">
        <w:rPr>
          <w:rFonts w:ascii="Arial" w:hAnsi="Arial" w:cs="Arial"/>
          <w:color w:val="000000" w:themeColor="text1"/>
          <w:sz w:val="20"/>
          <w:szCs w:val="20"/>
          <w:lang w:val="fr-FR"/>
        </w:rPr>
        <w:t>Sous précondition d’une volonté politique confirmée et approuvée pour le renforcement du contrôle environnemental et de l’application des textes dans les domaines liés (code 1):</w:t>
      </w:r>
    </w:p>
    <w:p w14:paraId="5D204F5B" w14:textId="77777777" w:rsidR="00802BA9" w:rsidRPr="00B84254" w:rsidRDefault="00802BA9" w:rsidP="00C518A4">
      <w:pPr>
        <w:numPr>
          <w:ilvl w:val="0"/>
          <w:numId w:val="54"/>
        </w:numPr>
        <w:spacing w:before="120" w:after="120" w:line="240" w:lineRule="auto"/>
        <w:contextualSpacing/>
        <w:rPr>
          <w:rFonts w:ascii="Arial" w:hAnsi="Arial" w:cs="Arial"/>
          <w:color w:val="000000" w:themeColor="text1"/>
          <w:sz w:val="20"/>
          <w:szCs w:val="20"/>
          <w:lang w:val="fr-FR"/>
        </w:rPr>
      </w:pPr>
      <w:r w:rsidRPr="00B84254">
        <w:rPr>
          <w:rFonts w:ascii="Arial" w:hAnsi="Arial" w:cs="Arial"/>
          <w:color w:val="000000" w:themeColor="text1"/>
          <w:sz w:val="20"/>
          <w:szCs w:val="20"/>
          <w:lang w:val="fr-FR"/>
        </w:rPr>
        <w:t xml:space="preserve">Renforcer les capacités financières et logistiques </w:t>
      </w:r>
      <w:r w:rsidR="00A70080" w:rsidRPr="00B84254">
        <w:rPr>
          <w:rFonts w:ascii="Arial" w:hAnsi="Arial" w:cs="Arial"/>
          <w:color w:val="000000" w:themeColor="text1"/>
          <w:sz w:val="20"/>
          <w:szCs w:val="20"/>
          <w:lang w:val="fr-FR"/>
        </w:rPr>
        <w:t xml:space="preserve">et les compétences </w:t>
      </w:r>
      <w:r w:rsidRPr="00B84254">
        <w:rPr>
          <w:rFonts w:ascii="Arial" w:hAnsi="Arial" w:cs="Arial"/>
          <w:color w:val="000000" w:themeColor="text1"/>
          <w:sz w:val="20"/>
          <w:szCs w:val="20"/>
          <w:lang w:val="fr-FR"/>
        </w:rPr>
        <w:t>des services chargés du contrôle (DNACPN, DNEF) (code 3, * gouvernance).</w:t>
      </w:r>
    </w:p>
    <w:p w14:paraId="3B912DE0" w14:textId="77777777" w:rsidR="00802BA9" w:rsidRPr="00B84254" w:rsidRDefault="00802BA9" w:rsidP="00C518A4">
      <w:pPr>
        <w:numPr>
          <w:ilvl w:val="0"/>
          <w:numId w:val="54"/>
        </w:numPr>
        <w:spacing w:before="120" w:after="120" w:line="240" w:lineRule="auto"/>
        <w:contextualSpacing/>
        <w:rPr>
          <w:rFonts w:ascii="Arial" w:hAnsi="Arial" w:cs="Arial"/>
          <w:color w:val="000000" w:themeColor="text1"/>
          <w:sz w:val="20"/>
          <w:szCs w:val="20"/>
          <w:lang w:val="fr-FR"/>
        </w:rPr>
      </w:pPr>
      <w:r w:rsidRPr="00B84254">
        <w:rPr>
          <w:rFonts w:ascii="Arial" w:hAnsi="Arial" w:cs="Arial"/>
          <w:color w:val="000000" w:themeColor="text1"/>
          <w:sz w:val="20"/>
          <w:szCs w:val="20"/>
          <w:lang w:val="fr-FR"/>
        </w:rPr>
        <w:t>Elargir le champ des acteurs de contrôle environnemental (formation en législation environnementale des policiers et gendarmes, comités locaux de surveillance</w:t>
      </w:r>
      <w:r w:rsidR="00A72F75">
        <w:rPr>
          <w:rFonts w:ascii="Arial" w:hAnsi="Arial" w:cs="Arial"/>
          <w:color w:val="000000" w:themeColor="text1"/>
          <w:sz w:val="20"/>
          <w:szCs w:val="20"/>
          <w:lang w:val="fr-FR"/>
        </w:rPr>
        <w:t>, société civile</w:t>
      </w:r>
      <w:r w:rsidRPr="00B84254">
        <w:rPr>
          <w:rFonts w:ascii="Arial" w:hAnsi="Arial" w:cs="Arial"/>
          <w:color w:val="000000" w:themeColor="text1"/>
          <w:sz w:val="20"/>
          <w:szCs w:val="20"/>
          <w:lang w:val="fr-FR"/>
        </w:rPr>
        <w:t xml:space="preserve">) tout en renforçant leurs capacités opérationnelles (code 3, * gouvernance). </w:t>
      </w:r>
    </w:p>
    <w:p w14:paraId="4B99BFB8" w14:textId="77777777" w:rsidR="00802BA9" w:rsidRPr="00B84254" w:rsidRDefault="00802BA9" w:rsidP="00C518A4">
      <w:pPr>
        <w:numPr>
          <w:ilvl w:val="0"/>
          <w:numId w:val="54"/>
        </w:numPr>
        <w:spacing w:before="120" w:after="120" w:line="240" w:lineRule="auto"/>
        <w:contextualSpacing/>
        <w:rPr>
          <w:rFonts w:ascii="Arial" w:hAnsi="Arial" w:cs="Arial"/>
          <w:color w:val="000000" w:themeColor="text1"/>
          <w:sz w:val="20"/>
          <w:szCs w:val="20"/>
          <w:lang w:val="fr-FR"/>
        </w:rPr>
      </w:pPr>
      <w:r w:rsidRPr="00B84254">
        <w:rPr>
          <w:rFonts w:ascii="Arial" w:hAnsi="Arial" w:cs="Arial"/>
          <w:color w:val="000000" w:themeColor="text1"/>
          <w:sz w:val="20"/>
          <w:szCs w:val="20"/>
          <w:lang w:val="fr-FR"/>
        </w:rPr>
        <w:t>Renforcer la communication inter- et intra-ministérielle et la circulation des documents indispensables au contrôle (code 1).</w:t>
      </w:r>
    </w:p>
    <w:p w14:paraId="645CCB69" w14:textId="77777777" w:rsidR="00802BA9" w:rsidRPr="00B84254" w:rsidRDefault="00802BA9" w:rsidP="00C518A4">
      <w:pPr>
        <w:spacing w:before="120" w:after="120" w:line="240" w:lineRule="auto"/>
        <w:rPr>
          <w:rFonts w:ascii="Arial" w:hAnsi="Arial" w:cs="Arial"/>
          <w:color w:val="000000" w:themeColor="text1"/>
          <w:sz w:val="20"/>
          <w:szCs w:val="20"/>
          <w:lang w:val="fr-FR"/>
        </w:rPr>
      </w:pPr>
      <w:r w:rsidRPr="00B84254">
        <w:rPr>
          <w:rFonts w:ascii="Arial" w:hAnsi="Arial" w:cs="Arial"/>
          <w:color w:val="000000" w:themeColor="text1"/>
          <w:sz w:val="20"/>
          <w:szCs w:val="20"/>
          <w:lang w:val="fr-FR"/>
        </w:rPr>
        <w:t xml:space="preserve">En cas de non-respect de cette condition préalable d’application et de contrôle des réglementations, toutes les recommandations suivantes par rapport aux appuis futurs de l’UE dans le contexte environnemental ainsi que pour d’autres interventions ne sont pas pertinentes car sans impact. </w:t>
      </w:r>
    </w:p>
    <w:p w14:paraId="56F4659E" w14:textId="77777777" w:rsidR="00802BA9" w:rsidRPr="00B84254" w:rsidRDefault="00802BA9" w:rsidP="00C518A4">
      <w:pPr>
        <w:spacing w:before="120" w:after="120" w:line="240" w:lineRule="auto"/>
        <w:rPr>
          <w:rFonts w:ascii="Arial" w:hAnsi="Arial" w:cs="Arial"/>
          <w:color w:val="000000" w:themeColor="text1"/>
          <w:sz w:val="20"/>
          <w:szCs w:val="20"/>
          <w:u w:val="single"/>
          <w:lang w:val="fr-FR"/>
        </w:rPr>
      </w:pPr>
      <w:r w:rsidRPr="00B84254">
        <w:rPr>
          <w:rFonts w:ascii="Arial" w:hAnsi="Arial" w:cs="Arial"/>
          <w:color w:val="000000" w:themeColor="text1"/>
          <w:sz w:val="20"/>
          <w:szCs w:val="20"/>
          <w:lang w:val="fr-FR"/>
        </w:rPr>
        <w:t>(* gouvernance)</w:t>
      </w:r>
    </w:p>
    <w:p w14:paraId="78EB3C81" w14:textId="77777777" w:rsidR="00802BA9" w:rsidRPr="00B84254" w:rsidRDefault="00802BA9" w:rsidP="00C518A4">
      <w:pPr>
        <w:spacing w:before="120" w:after="120" w:line="240" w:lineRule="auto"/>
        <w:rPr>
          <w:rFonts w:ascii="Arial" w:hAnsi="Arial" w:cs="Arial"/>
          <w:b/>
          <w:i/>
          <w:sz w:val="20"/>
          <w:szCs w:val="20"/>
          <w:lang w:val="fr-FR"/>
        </w:rPr>
      </w:pPr>
    </w:p>
    <w:p w14:paraId="737D2675" w14:textId="77777777" w:rsidR="00802BA9" w:rsidRPr="00B84254" w:rsidRDefault="00802BA9" w:rsidP="00C518A4">
      <w:pPr>
        <w:keepNext/>
        <w:spacing w:before="120" w:after="120" w:line="240" w:lineRule="auto"/>
        <w:rPr>
          <w:rFonts w:ascii="Arial" w:hAnsi="Arial" w:cs="Arial"/>
          <w:b/>
          <w:color w:val="000000" w:themeColor="text1"/>
          <w:sz w:val="20"/>
          <w:szCs w:val="20"/>
          <w:lang w:val="fr-FR"/>
        </w:rPr>
      </w:pPr>
      <w:r w:rsidRPr="00B84254">
        <w:rPr>
          <w:rFonts w:ascii="Arial" w:hAnsi="Arial" w:cs="Arial"/>
          <w:b/>
          <w:color w:val="000000" w:themeColor="text1"/>
          <w:sz w:val="20"/>
          <w:szCs w:val="20"/>
          <w:lang w:val="fr-FR"/>
        </w:rPr>
        <w:lastRenderedPageBreak/>
        <w:t>Conclusion 2</w:t>
      </w:r>
    </w:p>
    <w:p w14:paraId="2339519D" w14:textId="77777777" w:rsidR="00802BA9" w:rsidRPr="00B84254" w:rsidRDefault="00802BA9" w:rsidP="00C518A4">
      <w:pPr>
        <w:keepNext/>
        <w:spacing w:before="120" w:after="120" w:line="240" w:lineRule="auto"/>
        <w:rPr>
          <w:rFonts w:ascii="Arial" w:hAnsi="Arial" w:cs="Arial"/>
          <w:b/>
          <w:color w:val="000000" w:themeColor="text1"/>
          <w:sz w:val="20"/>
          <w:szCs w:val="20"/>
          <w:lang w:val="fr-FR"/>
        </w:rPr>
      </w:pPr>
      <w:r w:rsidRPr="00B84254">
        <w:rPr>
          <w:rFonts w:ascii="Arial" w:hAnsi="Arial" w:cs="Arial"/>
          <w:b/>
          <w:color w:val="000000" w:themeColor="text1"/>
          <w:sz w:val="20"/>
          <w:szCs w:val="20"/>
          <w:lang w:val="fr-FR"/>
        </w:rPr>
        <w:t>La décentralisation de la Gestion des Ressources Naturelles est enfin arrivée, mais c’est un défi de gestion environnementale supplémentaire</w:t>
      </w:r>
    </w:p>
    <w:p w14:paraId="68FCB84B" w14:textId="77777777" w:rsidR="00802BA9" w:rsidRPr="00B84254" w:rsidRDefault="00802BA9" w:rsidP="00C518A4">
      <w:pPr>
        <w:keepNext/>
        <w:spacing w:before="120" w:after="120" w:line="240" w:lineRule="auto"/>
        <w:rPr>
          <w:rFonts w:ascii="Arial" w:hAnsi="Arial" w:cs="Arial"/>
          <w:color w:val="000000" w:themeColor="text1"/>
          <w:sz w:val="20"/>
          <w:szCs w:val="20"/>
          <w:lang w:val="fr-FR"/>
        </w:rPr>
      </w:pPr>
      <w:r w:rsidRPr="00B84254">
        <w:rPr>
          <w:rFonts w:ascii="Arial" w:hAnsi="Arial" w:cs="Arial"/>
          <w:color w:val="000000" w:themeColor="text1"/>
          <w:sz w:val="20"/>
          <w:szCs w:val="20"/>
          <w:lang w:val="fr-FR"/>
        </w:rPr>
        <w:t xml:space="preserve">Le transfert effectif de compétences de la gestion des ressources naturelles aux collectivités locales par décret de janvier 2018, attendu et demandé depuis très longtemps, implique de nouveaux et importants besoins en renforcement des capacités des communes et des acteurs locaux. Les textes d’application ne sont pas encore élaborés et surtout l’information, les capacités techniques et le transfert du budget aux communes font défaut. Une attention particulière est à accorder au renforcement des capacités locales pour éviter que la décentralisation soit un facteur négatif sur l’environnement (vente des ressources par des élus). </w:t>
      </w:r>
    </w:p>
    <w:p w14:paraId="4237014B" w14:textId="77777777" w:rsidR="00802BA9" w:rsidRPr="00B84254" w:rsidRDefault="00802BA9" w:rsidP="00C518A4">
      <w:pPr>
        <w:spacing w:before="120" w:after="120" w:line="240" w:lineRule="auto"/>
        <w:rPr>
          <w:rFonts w:ascii="Arial" w:hAnsi="Arial" w:cs="Arial"/>
          <w:b/>
          <w:color w:val="000000" w:themeColor="text1"/>
          <w:sz w:val="20"/>
          <w:szCs w:val="20"/>
          <w:lang w:val="fr-FR"/>
        </w:rPr>
      </w:pPr>
      <w:r w:rsidRPr="00B84254">
        <w:rPr>
          <w:rFonts w:ascii="Arial" w:hAnsi="Arial" w:cs="Arial"/>
          <w:b/>
          <w:color w:val="000000" w:themeColor="text1"/>
          <w:sz w:val="20"/>
          <w:szCs w:val="20"/>
          <w:lang w:val="fr-FR"/>
        </w:rPr>
        <w:t>Recommandations</w:t>
      </w:r>
    </w:p>
    <w:p w14:paraId="5339713D" w14:textId="77777777" w:rsidR="00802BA9" w:rsidRPr="00B84254" w:rsidRDefault="009F2329" w:rsidP="00C518A4">
      <w:pPr>
        <w:numPr>
          <w:ilvl w:val="0"/>
          <w:numId w:val="45"/>
        </w:numPr>
        <w:spacing w:before="120" w:after="120" w:line="240" w:lineRule="auto"/>
        <w:contextualSpacing/>
        <w:rPr>
          <w:rFonts w:ascii="Arial" w:hAnsi="Arial" w:cs="Arial"/>
          <w:color w:val="000000" w:themeColor="text1"/>
          <w:sz w:val="20"/>
          <w:szCs w:val="20"/>
          <w:lang w:val="fr-FR"/>
        </w:rPr>
      </w:pPr>
      <w:r w:rsidRPr="00B84254">
        <w:rPr>
          <w:rFonts w:ascii="Arial" w:hAnsi="Arial" w:cs="Arial"/>
          <w:color w:val="000000" w:themeColor="text1"/>
          <w:sz w:val="20"/>
          <w:szCs w:val="20"/>
          <w:lang w:val="fr-FR"/>
        </w:rPr>
        <w:t>Accélérer</w:t>
      </w:r>
      <w:r w:rsidR="00802BA9" w:rsidRPr="00B84254">
        <w:rPr>
          <w:rFonts w:ascii="Arial" w:hAnsi="Arial" w:cs="Arial"/>
          <w:color w:val="000000" w:themeColor="text1"/>
          <w:sz w:val="20"/>
          <w:szCs w:val="20"/>
          <w:lang w:val="fr-FR"/>
        </w:rPr>
        <w:t xml:space="preserve"> l’élaboration des textes d’application et le transfert du budget </w:t>
      </w:r>
      <w:r w:rsidR="00A31FA0" w:rsidRPr="00B84254">
        <w:rPr>
          <w:rFonts w:ascii="Arial" w:hAnsi="Arial" w:cs="Arial"/>
          <w:color w:val="000000" w:themeColor="text1"/>
          <w:sz w:val="20"/>
          <w:szCs w:val="20"/>
          <w:lang w:val="fr-FR"/>
        </w:rPr>
        <w:t xml:space="preserve">de l’Etat </w:t>
      </w:r>
      <w:r w:rsidR="00802BA9" w:rsidRPr="00B84254">
        <w:rPr>
          <w:rFonts w:ascii="Arial" w:hAnsi="Arial" w:cs="Arial"/>
          <w:color w:val="000000" w:themeColor="text1"/>
          <w:sz w:val="20"/>
          <w:szCs w:val="20"/>
          <w:lang w:val="fr-FR"/>
        </w:rPr>
        <w:t>aux communes (</w:t>
      </w:r>
      <w:r w:rsidR="00802BA9" w:rsidRPr="00B84254">
        <w:rPr>
          <w:rFonts w:ascii="Arial" w:hAnsi="Arial" w:cs="Arial"/>
          <w:color w:val="000000" w:themeColor="text1"/>
          <w:sz w:val="20"/>
          <w:szCs w:val="20"/>
          <w:shd w:val="clear" w:color="auto" w:fill="FFFFFF" w:themeFill="background1"/>
          <w:lang w:val="fr-FR"/>
        </w:rPr>
        <w:t>code 1)</w:t>
      </w:r>
    </w:p>
    <w:p w14:paraId="5DBA0694" w14:textId="77777777" w:rsidR="00802BA9" w:rsidRPr="00B84254" w:rsidRDefault="00802BA9" w:rsidP="00C518A4">
      <w:pPr>
        <w:numPr>
          <w:ilvl w:val="0"/>
          <w:numId w:val="45"/>
        </w:numPr>
        <w:spacing w:before="120" w:after="120" w:line="240" w:lineRule="auto"/>
        <w:contextualSpacing/>
        <w:rPr>
          <w:rFonts w:ascii="Arial" w:hAnsi="Arial" w:cs="Arial"/>
          <w:color w:val="000000" w:themeColor="text1"/>
          <w:sz w:val="20"/>
          <w:szCs w:val="20"/>
          <w:lang w:val="fr-FR"/>
        </w:rPr>
      </w:pPr>
      <w:r w:rsidRPr="00B84254">
        <w:rPr>
          <w:rFonts w:ascii="Arial" w:hAnsi="Arial" w:cs="Arial"/>
          <w:color w:val="000000" w:themeColor="text1"/>
          <w:sz w:val="20"/>
          <w:szCs w:val="20"/>
          <w:lang w:val="fr-FR"/>
        </w:rPr>
        <w:t>Faire des campagnes d’information et de diffusion des réglementations environnementales pertinentes au niveau des communes, auprès des collectivités locales (maires), des autorités locales (préfet, sous-préfet), des forces de l’ordre (police, gendarmes)</w:t>
      </w:r>
      <w:r w:rsidR="009F2329" w:rsidRPr="00B84254">
        <w:rPr>
          <w:rFonts w:ascii="Arial" w:hAnsi="Arial" w:cs="Arial"/>
          <w:color w:val="000000" w:themeColor="text1"/>
          <w:sz w:val="20"/>
          <w:szCs w:val="20"/>
          <w:lang w:val="fr-FR"/>
        </w:rPr>
        <w:t>, s</w:t>
      </w:r>
      <w:r w:rsidR="00C9742D" w:rsidRPr="00B84254">
        <w:rPr>
          <w:rFonts w:ascii="Arial" w:hAnsi="Arial" w:cs="Arial"/>
          <w:color w:val="000000" w:themeColor="text1"/>
          <w:sz w:val="20"/>
          <w:szCs w:val="20"/>
          <w:lang w:val="fr-FR"/>
        </w:rPr>
        <w:t>ervices techniques déconcentrés</w:t>
      </w:r>
      <w:r w:rsidRPr="00B84254">
        <w:rPr>
          <w:rFonts w:ascii="Arial" w:hAnsi="Arial" w:cs="Arial"/>
          <w:color w:val="000000" w:themeColor="text1"/>
          <w:sz w:val="20"/>
          <w:szCs w:val="20"/>
          <w:lang w:val="fr-FR"/>
        </w:rPr>
        <w:t xml:space="preserve"> et des acteurs locaux (secteur privé, ONG) (code 3) (*gouvernance - décentralisation).</w:t>
      </w:r>
    </w:p>
    <w:p w14:paraId="449B384D" w14:textId="77777777" w:rsidR="00802BA9" w:rsidRPr="00B84254" w:rsidRDefault="00802BA9" w:rsidP="00C518A4">
      <w:pPr>
        <w:numPr>
          <w:ilvl w:val="0"/>
          <w:numId w:val="45"/>
        </w:numPr>
        <w:spacing w:before="120" w:after="120" w:line="240" w:lineRule="auto"/>
        <w:contextualSpacing/>
        <w:rPr>
          <w:rFonts w:ascii="Arial" w:hAnsi="Arial" w:cs="Arial"/>
          <w:color w:val="000000" w:themeColor="text1"/>
          <w:sz w:val="20"/>
          <w:szCs w:val="20"/>
          <w:lang w:val="fr-FR"/>
        </w:rPr>
      </w:pPr>
      <w:r w:rsidRPr="00B84254">
        <w:rPr>
          <w:rFonts w:ascii="Arial" w:hAnsi="Arial" w:cs="Arial"/>
          <w:color w:val="000000" w:themeColor="text1"/>
          <w:sz w:val="20"/>
          <w:szCs w:val="20"/>
          <w:lang w:val="fr-FR"/>
        </w:rPr>
        <w:t>Faciliter la mise en œuvre des PDSEC 3</w:t>
      </w:r>
      <w:r w:rsidRPr="00B84254">
        <w:rPr>
          <w:rFonts w:ascii="Arial" w:hAnsi="Arial" w:cs="Arial"/>
          <w:color w:val="000000" w:themeColor="text1"/>
          <w:sz w:val="20"/>
          <w:szCs w:val="20"/>
          <w:vertAlign w:val="superscript"/>
          <w:lang w:val="fr-FR"/>
        </w:rPr>
        <w:t>ème</w:t>
      </w:r>
      <w:r w:rsidRPr="00B84254">
        <w:rPr>
          <w:rFonts w:ascii="Arial" w:hAnsi="Arial" w:cs="Arial"/>
          <w:color w:val="000000" w:themeColor="text1"/>
          <w:sz w:val="20"/>
          <w:szCs w:val="20"/>
          <w:lang w:val="fr-FR"/>
        </w:rPr>
        <w:t xml:space="preserve"> génération et des PCAE (où ils existent) et appuyer leur élaboration dans les autres communes (code 2, * gouvernance - décentralisation).</w:t>
      </w:r>
    </w:p>
    <w:p w14:paraId="11CBC854" w14:textId="77777777" w:rsidR="00802BA9" w:rsidRPr="00B84254" w:rsidRDefault="00802BA9" w:rsidP="009F2329">
      <w:pPr>
        <w:numPr>
          <w:ilvl w:val="0"/>
          <w:numId w:val="45"/>
        </w:numPr>
        <w:spacing w:before="120" w:after="120" w:line="240" w:lineRule="auto"/>
        <w:contextualSpacing/>
        <w:rPr>
          <w:rFonts w:ascii="Arial" w:hAnsi="Arial" w:cs="Arial"/>
          <w:color w:val="000000" w:themeColor="text1"/>
          <w:sz w:val="20"/>
          <w:szCs w:val="20"/>
          <w:lang w:val="fr-FR"/>
        </w:rPr>
      </w:pPr>
      <w:r w:rsidRPr="00B84254">
        <w:rPr>
          <w:rFonts w:ascii="Arial" w:hAnsi="Arial" w:cs="Arial"/>
          <w:color w:val="000000" w:themeColor="text1"/>
          <w:sz w:val="20"/>
          <w:szCs w:val="20"/>
          <w:lang w:val="fr-FR"/>
        </w:rPr>
        <w:t xml:space="preserve">Appuyer le fonctionnement des commissions foncières locales (COFO) </w:t>
      </w:r>
      <w:r w:rsidR="009F2329" w:rsidRPr="00B84254">
        <w:rPr>
          <w:rFonts w:ascii="Arial" w:hAnsi="Arial" w:cs="Arial"/>
          <w:color w:val="000000" w:themeColor="text1"/>
          <w:sz w:val="20"/>
          <w:szCs w:val="20"/>
          <w:lang w:val="fr-FR"/>
        </w:rPr>
        <w:t xml:space="preserve">et des </w:t>
      </w:r>
      <w:r w:rsidR="00041443" w:rsidRPr="00B84254">
        <w:rPr>
          <w:rFonts w:ascii="Arial" w:hAnsi="Arial" w:cs="Arial"/>
          <w:color w:val="000000" w:themeColor="text1"/>
          <w:sz w:val="20"/>
          <w:szCs w:val="20"/>
          <w:lang w:val="fr-FR"/>
        </w:rPr>
        <w:t xml:space="preserve">cercles de </w:t>
      </w:r>
      <w:r w:rsidR="009F2329" w:rsidRPr="00B84254">
        <w:rPr>
          <w:rFonts w:ascii="Arial" w:hAnsi="Arial" w:cs="Arial"/>
          <w:color w:val="000000" w:themeColor="text1"/>
          <w:sz w:val="20"/>
          <w:szCs w:val="20"/>
          <w:lang w:val="fr-FR"/>
        </w:rPr>
        <w:t xml:space="preserve">dialogue pour la paix et la réconciliation </w:t>
      </w:r>
      <w:r w:rsidRPr="00B84254">
        <w:rPr>
          <w:rFonts w:ascii="Arial" w:hAnsi="Arial" w:cs="Arial"/>
          <w:color w:val="000000" w:themeColor="text1"/>
          <w:sz w:val="20"/>
          <w:szCs w:val="20"/>
          <w:lang w:val="fr-FR"/>
        </w:rPr>
        <w:t>pour assurer les investissements environnementaux privés et/ou collectifs (code 3) (*gouvernance – décentralisation).</w:t>
      </w:r>
    </w:p>
    <w:p w14:paraId="51D0F6A3" w14:textId="77777777" w:rsidR="00802BA9" w:rsidRPr="00B84254" w:rsidRDefault="00802BA9" w:rsidP="00C518A4">
      <w:pPr>
        <w:spacing w:before="120" w:after="120" w:line="240" w:lineRule="auto"/>
        <w:rPr>
          <w:rFonts w:ascii="Arial" w:hAnsi="Arial" w:cs="Arial"/>
          <w:color w:val="C00000"/>
          <w:sz w:val="20"/>
          <w:szCs w:val="20"/>
          <w:lang w:val="fr-FR"/>
        </w:rPr>
      </w:pPr>
    </w:p>
    <w:p w14:paraId="5892A6ED" w14:textId="77777777" w:rsidR="00802BA9" w:rsidRPr="00B84254" w:rsidRDefault="00802BA9" w:rsidP="00C518A4">
      <w:pPr>
        <w:spacing w:before="120" w:after="120" w:line="240" w:lineRule="auto"/>
        <w:rPr>
          <w:rFonts w:ascii="Arial" w:hAnsi="Arial" w:cs="Arial"/>
          <w:b/>
          <w:color w:val="000000" w:themeColor="text1"/>
          <w:sz w:val="20"/>
          <w:szCs w:val="20"/>
          <w:lang w:val="fr-FR"/>
        </w:rPr>
      </w:pPr>
      <w:r w:rsidRPr="00B84254">
        <w:rPr>
          <w:rFonts w:ascii="Arial" w:hAnsi="Arial" w:cs="Arial"/>
          <w:b/>
          <w:color w:val="000000" w:themeColor="text1"/>
          <w:sz w:val="20"/>
          <w:szCs w:val="20"/>
          <w:lang w:val="fr-FR"/>
        </w:rPr>
        <w:t>Conclusion 3</w:t>
      </w:r>
    </w:p>
    <w:p w14:paraId="0D1AB887" w14:textId="77777777" w:rsidR="00802BA9" w:rsidRPr="00B84254" w:rsidRDefault="00802BA9" w:rsidP="00C518A4">
      <w:pPr>
        <w:spacing w:before="120" w:after="120" w:line="240" w:lineRule="auto"/>
        <w:rPr>
          <w:rFonts w:ascii="Arial" w:hAnsi="Arial" w:cs="Arial"/>
          <w:b/>
          <w:color w:val="000000" w:themeColor="text1"/>
          <w:sz w:val="20"/>
          <w:szCs w:val="20"/>
          <w:lang w:val="fr-FR"/>
        </w:rPr>
      </w:pPr>
      <w:r w:rsidRPr="00B84254">
        <w:rPr>
          <w:rFonts w:ascii="Arial" w:hAnsi="Arial" w:cs="Arial"/>
          <w:b/>
          <w:color w:val="000000" w:themeColor="text1"/>
          <w:sz w:val="20"/>
          <w:szCs w:val="20"/>
          <w:lang w:val="fr-FR"/>
        </w:rPr>
        <w:t xml:space="preserve">Le secteur de l’énergie </w:t>
      </w:r>
      <w:r w:rsidR="00A31FA0" w:rsidRPr="00B84254">
        <w:rPr>
          <w:rFonts w:ascii="Arial" w:hAnsi="Arial" w:cs="Arial"/>
          <w:b/>
          <w:color w:val="000000" w:themeColor="text1"/>
          <w:sz w:val="20"/>
          <w:szCs w:val="20"/>
          <w:lang w:val="fr-FR"/>
        </w:rPr>
        <w:t xml:space="preserve">domestique </w:t>
      </w:r>
      <w:r w:rsidRPr="00B84254">
        <w:rPr>
          <w:rFonts w:ascii="Arial" w:hAnsi="Arial" w:cs="Arial"/>
          <w:b/>
          <w:color w:val="000000" w:themeColor="text1"/>
          <w:sz w:val="20"/>
          <w:szCs w:val="20"/>
          <w:lang w:val="fr-FR"/>
        </w:rPr>
        <w:t xml:space="preserve">reste </w:t>
      </w:r>
      <w:r w:rsidR="00A31FA0" w:rsidRPr="00B84254">
        <w:rPr>
          <w:rFonts w:ascii="Arial" w:hAnsi="Arial" w:cs="Arial"/>
          <w:b/>
          <w:color w:val="000000" w:themeColor="text1"/>
          <w:sz w:val="20"/>
          <w:szCs w:val="20"/>
          <w:lang w:val="fr-FR"/>
        </w:rPr>
        <w:t>un des</w:t>
      </w:r>
      <w:r w:rsidRPr="00B84254">
        <w:rPr>
          <w:rFonts w:ascii="Arial" w:hAnsi="Arial" w:cs="Arial"/>
          <w:b/>
          <w:color w:val="000000" w:themeColor="text1"/>
          <w:sz w:val="20"/>
          <w:szCs w:val="20"/>
          <w:lang w:val="fr-FR"/>
        </w:rPr>
        <w:t xml:space="preserve"> facteur</w:t>
      </w:r>
      <w:r w:rsidR="00A31FA0" w:rsidRPr="00B84254">
        <w:rPr>
          <w:rFonts w:ascii="Arial" w:hAnsi="Arial" w:cs="Arial"/>
          <w:b/>
          <w:color w:val="000000" w:themeColor="text1"/>
          <w:sz w:val="20"/>
          <w:szCs w:val="20"/>
          <w:lang w:val="fr-FR"/>
        </w:rPr>
        <w:t>s</w:t>
      </w:r>
      <w:r w:rsidRPr="00B84254">
        <w:rPr>
          <w:rFonts w:ascii="Arial" w:hAnsi="Arial" w:cs="Arial"/>
          <w:b/>
          <w:color w:val="000000" w:themeColor="text1"/>
          <w:sz w:val="20"/>
          <w:szCs w:val="20"/>
          <w:lang w:val="fr-FR"/>
        </w:rPr>
        <w:t xml:space="preserve"> de destruction du patrimoine forestier face à un prix du bois énergie sans valeur </w:t>
      </w:r>
    </w:p>
    <w:p w14:paraId="5525D222" w14:textId="77777777" w:rsidR="00802BA9" w:rsidRPr="00B84254" w:rsidRDefault="00802BA9" w:rsidP="00C518A4">
      <w:pPr>
        <w:spacing w:before="120" w:after="120" w:line="240" w:lineRule="auto"/>
        <w:rPr>
          <w:rFonts w:ascii="Arial" w:hAnsi="Arial" w:cs="Arial"/>
          <w:color w:val="000000" w:themeColor="text1"/>
          <w:sz w:val="20"/>
          <w:szCs w:val="20"/>
          <w:lang w:val="fr-FR"/>
        </w:rPr>
      </w:pPr>
      <w:r w:rsidRPr="00B84254">
        <w:rPr>
          <w:rFonts w:ascii="Arial" w:hAnsi="Arial" w:cs="Arial"/>
          <w:color w:val="000000" w:themeColor="text1"/>
          <w:sz w:val="20"/>
          <w:szCs w:val="20"/>
          <w:lang w:val="fr-FR"/>
        </w:rPr>
        <w:t xml:space="preserve">Malgré de multiples efforts, </w:t>
      </w:r>
      <w:r w:rsidR="00A31FA0" w:rsidRPr="00B84254">
        <w:rPr>
          <w:rFonts w:ascii="Arial" w:hAnsi="Arial" w:cs="Arial"/>
          <w:color w:val="000000" w:themeColor="text1"/>
          <w:sz w:val="20"/>
          <w:szCs w:val="20"/>
          <w:lang w:val="fr-FR"/>
        </w:rPr>
        <w:t xml:space="preserve">les tendances affichées dans </w:t>
      </w:r>
      <w:r w:rsidRPr="00B84254">
        <w:rPr>
          <w:rFonts w:ascii="Arial" w:hAnsi="Arial" w:cs="Arial"/>
          <w:color w:val="000000" w:themeColor="text1"/>
          <w:sz w:val="20"/>
          <w:szCs w:val="20"/>
          <w:lang w:val="fr-FR"/>
        </w:rPr>
        <w:t>le bilan énergétique n’</w:t>
      </w:r>
      <w:r w:rsidR="00A31FA0" w:rsidRPr="00B84254">
        <w:rPr>
          <w:rFonts w:ascii="Arial" w:hAnsi="Arial" w:cs="Arial"/>
          <w:color w:val="000000" w:themeColor="text1"/>
          <w:sz w:val="20"/>
          <w:szCs w:val="20"/>
          <w:lang w:val="fr-FR"/>
        </w:rPr>
        <w:t>ont</w:t>
      </w:r>
      <w:r w:rsidRPr="00B84254">
        <w:rPr>
          <w:rFonts w:ascii="Arial" w:hAnsi="Arial" w:cs="Arial"/>
          <w:color w:val="000000" w:themeColor="text1"/>
          <w:sz w:val="20"/>
          <w:szCs w:val="20"/>
          <w:lang w:val="fr-FR"/>
        </w:rPr>
        <w:t xml:space="preserve"> pas beaucoup changé. Le bois – énergie reste la principale ressource. Une transition énergétique radicale, des investissements considérables et innovateurs ainsi qu’une focalisation sur la substitution de l’énergie domestique sont indispensables pour sauvegarder et réhabiliter le patrimoine forestier du pays.</w:t>
      </w:r>
    </w:p>
    <w:p w14:paraId="26FB39F2" w14:textId="77777777" w:rsidR="00802BA9" w:rsidRPr="00B84254" w:rsidRDefault="00802BA9" w:rsidP="00C518A4">
      <w:pPr>
        <w:spacing w:before="120" w:after="120" w:line="240" w:lineRule="auto"/>
        <w:rPr>
          <w:rFonts w:ascii="Arial" w:hAnsi="Arial" w:cs="Arial"/>
          <w:b/>
          <w:sz w:val="20"/>
          <w:szCs w:val="20"/>
          <w:lang w:val="fr-FR"/>
        </w:rPr>
      </w:pPr>
      <w:r w:rsidRPr="00B84254">
        <w:rPr>
          <w:rFonts w:ascii="Arial" w:hAnsi="Arial" w:cs="Arial"/>
          <w:b/>
          <w:sz w:val="20"/>
          <w:szCs w:val="20"/>
          <w:lang w:val="fr-FR"/>
        </w:rPr>
        <w:t>Recommandations :</w:t>
      </w:r>
    </w:p>
    <w:p w14:paraId="0EEAB95B" w14:textId="77777777" w:rsidR="00802BA9" w:rsidRPr="00B84254" w:rsidRDefault="00802BA9" w:rsidP="00C518A4">
      <w:pPr>
        <w:numPr>
          <w:ilvl w:val="0"/>
          <w:numId w:val="44"/>
        </w:numPr>
        <w:spacing w:before="120" w:after="120" w:line="240" w:lineRule="auto"/>
        <w:contextualSpacing/>
        <w:rPr>
          <w:rFonts w:ascii="Arial" w:hAnsi="Arial" w:cs="Arial"/>
          <w:color w:val="C00000"/>
          <w:sz w:val="20"/>
          <w:szCs w:val="20"/>
          <w:lang w:val="fr-FR"/>
        </w:rPr>
      </w:pPr>
      <w:r w:rsidRPr="00B84254">
        <w:rPr>
          <w:rFonts w:ascii="Arial" w:hAnsi="Arial" w:cs="Arial"/>
          <w:sz w:val="20"/>
          <w:szCs w:val="20"/>
          <w:lang w:val="fr-FR"/>
        </w:rPr>
        <w:t>Faire la substitution du bois –énergie</w:t>
      </w:r>
      <w:r w:rsidR="00B653D4" w:rsidRPr="00B84254">
        <w:rPr>
          <w:rFonts w:ascii="Arial" w:hAnsi="Arial" w:cs="Arial"/>
          <w:sz w:val="20"/>
          <w:szCs w:val="20"/>
          <w:lang w:val="fr-FR"/>
        </w:rPr>
        <w:t>, notamment pour la capitale de Bamako,</w:t>
      </w:r>
      <w:r w:rsidRPr="00B84254">
        <w:rPr>
          <w:rFonts w:ascii="Arial" w:hAnsi="Arial" w:cs="Arial"/>
          <w:sz w:val="20"/>
          <w:szCs w:val="20"/>
          <w:lang w:val="fr-FR"/>
        </w:rPr>
        <w:t xml:space="preserve"> la priorité nationale </w:t>
      </w:r>
      <w:r w:rsidR="00622DDD" w:rsidRPr="00B84254">
        <w:rPr>
          <w:rFonts w:ascii="Arial" w:hAnsi="Arial" w:cs="Arial"/>
          <w:sz w:val="20"/>
          <w:szCs w:val="20"/>
          <w:lang w:val="fr-FR"/>
        </w:rPr>
        <w:t xml:space="preserve">dans la transition énergétique </w:t>
      </w:r>
      <w:r w:rsidRPr="00B84254">
        <w:rPr>
          <w:rFonts w:ascii="Arial" w:hAnsi="Arial" w:cs="Arial"/>
          <w:sz w:val="20"/>
          <w:szCs w:val="20"/>
          <w:lang w:val="fr-FR"/>
        </w:rPr>
        <w:t xml:space="preserve">et appuyer/accélérer la mise en œuvre de projets </w:t>
      </w:r>
      <w:r w:rsidR="003F0782" w:rsidRPr="00B84254">
        <w:rPr>
          <w:rFonts w:ascii="Arial" w:hAnsi="Arial" w:cs="Arial"/>
          <w:sz w:val="20"/>
          <w:szCs w:val="20"/>
          <w:lang w:val="fr-FR"/>
        </w:rPr>
        <w:t xml:space="preserve">en faveur </w:t>
      </w:r>
      <w:r w:rsidR="00622DDD" w:rsidRPr="00B84254">
        <w:rPr>
          <w:rFonts w:ascii="Arial" w:hAnsi="Arial" w:cs="Arial"/>
          <w:sz w:val="20"/>
          <w:szCs w:val="20"/>
          <w:lang w:val="fr-FR"/>
        </w:rPr>
        <w:t xml:space="preserve">des énergies renouvelables </w:t>
      </w:r>
      <w:r w:rsidRPr="00B84254">
        <w:rPr>
          <w:rFonts w:ascii="Arial" w:hAnsi="Arial" w:cs="Arial"/>
          <w:sz w:val="20"/>
          <w:szCs w:val="20"/>
          <w:lang w:val="fr-FR"/>
        </w:rPr>
        <w:t>déjà planifiés en s’appuyant sur des connaissances techniques internationales à travers des PPP (code 3).</w:t>
      </w:r>
    </w:p>
    <w:p w14:paraId="5DD593A0" w14:textId="77777777" w:rsidR="00802BA9" w:rsidRPr="00B84254" w:rsidRDefault="00802BA9" w:rsidP="00A31FA0">
      <w:pPr>
        <w:numPr>
          <w:ilvl w:val="0"/>
          <w:numId w:val="44"/>
        </w:numPr>
        <w:spacing w:before="120" w:after="120" w:line="240" w:lineRule="auto"/>
        <w:contextualSpacing/>
        <w:rPr>
          <w:rFonts w:ascii="Arial" w:hAnsi="Arial" w:cs="Arial"/>
          <w:color w:val="000000" w:themeColor="text1"/>
          <w:sz w:val="20"/>
          <w:szCs w:val="20"/>
          <w:lang w:val="fr-FR"/>
        </w:rPr>
      </w:pPr>
      <w:r w:rsidRPr="00B84254">
        <w:rPr>
          <w:rFonts w:ascii="Arial" w:hAnsi="Arial" w:cs="Arial"/>
          <w:color w:val="000000" w:themeColor="text1"/>
          <w:sz w:val="20"/>
          <w:szCs w:val="20"/>
          <w:lang w:val="fr-FR"/>
        </w:rPr>
        <w:t xml:space="preserve">Mettre en place des programmes de subvention aux énergies domestiques alternatives au bois (gaz, </w:t>
      </w:r>
      <w:r w:rsidR="00A31FA0" w:rsidRPr="00B84254">
        <w:rPr>
          <w:rFonts w:ascii="Arial" w:hAnsi="Arial" w:cs="Arial"/>
          <w:color w:val="000000" w:themeColor="text1"/>
          <w:sz w:val="20"/>
          <w:szCs w:val="20"/>
          <w:lang w:val="fr-FR"/>
        </w:rPr>
        <w:t xml:space="preserve">biogaz, </w:t>
      </w:r>
      <w:r w:rsidRPr="00B84254">
        <w:rPr>
          <w:rFonts w:ascii="Arial" w:hAnsi="Arial" w:cs="Arial"/>
          <w:color w:val="000000" w:themeColor="text1"/>
          <w:sz w:val="20"/>
          <w:szCs w:val="20"/>
          <w:lang w:val="fr-FR"/>
        </w:rPr>
        <w:t>équipements de cuisson électrique</w:t>
      </w:r>
      <w:r w:rsidR="00A31FA0" w:rsidRPr="00B84254">
        <w:rPr>
          <w:rFonts w:ascii="Arial" w:hAnsi="Arial" w:cs="Arial"/>
          <w:color w:val="000000" w:themeColor="text1"/>
          <w:sz w:val="20"/>
          <w:szCs w:val="20"/>
          <w:lang w:val="fr-FR"/>
        </w:rPr>
        <w:t>,</w:t>
      </w:r>
      <w:r w:rsidR="00A31FA0" w:rsidRPr="00B84254">
        <w:t xml:space="preserve"> </w:t>
      </w:r>
      <w:r w:rsidR="00A31FA0" w:rsidRPr="00B84254">
        <w:rPr>
          <w:rFonts w:ascii="Arial" w:hAnsi="Arial" w:cs="Arial"/>
          <w:color w:val="000000" w:themeColor="text1"/>
          <w:sz w:val="20"/>
          <w:szCs w:val="20"/>
          <w:lang w:val="fr-FR"/>
        </w:rPr>
        <w:t>briquettes de biomasse</w:t>
      </w:r>
      <w:r w:rsidRPr="00B84254">
        <w:rPr>
          <w:rFonts w:ascii="Arial" w:hAnsi="Arial" w:cs="Arial"/>
          <w:color w:val="000000" w:themeColor="text1"/>
          <w:sz w:val="20"/>
          <w:szCs w:val="20"/>
          <w:lang w:val="fr-FR"/>
        </w:rPr>
        <w:t xml:space="preserve">) au moins dans les grandes villes et interdire </w:t>
      </w:r>
      <w:r w:rsidR="00F37853" w:rsidRPr="00B84254">
        <w:rPr>
          <w:rFonts w:ascii="Arial" w:hAnsi="Arial" w:cs="Arial"/>
          <w:color w:val="000000" w:themeColor="text1"/>
          <w:sz w:val="20"/>
          <w:szCs w:val="20"/>
          <w:lang w:val="fr-FR"/>
        </w:rPr>
        <w:t xml:space="preserve">le bois  - énergie </w:t>
      </w:r>
      <w:r w:rsidRPr="00B84254">
        <w:rPr>
          <w:rFonts w:ascii="Arial" w:hAnsi="Arial" w:cs="Arial"/>
          <w:color w:val="000000" w:themeColor="text1"/>
          <w:sz w:val="20"/>
          <w:szCs w:val="20"/>
          <w:lang w:val="fr-FR"/>
        </w:rPr>
        <w:t>ou développer un système de taxation à coût réel pour rendre les alternatives plus propres (gaz, électricité) compétitives. (code 3).</w:t>
      </w:r>
    </w:p>
    <w:p w14:paraId="658D4A79" w14:textId="77777777" w:rsidR="00802BA9" w:rsidRPr="00B84254" w:rsidRDefault="00802BA9" w:rsidP="00C518A4">
      <w:pPr>
        <w:numPr>
          <w:ilvl w:val="0"/>
          <w:numId w:val="44"/>
        </w:numPr>
        <w:spacing w:before="120" w:after="120" w:line="240" w:lineRule="auto"/>
        <w:contextualSpacing/>
        <w:rPr>
          <w:rFonts w:ascii="Arial" w:hAnsi="Arial" w:cs="Arial"/>
          <w:color w:val="000000" w:themeColor="text1"/>
          <w:sz w:val="20"/>
          <w:szCs w:val="20"/>
          <w:lang w:val="fr-FR"/>
        </w:rPr>
      </w:pPr>
      <w:r w:rsidRPr="00B84254">
        <w:rPr>
          <w:rFonts w:ascii="Arial" w:hAnsi="Arial" w:cs="Arial"/>
          <w:color w:val="000000" w:themeColor="text1"/>
          <w:sz w:val="20"/>
          <w:szCs w:val="20"/>
          <w:lang w:val="fr-FR"/>
        </w:rPr>
        <w:t>Mettre en place/renforcer en milieu rural les initiatives pour l’utilisation et la production plus efficientes du bois – énergie (carbonisation améliorée, plantations individuelles/villageoises, foyers améliorés, valorisation des résidus agricoles comme combustible, redynamisation des marchés ruraux sous contrôle efficace, etc.) (code 3) (*développement rural, AGCC2).</w:t>
      </w:r>
    </w:p>
    <w:p w14:paraId="786EECA1" w14:textId="77777777" w:rsidR="00802BA9" w:rsidRPr="00B84254" w:rsidRDefault="00802BA9" w:rsidP="00C518A4">
      <w:pPr>
        <w:numPr>
          <w:ilvl w:val="0"/>
          <w:numId w:val="44"/>
        </w:numPr>
        <w:spacing w:before="120" w:after="120" w:line="240" w:lineRule="auto"/>
        <w:contextualSpacing/>
        <w:jc w:val="left"/>
        <w:rPr>
          <w:rFonts w:ascii="Arial" w:hAnsi="Arial" w:cs="Arial"/>
          <w:color w:val="000000" w:themeColor="text1"/>
          <w:sz w:val="20"/>
          <w:szCs w:val="20"/>
          <w:lang w:val="fr-FR"/>
        </w:rPr>
      </w:pPr>
      <w:r w:rsidRPr="00B84254">
        <w:rPr>
          <w:rFonts w:ascii="Arial" w:hAnsi="Arial" w:cs="Arial"/>
          <w:color w:val="000000" w:themeColor="text1"/>
          <w:sz w:val="20"/>
          <w:szCs w:val="20"/>
          <w:lang w:val="fr-FR"/>
        </w:rPr>
        <w:t xml:space="preserve">Donner la préférence à la réhabilitation des centrales hydroélectriques </w:t>
      </w:r>
      <w:r w:rsidR="00D15E16">
        <w:rPr>
          <w:rFonts w:ascii="Arial" w:hAnsi="Arial" w:cs="Arial"/>
          <w:color w:val="000000" w:themeColor="text1"/>
          <w:sz w:val="20"/>
          <w:szCs w:val="20"/>
          <w:lang w:val="fr-FR"/>
        </w:rPr>
        <w:t xml:space="preserve">(en panne, en sous – productivité) </w:t>
      </w:r>
      <w:r w:rsidRPr="00B84254">
        <w:rPr>
          <w:rFonts w:ascii="Arial" w:hAnsi="Arial" w:cs="Arial"/>
          <w:color w:val="000000" w:themeColor="text1"/>
          <w:sz w:val="20"/>
          <w:szCs w:val="20"/>
          <w:lang w:val="fr-FR"/>
        </w:rPr>
        <w:t>et aux centrales solaires ou mixtes isolés dans la transition énergétique (code 3).</w:t>
      </w:r>
    </w:p>
    <w:p w14:paraId="5278D32D" w14:textId="77777777" w:rsidR="00802BA9" w:rsidRPr="00B84254" w:rsidRDefault="00802BA9" w:rsidP="00C518A4">
      <w:pPr>
        <w:spacing w:before="120" w:after="120" w:line="240" w:lineRule="auto"/>
        <w:rPr>
          <w:rFonts w:ascii="Arial" w:hAnsi="Arial" w:cs="Arial"/>
          <w:color w:val="C00000"/>
          <w:sz w:val="20"/>
          <w:szCs w:val="20"/>
          <w:lang w:val="fr-FR"/>
        </w:rPr>
      </w:pPr>
    </w:p>
    <w:p w14:paraId="004A3467" w14:textId="77777777" w:rsidR="00802BA9" w:rsidRPr="00B84254" w:rsidRDefault="00802BA9" w:rsidP="00C518A4">
      <w:pPr>
        <w:spacing w:before="120" w:after="120" w:line="240" w:lineRule="auto"/>
        <w:rPr>
          <w:rFonts w:ascii="Arial" w:hAnsi="Arial" w:cs="Arial"/>
          <w:b/>
          <w:color w:val="000000" w:themeColor="text1"/>
          <w:sz w:val="20"/>
          <w:szCs w:val="20"/>
          <w:lang w:val="fr-FR"/>
        </w:rPr>
      </w:pPr>
      <w:r w:rsidRPr="00B84254">
        <w:rPr>
          <w:rFonts w:ascii="Arial" w:hAnsi="Arial" w:cs="Arial"/>
          <w:b/>
          <w:color w:val="000000" w:themeColor="text1"/>
          <w:sz w:val="20"/>
          <w:szCs w:val="20"/>
          <w:lang w:val="fr-FR"/>
        </w:rPr>
        <w:t>Conclusion 4</w:t>
      </w:r>
    </w:p>
    <w:p w14:paraId="39C8F8BC" w14:textId="77777777" w:rsidR="00802BA9" w:rsidRPr="00B84254" w:rsidRDefault="00802BA9" w:rsidP="00C518A4">
      <w:pPr>
        <w:spacing w:before="120" w:after="120" w:line="240" w:lineRule="auto"/>
        <w:rPr>
          <w:rFonts w:ascii="Arial" w:hAnsi="Arial" w:cs="Arial"/>
          <w:b/>
          <w:color w:val="000000" w:themeColor="text1"/>
          <w:sz w:val="20"/>
          <w:szCs w:val="20"/>
          <w:lang w:val="fr-FR"/>
        </w:rPr>
      </w:pPr>
      <w:r w:rsidRPr="00B84254">
        <w:rPr>
          <w:rFonts w:ascii="Arial" w:hAnsi="Arial" w:cs="Arial"/>
          <w:b/>
          <w:color w:val="000000" w:themeColor="text1"/>
          <w:sz w:val="20"/>
          <w:szCs w:val="20"/>
          <w:lang w:val="fr-FR"/>
        </w:rPr>
        <w:t>L’orpaillage, une richesse à un prix environnemental et social désastreux</w:t>
      </w:r>
    </w:p>
    <w:p w14:paraId="6DFB094E" w14:textId="77777777" w:rsidR="00802BA9" w:rsidRPr="00B84254" w:rsidRDefault="00802BA9" w:rsidP="00C518A4">
      <w:pPr>
        <w:spacing w:before="120" w:after="120" w:line="240" w:lineRule="auto"/>
        <w:rPr>
          <w:rFonts w:ascii="Arial" w:hAnsi="Arial" w:cs="Arial"/>
          <w:color w:val="000000" w:themeColor="text1"/>
          <w:sz w:val="20"/>
          <w:szCs w:val="20"/>
          <w:lang w:val="fr-FR"/>
        </w:rPr>
      </w:pPr>
      <w:r w:rsidRPr="00B84254">
        <w:rPr>
          <w:rFonts w:ascii="Arial" w:hAnsi="Arial" w:cs="Arial"/>
          <w:color w:val="000000" w:themeColor="text1"/>
          <w:sz w:val="20"/>
          <w:szCs w:val="20"/>
          <w:lang w:val="fr-FR"/>
        </w:rPr>
        <w:t xml:space="preserve">L’orpaillage, devenu semi-industriel, est désastreux aux niveaux environnemental et social. La supervision et le contrôle de cette activité dépassent largement les capacités des communes. Un engagement </w:t>
      </w:r>
      <w:r w:rsidRPr="00B84254">
        <w:rPr>
          <w:rFonts w:ascii="Arial" w:hAnsi="Arial" w:cs="Arial"/>
          <w:sz w:val="20"/>
          <w:szCs w:val="20"/>
          <w:lang w:val="fr-FR"/>
        </w:rPr>
        <w:t xml:space="preserve">interministériel avec une implication forte de l’Etat sont indispensables afin d’éviter </w:t>
      </w:r>
      <w:r w:rsidR="00C23D9B" w:rsidRPr="00B84254">
        <w:rPr>
          <w:rFonts w:ascii="Arial" w:hAnsi="Arial" w:cs="Arial"/>
          <w:sz w:val="20"/>
          <w:szCs w:val="20"/>
          <w:lang w:val="fr-FR"/>
        </w:rPr>
        <w:t>une catastrophe</w:t>
      </w:r>
      <w:r w:rsidRPr="00B84254">
        <w:rPr>
          <w:rFonts w:ascii="Arial" w:hAnsi="Arial" w:cs="Arial"/>
          <w:sz w:val="20"/>
          <w:szCs w:val="20"/>
          <w:lang w:val="fr-FR"/>
        </w:rPr>
        <w:t xml:space="preserve"> environnementale et sociale </w:t>
      </w:r>
      <w:r w:rsidRPr="00B84254">
        <w:rPr>
          <w:rFonts w:ascii="Arial" w:hAnsi="Arial" w:cs="Arial"/>
          <w:color w:val="000000" w:themeColor="text1"/>
          <w:sz w:val="20"/>
          <w:szCs w:val="20"/>
          <w:lang w:val="fr-FR"/>
        </w:rPr>
        <w:t xml:space="preserve">; catastrophe qui apparait sur certains sites. </w:t>
      </w:r>
    </w:p>
    <w:p w14:paraId="52A0E8BA" w14:textId="77777777" w:rsidR="00802BA9" w:rsidRPr="00B84254" w:rsidRDefault="00802BA9" w:rsidP="00C518A4">
      <w:pPr>
        <w:spacing w:before="120" w:after="120" w:line="240" w:lineRule="auto"/>
        <w:rPr>
          <w:rFonts w:ascii="Arial" w:hAnsi="Arial" w:cs="Arial"/>
          <w:b/>
          <w:color w:val="000000" w:themeColor="text1"/>
          <w:sz w:val="20"/>
          <w:szCs w:val="20"/>
          <w:lang w:val="fr-FR"/>
        </w:rPr>
      </w:pPr>
      <w:r w:rsidRPr="00B84254">
        <w:rPr>
          <w:rFonts w:ascii="Arial" w:hAnsi="Arial" w:cs="Arial"/>
          <w:b/>
          <w:color w:val="000000" w:themeColor="text1"/>
          <w:sz w:val="20"/>
          <w:szCs w:val="20"/>
          <w:lang w:val="fr-FR"/>
        </w:rPr>
        <w:t>Recommandations :</w:t>
      </w:r>
    </w:p>
    <w:p w14:paraId="020CF6EC" w14:textId="77777777" w:rsidR="00802BA9" w:rsidRPr="00B84254" w:rsidRDefault="00802BA9" w:rsidP="00C518A4">
      <w:pPr>
        <w:numPr>
          <w:ilvl w:val="0"/>
          <w:numId w:val="52"/>
        </w:numPr>
        <w:spacing w:before="120" w:after="120" w:line="240" w:lineRule="auto"/>
        <w:contextualSpacing/>
        <w:rPr>
          <w:rFonts w:ascii="Arial" w:hAnsi="Arial" w:cs="Arial"/>
          <w:color w:val="000000" w:themeColor="text1"/>
          <w:sz w:val="20"/>
          <w:szCs w:val="20"/>
          <w:lang w:val="fr-FR"/>
        </w:rPr>
      </w:pPr>
      <w:r w:rsidRPr="00B84254">
        <w:rPr>
          <w:rFonts w:ascii="Arial" w:hAnsi="Arial" w:cs="Arial"/>
          <w:color w:val="000000" w:themeColor="text1"/>
          <w:sz w:val="20"/>
          <w:szCs w:val="20"/>
          <w:lang w:val="fr-FR"/>
        </w:rPr>
        <w:t>Mettre en œuvre /appliquer les actions et mesures dé</w:t>
      </w:r>
      <w:r w:rsidR="00A31FA0" w:rsidRPr="00B84254">
        <w:rPr>
          <w:rFonts w:ascii="Arial" w:hAnsi="Arial" w:cs="Arial"/>
          <w:color w:val="000000" w:themeColor="text1"/>
          <w:sz w:val="20"/>
          <w:szCs w:val="20"/>
          <w:lang w:val="fr-FR"/>
        </w:rPr>
        <w:t>jà décidées et mises en attente</w:t>
      </w:r>
      <w:r w:rsidRPr="00B84254">
        <w:rPr>
          <w:rFonts w:ascii="Arial" w:hAnsi="Arial" w:cs="Arial"/>
          <w:color w:val="000000" w:themeColor="text1"/>
          <w:sz w:val="20"/>
          <w:szCs w:val="20"/>
          <w:lang w:val="fr-FR"/>
        </w:rPr>
        <w:t> : interdiction du dragage sur les berges des fleuves et plans d’eau, application de l’interdiction de l’orpaillage durant l’hivernage (code 1).</w:t>
      </w:r>
    </w:p>
    <w:p w14:paraId="46697CEC" w14:textId="77777777" w:rsidR="00802BA9" w:rsidRPr="00B84254" w:rsidRDefault="00802BA9" w:rsidP="005343FD">
      <w:pPr>
        <w:numPr>
          <w:ilvl w:val="0"/>
          <w:numId w:val="52"/>
        </w:numPr>
        <w:spacing w:before="120" w:after="0" w:line="240" w:lineRule="auto"/>
        <w:contextualSpacing/>
        <w:rPr>
          <w:rFonts w:ascii="Arial" w:hAnsi="Arial" w:cs="Arial"/>
          <w:color w:val="000000" w:themeColor="text1"/>
          <w:sz w:val="20"/>
          <w:szCs w:val="20"/>
          <w:lang w:val="fr-FR"/>
        </w:rPr>
      </w:pPr>
      <w:r w:rsidRPr="00B84254">
        <w:rPr>
          <w:rFonts w:ascii="Arial" w:hAnsi="Arial" w:cs="Arial"/>
          <w:color w:val="000000" w:themeColor="text1"/>
          <w:sz w:val="20"/>
          <w:szCs w:val="20"/>
          <w:lang w:val="fr-FR"/>
        </w:rPr>
        <w:lastRenderedPageBreak/>
        <w:t>Réduire / interdire l’orpaillage semi – industriel utilisant le mercure et le cyanure et assurer un contrôle efficace (Code 1) (* gouvernance pour l’appui au contrôle).</w:t>
      </w:r>
    </w:p>
    <w:p w14:paraId="57EA44A0" w14:textId="77777777" w:rsidR="005343FD" w:rsidRPr="00B84254" w:rsidRDefault="005343FD" w:rsidP="005343FD">
      <w:pPr>
        <w:pStyle w:val="Pardeliste"/>
        <w:numPr>
          <w:ilvl w:val="0"/>
          <w:numId w:val="52"/>
        </w:numPr>
        <w:spacing w:after="0"/>
        <w:rPr>
          <w:rFonts w:ascii="Arial" w:hAnsi="Arial" w:cs="Arial"/>
          <w:color w:val="000000" w:themeColor="text1"/>
          <w:sz w:val="20"/>
          <w:szCs w:val="20"/>
          <w:lang w:val="fr-FR"/>
        </w:rPr>
      </w:pPr>
      <w:r w:rsidRPr="00B84254">
        <w:rPr>
          <w:rFonts w:ascii="Arial" w:hAnsi="Arial" w:cs="Arial"/>
          <w:color w:val="000000" w:themeColor="text1"/>
          <w:sz w:val="20"/>
          <w:szCs w:val="20"/>
          <w:lang w:val="fr-FR"/>
        </w:rPr>
        <w:t>Faire l’état de</w:t>
      </w:r>
      <w:r w:rsidR="00C9742D" w:rsidRPr="00B84254">
        <w:rPr>
          <w:rFonts w:ascii="Arial" w:hAnsi="Arial" w:cs="Arial"/>
          <w:color w:val="000000" w:themeColor="text1"/>
          <w:sz w:val="20"/>
          <w:szCs w:val="20"/>
          <w:lang w:val="fr-FR"/>
        </w:rPr>
        <w:t>s</w:t>
      </w:r>
      <w:r w:rsidRPr="00B84254">
        <w:rPr>
          <w:rFonts w:ascii="Arial" w:hAnsi="Arial" w:cs="Arial"/>
          <w:color w:val="000000" w:themeColor="text1"/>
          <w:sz w:val="20"/>
          <w:szCs w:val="20"/>
          <w:lang w:val="fr-FR"/>
        </w:rPr>
        <w:t xml:space="preserve"> lieu</w:t>
      </w:r>
      <w:r w:rsidR="00C9742D" w:rsidRPr="00B84254">
        <w:rPr>
          <w:rFonts w:ascii="Arial" w:hAnsi="Arial" w:cs="Arial"/>
          <w:color w:val="000000" w:themeColor="text1"/>
          <w:sz w:val="20"/>
          <w:szCs w:val="20"/>
          <w:lang w:val="fr-FR"/>
        </w:rPr>
        <w:t>x</w:t>
      </w:r>
      <w:r w:rsidRPr="00B84254">
        <w:rPr>
          <w:rFonts w:ascii="Arial" w:hAnsi="Arial" w:cs="Arial"/>
          <w:color w:val="000000" w:themeColor="text1"/>
          <w:sz w:val="20"/>
          <w:szCs w:val="20"/>
          <w:lang w:val="fr-FR"/>
        </w:rPr>
        <w:t xml:space="preserve"> des sites d’orpaillage (code 3)</w:t>
      </w:r>
    </w:p>
    <w:p w14:paraId="51578544" w14:textId="77777777" w:rsidR="00802BA9" w:rsidRPr="00B84254" w:rsidRDefault="00802BA9" w:rsidP="005343FD">
      <w:pPr>
        <w:numPr>
          <w:ilvl w:val="0"/>
          <w:numId w:val="52"/>
        </w:numPr>
        <w:spacing w:after="0" w:line="240" w:lineRule="auto"/>
        <w:contextualSpacing/>
        <w:rPr>
          <w:rFonts w:ascii="Arial" w:hAnsi="Arial" w:cs="Arial"/>
          <w:color w:val="000000" w:themeColor="text1"/>
          <w:sz w:val="20"/>
          <w:szCs w:val="20"/>
          <w:lang w:val="fr-FR"/>
        </w:rPr>
      </w:pPr>
      <w:r w:rsidRPr="00B84254">
        <w:rPr>
          <w:rFonts w:ascii="Arial" w:hAnsi="Arial" w:cs="Arial"/>
          <w:color w:val="000000" w:themeColor="text1"/>
          <w:sz w:val="20"/>
          <w:szCs w:val="20"/>
          <w:lang w:val="fr-FR"/>
        </w:rPr>
        <w:t xml:space="preserve">Organiser et encadrer le secteur et les communes concernées </w:t>
      </w:r>
      <w:r w:rsidR="00543EA5" w:rsidRPr="00B84254">
        <w:rPr>
          <w:rFonts w:ascii="Arial" w:hAnsi="Arial" w:cs="Arial"/>
          <w:color w:val="000000" w:themeColor="text1"/>
          <w:sz w:val="20"/>
          <w:szCs w:val="20"/>
          <w:lang w:val="fr-FR"/>
        </w:rPr>
        <w:t xml:space="preserve">à respecter la réglementation en vigueur </w:t>
      </w:r>
      <w:r w:rsidRPr="00B84254">
        <w:rPr>
          <w:rFonts w:ascii="Arial" w:hAnsi="Arial" w:cs="Arial"/>
          <w:color w:val="000000" w:themeColor="text1"/>
          <w:sz w:val="20"/>
          <w:szCs w:val="20"/>
          <w:lang w:val="fr-FR"/>
        </w:rPr>
        <w:t>en impliquant le service technique des mines, la DRACPN</w:t>
      </w:r>
      <w:r w:rsidR="005343FD" w:rsidRPr="00B84254">
        <w:rPr>
          <w:rFonts w:ascii="Arial" w:hAnsi="Arial" w:cs="Arial"/>
          <w:color w:val="000000" w:themeColor="text1"/>
          <w:sz w:val="20"/>
          <w:szCs w:val="20"/>
          <w:lang w:val="fr-FR"/>
        </w:rPr>
        <w:t>, le Conseil National des Orpailleurs, la Chambre des Mines, les acteurs sur les sites d’orpaillage</w:t>
      </w:r>
      <w:r w:rsidRPr="00B84254">
        <w:rPr>
          <w:rFonts w:ascii="Arial" w:hAnsi="Arial" w:cs="Arial"/>
          <w:color w:val="000000" w:themeColor="text1"/>
          <w:sz w:val="20"/>
          <w:szCs w:val="20"/>
          <w:lang w:val="fr-FR"/>
        </w:rPr>
        <w:t xml:space="preserve"> et les forces de l’ordre (code 3)(*gouvernance – décentralisation)</w:t>
      </w:r>
    </w:p>
    <w:p w14:paraId="25A0650F" w14:textId="77777777" w:rsidR="00802BA9" w:rsidRPr="00B84254" w:rsidRDefault="00802BA9" w:rsidP="00C518A4">
      <w:pPr>
        <w:spacing w:before="120" w:after="120" w:line="240" w:lineRule="auto"/>
        <w:rPr>
          <w:rFonts w:ascii="Arial" w:hAnsi="Arial" w:cs="Arial"/>
          <w:b/>
          <w:sz w:val="20"/>
          <w:szCs w:val="20"/>
          <w:lang w:val="fr-FR"/>
        </w:rPr>
      </w:pPr>
    </w:p>
    <w:p w14:paraId="1551C4BF" w14:textId="77777777" w:rsidR="00802BA9" w:rsidRPr="00B84254" w:rsidRDefault="00802BA9" w:rsidP="00C518A4">
      <w:pPr>
        <w:spacing w:before="120" w:after="120" w:line="240" w:lineRule="auto"/>
        <w:rPr>
          <w:rFonts w:ascii="Arial" w:hAnsi="Arial" w:cs="Arial"/>
          <w:b/>
          <w:sz w:val="20"/>
          <w:szCs w:val="20"/>
          <w:lang w:val="fr-FR"/>
        </w:rPr>
      </w:pPr>
      <w:r w:rsidRPr="00B84254">
        <w:rPr>
          <w:rFonts w:ascii="Arial" w:hAnsi="Arial" w:cs="Arial"/>
          <w:b/>
          <w:sz w:val="20"/>
          <w:szCs w:val="20"/>
          <w:lang w:val="fr-FR"/>
        </w:rPr>
        <w:t>Conclusion 5</w:t>
      </w:r>
    </w:p>
    <w:p w14:paraId="7CF5941F" w14:textId="77777777" w:rsidR="00802BA9" w:rsidRPr="00B84254" w:rsidRDefault="00802BA9" w:rsidP="00C518A4">
      <w:pPr>
        <w:spacing w:before="120" w:after="120" w:line="240" w:lineRule="auto"/>
        <w:rPr>
          <w:rFonts w:ascii="Arial" w:hAnsi="Arial" w:cs="Arial"/>
          <w:b/>
          <w:sz w:val="20"/>
          <w:szCs w:val="20"/>
          <w:lang w:val="fr-FR"/>
        </w:rPr>
      </w:pPr>
      <w:r w:rsidRPr="00B84254">
        <w:rPr>
          <w:rFonts w:ascii="Arial" w:hAnsi="Arial" w:cs="Arial"/>
          <w:b/>
          <w:sz w:val="20"/>
          <w:szCs w:val="20"/>
          <w:lang w:val="fr-FR"/>
        </w:rPr>
        <w:t>Bamako, une capitale « peu propre », sans espace pour l’assainissement et piégée par ses questions foncières, institutionnelles</w:t>
      </w:r>
      <w:r w:rsidR="005343FD" w:rsidRPr="00B84254">
        <w:rPr>
          <w:rFonts w:ascii="Arial" w:hAnsi="Arial" w:cs="Arial"/>
          <w:b/>
          <w:sz w:val="20"/>
          <w:szCs w:val="20"/>
          <w:lang w:val="fr-FR"/>
        </w:rPr>
        <w:t xml:space="preserve"> et procédurales</w:t>
      </w:r>
      <w:r w:rsidRPr="00B84254">
        <w:rPr>
          <w:rFonts w:ascii="Arial" w:hAnsi="Arial" w:cs="Arial"/>
          <w:b/>
          <w:sz w:val="20"/>
          <w:szCs w:val="20"/>
          <w:lang w:val="fr-FR"/>
        </w:rPr>
        <w:t xml:space="preserve">  </w:t>
      </w:r>
    </w:p>
    <w:p w14:paraId="74406710" w14:textId="77777777" w:rsidR="00802BA9" w:rsidRPr="00B84254" w:rsidRDefault="00802BA9" w:rsidP="00C518A4">
      <w:pPr>
        <w:spacing w:before="120" w:after="120" w:line="240" w:lineRule="auto"/>
        <w:rPr>
          <w:rFonts w:ascii="Arial" w:hAnsi="Arial" w:cs="Arial"/>
          <w:sz w:val="20"/>
          <w:szCs w:val="20"/>
          <w:lang w:val="fr-FR"/>
        </w:rPr>
      </w:pPr>
      <w:r w:rsidRPr="00B84254">
        <w:rPr>
          <w:rFonts w:ascii="Arial" w:hAnsi="Arial" w:cs="Arial"/>
          <w:sz w:val="20"/>
          <w:szCs w:val="20"/>
          <w:lang w:val="fr-FR"/>
        </w:rPr>
        <w:t>L’ampleur des défis de l’environnement urbain et de la pollution sous toutes ses formes deviennent de plus en plus préoccupant. Conscient de la problématique, plusieurs initiatives/programmes (SDU, plans de circulation, filières et traitement des déchets) ont été engagés ces dernières années dans les villes, parfois avec des résultats encourageants. Paradoxalement ces succès concernent surtout les villes secondaires et très peu la capitale. Des urgences environnementales existent partout dans la capitale ; capitale qui restera le pôle de développement du pays et attirera de plus en plus la population malienne. Toutefois les actions d’appui éventuelles ne peuvent pas réussir sans contrôle renforcé du respect de la réglementation environnementale, le traitement des questions foncières, institutionnelles et organisationnelles, la planification spatiale concertée des actions concrètes intégrées.</w:t>
      </w:r>
    </w:p>
    <w:p w14:paraId="65BED01D" w14:textId="77777777" w:rsidR="00802BA9" w:rsidRPr="00B84254" w:rsidRDefault="00802BA9" w:rsidP="00C518A4">
      <w:pPr>
        <w:spacing w:before="120" w:after="120" w:line="240" w:lineRule="auto"/>
        <w:rPr>
          <w:rFonts w:ascii="Arial" w:hAnsi="Arial" w:cs="Arial"/>
          <w:b/>
          <w:sz w:val="20"/>
          <w:szCs w:val="20"/>
          <w:lang w:val="fr-FR"/>
        </w:rPr>
      </w:pPr>
      <w:r w:rsidRPr="00B84254">
        <w:rPr>
          <w:rFonts w:ascii="Arial" w:hAnsi="Arial" w:cs="Arial"/>
          <w:b/>
          <w:sz w:val="20"/>
          <w:szCs w:val="20"/>
          <w:lang w:val="fr-FR"/>
        </w:rPr>
        <w:t>Recommandations</w:t>
      </w:r>
    </w:p>
    <w:p w14:paraId="6442D9C0" w14:textId="77777777" w:rsidR="00802BA9" w:rsidRPr="00B84254" w:rsidRDefault="00802BA9" w:rsidP="00C518A4">
      <w:pPr>
        <w:numPr>
          <w:ilvl w:val="0"/>
          <w:numId w:val="46"/>
        </w:numPr>
        <w:spacing w:before="120" w:after="120" w:line="240" w:lineRule="auto"/>
        <w:contextualSpacing/>
        <w:rPr>
          <w:rFonts w:ascii="Arial" w:hAnsi="Arial" w:cs="Arial"/>
          <w:sz w:val="20"/>
          <w:szCs w:val="20"/>
          <w:lang w:val="fr-FR"/>
        </w:rPr>
      </w:pPr>
      <w:r w:rsidRPr="00B84254">
        <w:rPr>
          <w:rFonts w:ascii="Arial" w:hAnsi="Arial" w:cs="Arial"/>
          <w:sz w:val="20"/>
          <w:szCs w:val="20"/>
          <w:lang w:val="fr-FR"/>
        </w:rPr>
        <w:t>Intégrer l’environnement / le développement urbain de Bamako dans le post – 11</w:t>
      </w:r>
      <w:r w:rsidRPr="00B84254">
        <w:rPr>
          <w:rFonts w:ascii="Arial" w:hAnsi="Arial" w:cs="Arial"/>
          <w:sz w:val="20"/>
          <w:szCs w:val="20"/>
          <w:vertAlign w:val="superscript"/>
          <w:lang w:val="fr-FR"/>
        </w:rPr>
        <w:t xml:space="preserve">ème </w:t>
      </w:r>
      <w:r w:rsidRPr="00B84254">
        <w:rPr>
          <w:rFonts w:ascii="Arial" w:hAnsi="Arial" w:cs="Arial"/>
          <w:sz w:val="20"/>
          <w:szCs w:val="20"/>
          <w:lang w:val="fr-FR"/>
        </w:rPr>
        <w:t>FED vu l’ampleur de la problématique (*). Selon l’engagement prévu, deux scenarii semblent opportuns :</w:t>
      </w:r>
    </w:p>
    <w:p w14:paraId="73A88632" w14:textId="77777777" w:rsidR="00802BA9" w:rsidRPr="00B84254" w:rsidRDefault="00802BA9" w:rsidP="00C518A4">
      <w:pPr>
        <w:numPr>
          <w:ilvl w:val="0"/>
          <w:numId w:val="67"/>
        </w:numPr>
        <w:spacing w:before="120" w:after="120" w:line="240" w:lineRule="auto"/>
        <w:contextualSpacing/>
        <w:rPr>
          <w:rFonts w:ascii="Arial" w:hAnsi="Arial" w:cs="Arial"/>
          <w:sz w:val="20"/>
          <w:szCs w:val="20"/>
          <w:lang w:val="fr-FR"/>
        </w:rPr>
      </w:pPr>
      <w:r w:rsidRPr="00B84254">
        <w:rPr>
          <w:rFonts w:ascii="Arial" w:hAnsi="Arial" w:cs="Arial"/>
          <w:sz w:val="20"/>
          <w:szCs w:val="20"/>
          <w:lang w:val="fr-FR"/>
        </w:rPr>
        <w:t xml:space="preserve">Intégration dans les domaines de compétences existants de l’UE au Mali : </w:t>
      </w:r>
    </w:p>
    <w:p w14:paraId="23311823" w14:textId="77777777" w:rsidR="00802BA9" w:rsidRPr="00B84254" w:rsidRDefault="00802BA9" w:rsidP="00C518A4">
      <w:pPr>
        <w:spacing w:before="120" w:after="120" w:line="240" w:lineRule="auto"/>
        <w:ind w:left="360"/>
        <w:rPr>
          <w:rFonts w:ascii="Arial" w:hAnsi="Arial" w:cs="Arial"/>
          <w:sz w:val="20"/>
          <w:szCs w:val="20"/>
          <w:lang w:val="fr-FR"/>
        </w:rPr>
      </w:pPr>
      <w:r w:rsidRPr="00B84254">
        <w:rPr>
          <w:rFonts w:ascii="Arial" w:hAnsi="Arial" w:cs="Arial"/>
          <w:sz w:val="20"/>
          <w:szCs w:val="20"/>
          <w:lang w:val="fr-FR"/>
        </w:rPr>
        <w:t>Ia) Secteur transports :</w:t>
      </w:r>
    </w:p>
    <w:p w14:paraId="2D77C6D1" w14:textId="77777777" w:rsidR="00802BA9" w:rsidRPr="00B84254" w:rsidRDefault="00802BA9" w:rsidP="00C518A4">
      <w:pPr>
        <w:numPr>
          <w:ilvl w:val="0"/>
          <w:numId w:val="47"/>
        </w:numPr>
        <w:spacing w:before="120" w:after="120" w:line="240" w:lineRule="auto"/>
        <w:contextualSpacing/>
        <w:rPr>
          <w:rFonts w:ascii="Arial" w:hAnsi="Arial" w:cs="Arial"/>
          <w:sz w:val="20"/>
          <w:szCs w:val="20"/>
          <w:lang w:val="fr-FR"/>
        </w:rPr>
      </w:pPr>
      <w:r w:rsidRPr="00B84254">
        <w:rPr>
          <w:rFonts w:ascii="Arial" w:hAnsi="Arial" w:cs="Arial"/>
          <w:sz w:val="20"/>
          <w:szCs w:val="20"/>
          <w:lang w:val="fr-FR"/>
        </w:rPr>
        <w:t>Appuyer l’élaboration et la mise en œuvre du plan de circulation de Bamako.</w:t>
      </w:r>
    </w:p>
    <w:p w14:paraId="6712FA11" w14:textId="77777777" w:rsidR="00802BA9" w:rsidRPr="00B84254" w:rsidRDefault="00802BA9" w:rsidP="00C518A4">
      <w:pPr>
        <w:numPr>
          <w:ilvl w:val="0"/>
          <w:numId w:val="47"/>
        </w:numPr>
        <w:spacing w:before="120" w:after="120" w:line="240" w:lineRule="auto"/>
        <w:contextualSpacing/>
        <w:rPr>
          <w:rFonts w:ascii="Arial" w:hAnsi="Arial" w:cs="Arial"/>
          <w:sz w:val="20"/>
          <w:szCs w:val="20"/>
          <w:lang w:val="fr-FR"/>
        </w:rPr>
      </w:pPr>
      <w:r w:rsidRPr="00B84254">
        <w:rPr>
          <w:rFonts w:ascii="Arial" w:hAnsi="Arial" w:cs="Arial"/>
          <w:sz w:val="20"/>
          <w:szCs w:val="20"/>
          <w:lang w:val="fr-FR"/>
        </w:rPr>
        <w:t>Appuyer le développement / l’adaptation des canaux d’évacuation d’eau de surface.</w:t>
      </w:r>
    </w:p>
    <w:p w14:paraId="5E105C94" w14:textId="77777777" w:rsidR="00802BA9" w:rsidRPr="00B84254" w:rsidRDefault="00802BA9" w:rsidP="00C518A4">
      <w:pPr>
        <w:numPr>
          <w:ilvl w:val="0"/>
          <w:numId w:val="47"/>
        </w:numPr>
        <w:spacing w:before="120" w:after="120" w:line="240" w:lineRule="auto"/>
        <w:contextualSpacing/>
        <w:rPr>
          <w:rFonts w:ascii="Arial" w:hAnsi="Arial" w:cs="Arial"/>
          <w:sz w:val="20"/>
          <w:szCs w:val="20"/>
          <w:lang w:val="fr-FR"/>
        </w:rPr>
      </w:pPr>
      <w:r w:rsidRPr="00B84254">
        <w:rPr>
          <w:rFonts w:ascii="Arial" w:hAnsi="Arial" w:cs="Arial"/>
          <w:sz w:val="20"/>
          <w:szCs w:val="20"/>
          <w:lang w:val="fr-FR"/>
        </w:rPr>
        <w:t>Appuyer la révision des normes des contrôles techniques des véhicules en faveur de la réduction des pollutions.</w:t>
      </w:r>
    </w:p>
    <w:p w14:paraId="34BC8404" w14:textId="77777777" w:rsidR="00802BA9" w:rsidRPr="00B84254" w:rsidRDefault="00802BA9" w:rsidP="00C518A4">
      <w:pPr>
        <w:spacing w:before="120" w:after="120" w:line="240" w:lineRule="auto"/>
        <w:ind w:left="-360" w:firstLine="708"/>
        <w:rPr>
          <w:rFonts w:ascii="Arial" w:hAnsi="Arial" w:cs="Arial"/>
          <w:sz w:val="20"/>
          <w:szCs w:val="20"/>
          <w:lang w:val="fr-FR"/>
        </w:rPr>
      </w:pPr>
      <w:r w:rsidRPr="00B84254">
        <w:rPr>
          <w:rFonts w:ascii="Arial" w:hAnsi="Arial" w:cs="Arial"/>
          <w:sz w:val="20"/>
          <w:szCs w:val="20"/>
          <w:lang w:val="fr-FR"/>
        </w:rPr>
        <w:t>Ib) Gouvernance :</w:t>
      </w:r>
    </w:p>
    <w:p w14:paraId="3F2156A9" w14:textId="77777777" w:rsidR="00802BA9" w:rsidRPr="00B84254" w:rsidRDefault="00802BA9" w:rsidP="00C518A4">
      <w:pPr>
        <w:numPr>
          <w:ilvl w:val="0"/>
          <w:numId w:val="48"/>
        </w:numPr>
        <w:spacing w:before="120" w:after="120" w:line="240" w:lineRule="auto"/>
        <w:contextualSpacing/>
        <w:rPr>
          <w:rFonts w:ascii="Arial" w:hAnsi="Arial" w:cs="Arial"/>
          <w:sz w:val="20"/>
          <w:szCs w:val="20"/>
          <w:lang w:val="fr-FR"/>
        </w:rPr>
      </w:pPr>
      <w:r w:rsidRPr="00B84254">
        <w:rPr>
          <w:rFonts w:ascii="Arial" w:hAnsi="Arial" w:cs="Arial"/>
          <w:sz w:val="20"/>
          <w:szCs w:val="20"/>
          <w:lang w:val="fr-FR"/>
        </w:rPr>
        <w:t>Appuyer / renforcer l’opérationnalité de la DNACPN afin qu’elle puisse assurer son mandat régalien de contrôle des pollutions.</w:t>
      </w:r>
    </w:p>
    <w:p w14:paraId="7D0656A0" w14:textId="77777777" w:rsidR="00802BA9" w:rsidRPr="00B84254" w:rsidRDefault="00802BA9" w:rsidP="00C518A4">
      <w:pPr>
        <w:numPr>
          <w:ilvl w:val="0"/>
          <w:numId w:val="48"/>
        </w:numPr>
        <w:spacing w:before="120" w:after="120" w:line="240" w:lineRule="auto"/>
        <w:contextualSpacing/>
        <w:rPr>
          <w:rFonts w:ascii="Arial" w:hAnsi="Arial" w:cs="Arial"/>
          <w:sz w:val="20"/>
          <w:szCs w:val="20"/>
          <w:lang w:val="fr-FR"/>
        </w:rPr>
      </w:pPr>
      <w:r w:rsidRPr="00B84254">
        <w:rPr>
          <w:rFonts w:ascii="Arial" w:hAnsi="Arial" w:cs="Arial"/>
          <w:sz w:val="20"/>
          <w:szCs w:val="20"/>
          <w:lang w:val="fr-FR"/>
        </w:rPr>
        <w:t>Mettre en place un observatoire de la qualité de l’air (à l’instar de celui de Dakar) incluant l’opérationnalisation / la réhabilitation de l’unité mobile actuellement hors service</w:t>
      </w:r>
    </w:p>
    <w:p w14:paraId="77363208" w14:textId="77777777" w:rsidR="00802BA9" w:rsidRPr="00B84254" w:rsidRDefault="00802BA9" w:rsidP="00C518A4">
      <w:pPr>
        <w:spacing w:before="120" w:after="120" w:line="240" w:lineRule="auto"/>
        <w:rPr>
          <w:rFonts w:ascii="Arial" w:hAnsi="Arial" w:cs="Arial"/>
          <w:sz w:val="20"/>
          <w:szCs w:val="20"/>
          <w:lang w:val="fr-FR"/>
        </w:rPr>
      </w:pPr>
    </w:p>
    <w:p w14:paraId="752A4B1F" w14:textId="77777777" w:rsidR="00802BA9" w:rsidRPr="00B84254" w:rsidRDefault="00802BA9" w:rsidP="00C518A4">
      <w:pPr>
        <w:numPr>
          <w:ilvl w:val="0"/>
          <w:numId w:val="67"/>
        </w:numPr>
        <w:tabs>
          <w:tab w:val="left" w:pos="426"/>
        </w:tabs>
        <w:spacing w:before="120" w:after="120" w:line="240" w:lineRule="auto"/>
        <w:contextualSpacing/>
        <w:rPr>
          <w:rFonts w:ascii="Arial" w:hAnsi="Arial" w:cs="Arial"/>
          <w:sz w:val="20"/>
          <w:szCs w:val="20"/>
          <w:lang w:val="fr-FR"/>
        </w:rPr>
      </w:pPr>
      <w:r w:rsidRPr="00B84254">
        <w:rPr>
          <w:rFonts w:ascii="Arial" w:hAnsi="Arial" w:cs="Arial"/>
          <w:sz w:val="20"/>
          <w:szCs w:val="20"/>
          <w:lang w:val="fr-FR"/>
        </w:rPr>
        <w:t>Un programme spécifique de gestion environnementale pour la ville de Bamako</w:t>
      </w:r>
      <w:r w:rsidR="00CA7594" w:rsidRPr="00B84254">
        <w:rPr>
          <w:rFonts w:ascii="Arial" w:hAnsi="Arial" w:cs="Arial"/>
          <w:sz w:val="20"/>
          <w:szCs w:val="20"/>
          <w:lang w:val="fr-FR"/>
        </w:rPr>
        <w:t xml:space="preserve"> comme secteur de concentration du post – 11</w:t>
      </w:r>
      <w:r w:rsidR="00CA7594" w:rsidRPr="00B84254">
        <w:rPr>
          <w:rFonts w:ascii="Arial" w:hAnsi="Arial" w:cs="Arial"/>
          <w:sz w:val="20"/>
          <w:szCs w:val="20"/>
          <w:vertAlign w:val="superscript"/>
          <w:lang w:val="fr-FR"/>
        </w:rPr>
        <w:t>ème</w:t>
      </w:r>
      <w:r w:rsidR="00CA7594" w:rsidRPr="00B84254">
        <w:rPr>
          <w:rFonts w:ascii="Arial" w:hAnsi="Arial" w:cs="Arial"/>
          <w:sz w:val="20"/>
          <w:szCs w:val="20"/>
          <w:lang w:val="fr-FR"/>
        </w:rPr>
        <w:t xml:space="preserve"> FED en ajoutant en plus</w:t>
      </w:r>
      <w:r w:rsidRPr="00B84254">
        <w:rPr>
          <w:rFonts w:ascii="Arial" w:hAnsi="Arial" w:cs="Arial"/>
          <w:sz w:val="20"/>
          <w:szCs w:val="20"/>
          <w:lang w:val="fr-FR"/>
        </w:rPr>
        <w:t> :</w:t>
      </w:r>
    </w:p>
    <w:p w14:paraId="7290EBF4" w14:textId="77777777" w:rsidR="00802BA9" w:rsidRPr="00B84254" w:rsidRDefault="00802BA9" w:rsidP="00C518A4">
      <w:pPr>
        <w:numPr>
          <w:ilvl w:val="0"/>
          <w:numId w:val="50"/>
        </w:numPr>
        <w:tabs>
          <w:tab w:val="left" w:pos="426"/>
        </w:tabs>
        <w:spacing w:before="120" w:after="120" w:line="240" w:lineRule="auto"/>
        <w:contextualSpacing/>
        <w:rPr>
          <w:rFonts w:ascii="Arial" w:hAnsi="Arial" w:cs="Arial"/>
          <w:sz w:val="20"/>
          <w:szCs w:val="20"/>
          <w:lang w:val="fr-FR"/>
        </w:rPr>
      </w:pPr>
      <w:r w:rsidRPr="00B84254">
        <w:rPr>
          <w:rFonts w:ascii="Arial" w:hAnsi="Arial" w:cs="Arial"/>
          <w:sz w:val="20"/>
          <w:szCs w:val="20"/>
          <w:lang w:val="fr-FR"/>
        </w:rPr>
        <w:t>Appuyer</w:t>
      </w:r>
      <w:r w:rsidRPr="00B84254">
        <w:rPr>
          <w:rFonts w:ascii="Arial" w:hAnsi="Arial" w:cs="Arial"/>
          <w:sz w:val="20"/>
          <w:szCs w:val="20"/>
        </w:rPr>
        <w:t xml:space="preserve"> </w:t>
      </w:r>
      <w:r w:rsidRPr="00B84254">
        <w:rPr>
          <w:rFonts w:ascii="Arial" w:hAnsi="Arial" w:cs="Arial"/>
          <w:sz w:val="20"/>
          <w:szCs w:val="20"/>
          <w:lang w:val="fr-FR"/>
        </w:rPr>
        <w:t>les efforts en cours pour l’élaboration du Schéma Directeur d’Urbanisme de l’agglomération de Bamako en incluant un appui technique pour résoudre les questions foncières et institutionnelles cruciales.</w:t>
      </w:r>
    </w:p>
    <w:p w14:paraId="3CB8EE0C" w14:textId="77777777" w:rsidR="00802BA9" w:rsidRPr="00B84254" w:rsidRDefault="00802BA9" w:rsidP="00C518A4">
      <w:pPr>
        <w:numPr>
          <w:ilvl w:val="0"/>
          <w:numId w:val="50"/>
        </w:numPr>
        <w:tabs>
          <w:tab w:val="left" w:pos="426"/>
        </w:tabs>
        <w:spacing w:before="120" w:after="120" w:line="240" w:lineRule="auto"/>
        <w:contextualSpacing/>
        <w:rPr>
          <w:rFonts w:ascii="Arial" w:hAnsi="Arial" w:cs="Arial"/>
          <w:sz w:val="20"/>
          <w:szCs w:val="20"/>
          <w:lang w:val="fr-FR"/>
        </w:rPr>
      </w:pPr>
      <w:r w:rsidRPr="00B84254">
        <w:rPr>
          <w:rFonts w:ascii="Arial" w:hAnsi="Arial" w:cs="Arial"/>
          <w:sz w:val="20"/>
          <w:szCs w:val="20"/>
          <w:lang w:val="fr-FR"/>
        </w:rPr>
        <w:t>Appuyer les filières intégrées d’assainissement (collecte, recyclage et dépôts de transit et final des déchets domestiques/industriels) et la mise en œuvre des actions techniques prioritaires (traitement/valorisation des boues de vidange, aménagement des dépôts transitoires)</w:t>
      </w:r>
    </w:p>
    <w:p w14:paraId="1D910652" w14:textId="77777777" w:rsidR="00802BA9" w:rsidRPr="00B84254" w:rsidRDefault="00802BA9" w:rsidP="00C518A4">
      <w:pPr>
        <w:tabs>
          <w:tab w:val="left" w:pos="426"/>
        </w:tabs>
        <w:spacing w:before="120" w:after="120" w:line="240" w:lineRule="auto"/>
        <w:ind w:left="420"/>
        <w:rPr>
          <w:rFonts w:ascii="Arial" w:hAnsi="Arial" w:cs="Arial"/>
          <w:sz w:val="20"/>
          <w:szCs w:val="20"/>
          <w:lang w:val="fr-FR"/>
        </w:rPr>
      </w:pPr>
      <w:r w:rsidRPr="00B84254">
        <w:rPr>
          <w:rFonts w:ascii="Arial" w:hAnsi="Arial" w:cs="Arial"/>
          <w:sz w:val="20"/>
          <w:szCs w:val="20"/>
          <w:lang w:val="fr-FR"/>
        </w:rPr>
        <w:t xml:space="preserve">NB : Une délégation d’un tel programme peut s’adresser aux PTF spécialisés (UN-Habitat, Enabel, SNV,..)  </w:t>
      </w:r>
    </w:p>
    <w:p w14:paraId="5FAC47F6" w14:textId="77777777" w:rsidR="00802BA9" w:rsidRPr="00B84254" w:rsidRDefault="00802BA9" w:rsidP="00C518A4">
      <w:pPr>
        <w:spacing w:before="120" w:after="120" w:line="240" w:lineRule="auto"/>
        <w:rPr>
          <w:rFonts w:ascii="Arial" w:hAnsi="Arial" w:cs="Arial"/>
          <w:sz w:val="20"/>
          <w:szCs w:val="20"/>
          <w:lang w:val="fr-FR"/>
        </w:rPr>
      </w:pPr>
    </w:p>
    <w:p w14:paraId="6F518FD7" w14:textId="77777777" w:rsidR="00802BA9" w:rsidRPr="00B84254" w:rsidRDefault="00802BA9" w:rsidP="00C518A4">
      <w:pPr>
        <w:spacing w:before="120" w:after="120" w:line="240" w:lineRule="auto"/>
        <w:rPr>
          <w:rFonts w:ascii="Arial" w:hAnsi="Arial" w:cs="Arial"/>
          <w:b/>
          <w:sz w:val="20"/>
          <w:szCs w:val="20"/>
          <w:lang w:val="fr-FR"/>
        </w:rPr>
      </w:pPr>
      <w:r w:rsidRPr="00B84254">
        <w:rPr>
          <w:rFonts w:ascii="Arial" w:hAnsi="Arial" w:cs="Arial"/>
          <w:b/>
          <w:sz w:val="20"/>
          <w:szCs w:val="20"/>
          <w:lang w:val="fr-FR"/>
        </w:rPr>
        <w:t>Conclusion 6</w:t>
      </w:r>
    </w:p>
    <w:p w14:paraId="27082564" w14:textId="77777777" w:rsidR="00802BA9" w:rsidRPr="00B84254" w:rsidRDefault="00802BA9" w:rsidP="00C518A4">
      <w:pPr>
        <w:spacing w:before="120" w:after="120" w:line="240" w:lineRule="auto"/>
        <w:rPr>
          <w:rFonts w:ascii="Arial" w:hAnsi="Arial" w:cs="Arial"/>
          <w:b/>
          <w:sz w:val="20"/>
          <w:szCs w:val="20"/>
          <w:lang w:val="fr-FR"/>
        </w:rPr>
      </w:pPr>
      <w:r w:rsidRPr="00B84254">
        <w:rPr>
          <w:rFonts w:ascii="Arial" w:hAnsi="Arial" w:cs="Arial"/>
          <w:b/>
          <w:sz w:val="20"/>
          <w:szCs w:val="20"/>
          <w:lang w:val="fr-FR"/>
        </w:rPr>
        <w:t>Les progrès du développement / de la production rurale se f</w:t>
      </w:r>
      <w:r w:rsidR="00EA5EB4" w:rsidRPr="00B84254">
        <w:rPr>
          <w:rFonts w:ascii="Arial" w:hAnsi="Arial" w:cs="Arial"/>
          <w:b/>
          <w:sz w:val="20"/>
          <w:szCs w:val="20"/>
          <w:lang w:val="fr-FR"/>
        </w:rPr>
        <w:t>ont</w:t>
      </w:r>
      <w:r w:rsidRPr="00B84254">
        <w:rPr>
          <w:rFonts w:ascii="Arial" w:hAnsi="Arial" w:cs="Arial"/>
          <w:b/>
          <w:sz w:val="20"/>
          <w:szCs w:val="20"/>
          <w:lang w:val="fr-FR"/>
        </w:rPr>
        <w:t xml:space="preserve"> au détriment des ressources naturelles sans véritable prise en compte </w:t>
      </w:r>
      <w:r w:rsidR="005343FD" w:rsidRPr="00B84254">
        <w:rPr>
          <w:rFonts w:ascii="Arial" w:hAnsi="Arial" w:cs="Arial"/>
          <w:b/>
          <w:sz w:val="20"/>
          <w:szCs w:val="20"/>
          <w:lang w:val="fr-FR"/>
        </w:rPr>
        <w:t xml:space="preserve">de l’environnement et </w:t>
      </w:r>
      <w:r w:rsidRPr="00B84254">
        <w:rPr>
          <w:rFonts w:ascii="Arial" w:hAnsi="Arial" w:cs="Arial"/>
          <w:b/>
          <w:sz w:val="20"/>
          <w:szCs w:val="20"/>
          <w:lang w:val="fr-FR"/>
        </w:rPr>
        <w:t>des effets des changements c</w:t>
      </w:r>
      <w:r w:rsidR="005343FD" w:rsidRPr="00B84254">
        <w:rPr>
          <w:rFonts w:ascii="Arial" w:hAnsi="Arial" w:cs="Arial"/>
          <w:b/>
          <w:sz w:val="20"/>
          <w:szCs w:val="20"/>
          <w:lang w:val="fr-FR"/>
        </w:rPr>
        <w:t>limatiques</w:t>
      </w:r>
    </w:p>
    <w:p w14:paraId="7E8F3196" w14:textId="77777777" w:rsidR="00802BA9" w:rsidRPr="00B84254" w:rsidRDefault="00802BA9" w:rsidP="00C518A4">
      <w:pPr>
        <w:spacing w:before="120" w:after="120" w:line="240" w:lineRule="auto"/>
        <w:rPr>
          <w:rFonts w:ascii="Arial" w:hAnsi="Arial" w:cs="Arial"/>
          <w:sz w:val="20"/>
          <w:szCs w:val="20"/>
          <w:lang w:val="fr-FR"/>
        </w:rPr>
      </w:pPr>
      <w:r w:rsidRPr="00B84254">
        <w:rPr>
          <w:rFonts w:ascii="Arial" w:hAnsi="Arial" w:cs="Arial"/>
          <w:sz w:val="20"/>
          <w:szCs w:val="20"/>
          <w:lang w:val="fr-FR"/>
        </w:rPr>
        <w:t>Les aspects de protection et de valorisation durable du capital de production, dont les ressources naturelles (air, eau, terre, végétation, faune), sont passés en arrière-plan, malgré la volonté politique affichée et traduite dans la CDN. L’environnement naturel (ressources naturelles)</w:t>
      </w:r>
      <w:r w:rsidRPr="00B84254">
        <w:rPr>
          <w:rFonts w:ascii="Arial" w:eastAsiaTheme="minorHAnsi" w:hAnsi="Arial" w:cs="Arial"/>
          <w:sz w:val="20"/>
          <w:szCs w:val="20"/>
          <w:lang w:val="fr-FR"/>
        </w:rPr>
        <w:t xml:space="preserve"> </w:t>
      </w:r>
      <w:r w:rsidRPr="00B84254">
        <w:rPr>
          <w:rFonts w:ascii="Arial" w:hAnsi="Arial" w:cs="Arial"/>
          <w:sz w:val="20"/>
          <w:szCs w:val="20"/>
          <w:lang w:val="fr-FR"/>
        </w:rPr>
        <w:t xml:space="preserve">reste le ‘parent pauvre’ avec moins de 1% du </w:t>
      </w:r>
      <w:r w:rsidRPr="00B84254">
        <w:rPr>
          <w:rFonts w:ascii="Arial" w:hAnsi="Arial" w:cs="Arial"/>
          <w:sz w:val="20"/>
          <w:szCs w:val="20"/>
          <w:lang w:val="fr-FR"/>
        </w:rPr>
        <w:lastRenderedPageBreak/>
        <w:t>budget de l’Etat et l’adaptation aux changements climatiques, la gestion durable des terres restent très partielles dans la conception de la plupart des projets.</w:t>
      </w:r>
    </w:p>
    <w:p w14:paraId="566E338A" w14:textId="77777777" w:rsidR="00802BA9" w:rsidRPr="00B84254" w:rsidRDefault="00802BA9" w:rsidP="00C518A4">
      <w:pPr>
        <w:spacing w:before="120" w:after="120" w:line="240" w:lineRule="auto"/>
        <w:rPr>
          <w:rFonts w:ascii="Arial" w:hAnsi="Arial" w:cs="Arial"/>
          <w:b/>
          <w:sz w:val="20"/>
          <w:szCs w:val="20"/>
          <w:lang w:val="fr-FR"/>
        </w:rPr>
      </w:pPr>
      <w:r w:rsidRPr="00B84254">
        <w:rPr>
          <w:rFonts w:ascii="Arial" w:hAnsi="Arial" w:cs="Arial"/>
          <w:b/>
          <w:sz w:val="20"/>
          <w:szCs w:val="20"/>
          <w:lang w:val="fr-FR"/>
        </w:rPr>
        <w:t>Recommandations :</w:t>
      </w:r>
    </w:p>
    <w:p w14:paraId="5CBC0C46" w14:textId="77777777" w:rsidR="00802BA9" w:rsidRPr="00B84254" w:rsidRDefault="00802BA9" w:rsidP="00C518A4">
      <w:pPr>
        <w:numPr>
          <w:ilvl w:val="0"/>
          <w:numId w:val="51"/>
        </w:numPr>
        <w:spacing w:before="120" w:after="120" w:line="240" w:lineRule="auto"/>
        <w:contextualSpacing/>
        <w:rPr>
          <w:rFonts w:ascii="Arial" w:hAnsi="Arial" w:cs="Arial"/>
          <w:sz w:val="20"/>
          <w:szCs w:val="20"/>
          <w:lang w:val="fr-FR"/>
        </w:rPr>
      </w:pPr>
      <w:r w:rsidRPr="00B84254">
        <w:rPr>
          <w:rFonts w:ascii="Arial" w:hAnsi="Arial" w:cs="Arial"/>
          <w:sz w:val="20"/>
          <w:szCs w:val="20"/>
          <w:lang w:val="fr-FR"/>
        </w:rPr>
        <w:t>Favoriser l’augmentation de la productivité à la place de l’extension des surfaces de production (code 3) (*développement rural).</w:t>
      </w:r>
    </w:p>
    <w:p w14:paraId="352FBCC9" w14:textId="77777777" w:rsidR="00802BA9" w:rsidRPr="00B84254" w:rsidRDefault="00802BA9" w:rsidP="00C518A4">
      <w:pPr>
        <w:numPr>
          <w:ilvl w:val="0"/>
          <w:numId w:val="51"/>
        </w:numPr>
        <w:spacing w:before="120" w:after="120" w:line="240" w:lineRule="auto"/>
        <w:contextualSpacing/>
        <w:rPr>
          <w:rFonts w:ascii="Arial" w:hAnsi="Arial" w:cs="Arial"/>
          <w:sz w:val="20"/>
          <w:szCs w:val="20"/>
          <w:lang w:val="fr-FR"/>
        </w:rPr>
      </w:pPr>
      <w:r w:rsidRPr="00B84254">
        <w:rPr>
          <w:rFonts w:ascii="Arial" w:hAnsi="Arial" w:cs="Arial"/>
          <w:sz w:val="20"/>
          <w:szCs w:val="20"/>
          <w:lang w:val="fr-FR"/>
        </w:rPr>
        <w:t>Promouvoir les techniques d’utilisation rationnelle des ressources naturelles par une approche systémique pour une utilisation rationnelle de l’espace (eau d’irrigation, agriculture intégrée à l’élevage (renforcement des cultures fourragères), à la foresterie (agroforesterie) (code 3) (*développement rural).</w:t>
      </w:r>
    </w:p>
    <w:p w14:paraId="036A3F51" w14:textId="77777777" w:rsidR="00802BA9" w:rsidRPr="00B84254" w:rsidRDefault="00802BA9" w:rsidP="00C518A4">
      <w:pPr>
        <w:numPr>
          <w:ilvl w:val="0"/>
          <w:numId w:val="51"/>
        </w:numPr>
        <w:spacing w:before="120" w:after="120" w:line="240" w:lineRule="auto"/>
        <w:contextualSpacing/>
        <w:rPr>
          <w:rFonts w:ascii="Arial" w:hAnsi="Arial" w:cs="Arial"/>
          <w:sz w:val="20"/>
          <w:szCs w:val="20"/>
          <w:lang w:val="fr-FR"/>
        </w:rPr>
      </w:pPr>
      <w:r w:rsidRPr="00B84254">
        <w:rPr>
          <w:rFonts w:ascii="Arial" w:hAnsi="Arial" w:cs="Arial"/>
          <w:sz w:val="20"/>
          <w:szCs w:val="20"/>
          <w:lang w:val="fr-FR"/>
        </w:rPr>
        <w:t xml:space="preserve">Prendre en compte les projections du changement climatique à moyen/long terme dans le développement des projets (code 3) (*développement rural). </w:t>
      </w:r>
    </w:p>
    <w:p w14:paraId="1E0BC72B" w14:textId="77777777" w:rsidR="00802BA9" w:rsidRPr="00B84254" w:rsidRDefault="00802BA9" w:rsidP="00C518A4">
      <w:pPr>
        <w:numPr>
          <w:ilvl w:val="0"/>
          <w:numId w:val="51"/>
        </w:numPr>
        <w:spacing w:before="120" w:after="120" w:line="240" w:lineRule="auto"/>
        <w:contextualSpacing/>
        <w:rPr>
          <w:rFonts w:ascii="Arial" w:hAnsi="Arial" w:cs="Arial"/>
          <w:sz w:val="20"/>
          <w:szCs w:val="20"/>
          <w:lang w:val="fr-FR"/>
        </w:rPr>
      </w:pPr>
      <w:r w:rsidRPr="00B84254">
        <w:rPr>
          <w:rFonts w:ascii="Arial" w:hAnsi="Arial" w:cs="Arial"/>
          <w:sz w:val="20"/>
          <w:szCs w:val="20"/>
          <w:lang w:val="fr-FR"/>
        </w:rPr>
        <w:t>Vulgariser les semences et variétés adaptées et résilientes aux conditions climatiques prévisibles à moyen terme (code 3) (*développement rural).</w:t>
      </w:r>
    </w:p>
    <w:p w14:paraId="44E46DB3" w14:textId="77777777" w:rsidR="00802BA9" w:rsidRPr="00B84254" w:rsidRDefault="00802BA9" w:rsidP="00C518A4">
      <w:pPr>
        <w:numPr>
          <w:ilvl w:val="0"/>
          <w:numId w:val="51"/>
        </w:numPr>
        <w:spacing w:before="120" w:after="120" w:line="240" w:lineRule="auto"/>
        <w:contextualSpacing/>
        <w:rPr>
          <w:rFonts w:ascii="Arial" w:hAnsi="Arial" w:cs="Arial"/>
          <w:sz w:val="20"/>
          <w:szCs w:val="20"/>
          <w:lang w:val="fr-FR"/>
        </w:rPr>
      </w:pPr>
      <w:r w:rsidRPr="00B84254">
        <w:rPr>
          <w:rFonts w:ascii="Arial" w:hAnsi="Arial" w:cs="Arial"/>
          <w:sz w:val="20"/>
          <w:szCs w:val="20"/>
          <w:lang w:val="fr-FR"/>
        </w:rPr>
        <w:t>Promouvoir la construction de greniers/silos adaptés aux évènements météorologiques extrêmes et mettre en place un système d’assurance pour les agriculteurs comme réponse aux changements climatiques (code 3) (*développement rural).</w:t>
      </w:r>
    </w:p>
    <w:p w14:paraId="0A5144E5" w14:textId="77777777" w:rsidR="00614D69" w:rsidRPr="00B84254" w:rsidRDefault="00614D69" w:rsidP="00C518A4">
      <w:pPr>
        <w:numPr>
          <w:ilvl w:val="0"/>
          <w:numId w:val="51"/>
        </w:numPr>
        <w:spacing w:before="120" w:after="120" w:line="240" w:lineRule="auto"/>
        <w:contextualSpacing/>
        <w:rPr>
          <w:rFonts w:ascii="Arial" w:hAnsi="Arial" w:cs="Arial"/>
          <w:b/>
          <w:sz w:val="20"/>
          <w:szCs w:val="20"/>
          <w:lang w:val="fr-FR"/>
        </w:rPr>
      </w:pPr>
      <w:r w:rsidRPr="00B84254">
        <w:rPr>
          <w:rFonts w:ascii="Arial" w:hAnsi="Arial" w:cs="Arial"/>
          <w:sz w:val="20"/>
          <w:szCs w:val="20"/>
          <w:lang w:val="fr-FR"/>
        </w:rPr>
        <w:t>Chercher un équilibre entre les appuis en faveur du domaine des changements climatiques et des domaines classiques de gestion durable des ressources naturelles (GDT, lutte contre la désertification, GIRE, foresterie, AP et protection de la faune, lutte contre les sources des pollutions), qui restent toujours d’actualité (code 2).</w:t>
      </w:r>
    </w:p>
    <w:p w14:paraId="6ACCC900" w14:textId="77777777" w:rsidR="00614D69" w:rsidRPr="00B84254" w:rsidRDefault="00614D69" w:rsidP="00C518A4">
      <w:pPr>
        <w:spacing w:before="120" w:after="120" w:line="240" w:lineRule="auto"/>
        <w:rPr>
          <w:rFonts w:ascii="Arial" w:hAnsi="Arial" w:cs="Arial"/>
          <w:sz w:val="20"/>
          <w:szCs w:val="20"/>
          <w:lang w:val="fr-FR"/>
        </w:rPr>
      </w:pPr>
    </w:p>
    <w:p w14:paraId="4D47ED99" w14:textId="77777777" w:rsidR="00802BA9" w:rsidRPr="00B84254" w:rsidRDefault="00802BA9" w:rsidP="00C518A4">
      <w:pPr>
        <w:spacing w:before="120" w:after="120" w:line="240" w:lineRule="auto"/>
        <w:rPr>
          <w:rFonts w:ascii="Arial" w:hAnsi="Arial" w:cs="Arial"/>
          <w:b/>
          <w:sz w:val="20"/>
          <w:szCs w:val="20"/>
          <w:lang w:val="fr-FR"/>
        </w:rPr>
      </w:pPr>
      <w:r w:rsidRPr="00B84254">
        <w:rPr>
          <w:rFonts w:ascii="Arial" w:hAnsi="Arial" w:cs="Arial"/>
          <w:b/>
          <w:sz w:val="20"/>
          <w:szCs w:val="20"/>
          <w:lang w:val="fr-FR"/>
        </w:rPr>
        <w:t>Conclusion 7</w:t>
      </w:r>
    </w:p>
    <w:p w14:paraId="5B72F64C" w14:textId="77777777" w:rsidR="00802BA9" w:rsidRPr="00B84254" w:rsidRDefault="00802BA9" w:rsidP="00C518A4">
      <w:pPr>
        <w:spacing w:before="120" w:after="120" w:line="240" w:lineRule="auto"/>
        <w:rPr>
          <w:rFonts w:ascii="Arial" w:hAnsi="Arial" w:cs="Arial"/>
          <w:b/>
          <w:sz w:val="20"/>
          <w:szCs w:val="20"/>
          <w:lang w:val="fr-FR"/>
        </w:rPr>
      </w:pPr>
      <w:r w:rsidRPr="00B84254">
        <w:rPr>
          <w:rFonts w:ascii="Arial" w:hAnsi="Arial" w:cs="Arial"/>
          <w:b/>
          <w:sz w:val="20"/>
          <w:szCs w:val="20"/>
          <w:lang w:val="fr-FR"/>
        </w:rPr>
        <w:t>Une réglementation environnementale notable avec une très faible traduction en actions concrètes dans les projets de développement</w:t>
      </w:r>
    </w:p>
    <w:p w14:paraId="645FBB24" w14:textId="77777777" w:rsidR="00802BA9" w:rsidRPr="00B84254" w:rsidRDefault="00802BA9" w:rsidP="00C518A4">
      <w:pPr>
        <w:spacing w:before="120" w:after="120" w:line="240" w:lineRule="auto"/>
        <w:rPr>
          <w:rFonts w:ascii="Arial" w:hAnsi="Arial" w:cs="Arial"/>
          <w:sz w:val="20"/>
          <w:szCs w:val="20"/>
          <w:lang w:val="fr-FR"/>
        </w:rPr>
      </w:pPr>
      <w:r w:rsidRPr="00B84254">
        <w:rPr>
          <w:rFonts w:ascii="Arial" w:hAnsi="Arial" w:cs="Arial"/>
          <w:sz w:val="20"/>
          <w:szCs w:val="20"/>
          <w:lang w:val="fr-FR"/>
        </w:rPr>
        <w:t xml:space="preserve">Les politiques et législations sectorielles intègrent la dimension environnementale et de plus en plus les changements climatiques. Toutefois, la mise en œuvre des programmes et projets prend plus en considération l’aspect productif à court terme que l’aspect production durable à moyen /long terme et adaptée aux changements climatiques. La production inévitable de déchets et les </w:t>
      </w:r>
      <w:r w:rsidRPr="00B84254">
        <w:rPr>
          <w:rFonts w:ascii="Arial" w:hAnsi="Arial" w:cs="Arial"/>
          <w:sz w:val="20"/>
          <w:szCs w:val="20"/>
          <w:shd w:val="clear" w:color="auto" w:fill="FFFFFF" w:themeFill="background1"/>
          <w:lang w:val="fr-FR"/>
        </w:rPr>
        <w:t xml:space="preserve">dégâts environnementaux indirects des actions ne fait pas partie de la conception et de la budgétisation des projets. </w:t>
      </w:r>
      <w:r w:rsidRPr="00B84254">
        <w:rPr>
          <w:rFonts w:ascii="Arial" w:hAnsi="Arial" w:cs="Arial"/>
          <w:sz w:val="20"/>
          <w:szCs w:val="20"/>
          <w:lang w:val="fr-FR"/>
        </w:rPr>
        <w:t xml:space="preserve">De plus, malgré l’obligation des PGES définissant les compensations suite à la mise en œuvre des projets, les compensations sociales sont souvent privilégiées aux compensations environnementales lors des arbitrages. </w:t>
      </w:r>
    </w:p>
    <w:p w14:paraId="479B45BF" w14:textId="77777777" w:rsidR="00802BA9" w:rsidRPr="00B84254" w:rsidRDefault="00802BA9" w:rsidP="00C518A4">
      <w:pPr>
        <w:spacing w:before="120" w:after="120" w:line="240" w:lineRule="auto"/>
        <w:rPr>
          <w:rFonts w:ascii="Arial" w:hAnsi="Arial" w:cs="Arial"/>
          <w:b/>
          <w:sz w:val="20"/>
          <w:szCs w:val="20"/>
          <w:lang w:val="fr-FR"/>
        </w:rPr>
      </w:pPr>
      <w:r w:rsidRPr="00B84254">
        <w:rPr>
          <w:rFonts w:ascii="Arial" w:hAnsi="Arial" w:cs="Arial"/>
          <w:b/>
          <w:sz w:val="20"/>
          <w:szCs w:val="20"/>
          <w:lang w:val="fr-FR"/>
        </w:rPr>
        <w:t>Recommandations</w:t>
      </w:r>
    </w:p>
    <w:p w14:paraId="2ACF78EB" w14:textId="77777777" w:rsidR="00802BA9" w:rsidRPr="00B84254" w:rsidRDefault="00802BA9" w:rsidP="00C518A4">
      <w:pPr>
        <w:numPr>
          <w:ilvl w:val="0"/>
          <w:numId w:val="44"/>
        </w:numPr>
        <w:spacing w:before="120" w:after="120" w:line="240" w:lineRule="auto"/>
        <w:contextualSpacing/>
        <w:jc w:val="left"/>
        <w:rPr>
          <w:rFonts w:ascii="Arial" w:hAnsi="Arial" w:cs="Arial"/>
          <w:sz w:val="20"/>
          <w:szCs w:val="20"/>
          <w:lang w:val="fr-FR"/>
        </w:rPr>
      </w:pPr>
      <w:r w:rsidRPr="00B84254">
        <w:rPr>
          <w:rFonts w:ascii="Arial" w:hAnsi="Arial" w:cs="Arial"/>
          <w:sz w:val="20"/>
          <w:szCs w:val="20"/>
          <w:lang w:val="fr-FR"/>
        </w:rPr>
        <w:t xml:space="preserve">Inclure systématiquement dans les projets d’aide au développement une ligne budgétaire pour l’assainissement des effluents liquides et solides du projet </w:t>
      </w:r>
      <w:r w:rsidR="00050E1D" w:rsidRPr="00B84254">
        <w:rPr>
          <w:rFonts w:ascii="Arial" w:hAnsi="Arial" w:cs="Arial"/>
          <w:sz w:val="20"/>
          <w:szCs w:val="20"/>
          <w:lang w:val="fr-FR"/>
        </w:rPr>
        <w:t xml:space="preserve">et assurer le suivi de la mise en œuvre des compensations prévues </w:t>
      </w:r>
      <w:r w:rsidRPr="00B84254">
        <w:rPr>
          <w:rFonts w:ascii="Arial" w:hAnsi="Arial" w:cs="Arial"/>
          <w:sz w:val="20"/>
          <w:szCs w:val="20"/>
          <w:lang w:val="fr-FR"/>
        </w:rPr>
        <w:t>(code 2) (*).</w:t>
      </w:r>
    </w:p>
    <w:p w14:paraId="745EA29D" w14:textId="77777777" w:rsidR="00802BA9" w:rsidRPr="00B84254" w:rsidRDefault="00802BA9" w:rsidP="00C518A4">
      <w:pPr>
        <w:pStyle w:val="Pardeliste"/>
        <w:numPr>
          <w:ilvl w:val="0"/>
          <w:numId w:val="44"/>
        </w:numPr>
        <w:spacing w:before="120" w:after="120" w:line="240" w:lineRule="auto"/>
        <w:jc w:val="left"/>
        <w:rPr>
          <w:rFonts w:ascii="Arial" w:hAnsi="Arial" w:cs="Arial"/>
          <w:sz w:val="20"/>
          <w:szCs w:val="20"/>
          <w:lang w:val="fr-FR"/>
        </w:rPr>
      </w:pPr>
      <w:r w:rsidRPr="00B84254">
        <w:rPr>
          <w:rFonts w:ascii="Arial" w:hAnsi="Arial" w:cs="Arial"/>
          <w:sz w:val="20"/>
          <w:szCs w:val="20"/>
          <w:lang w:val="fr-FR"/>
        </w:rPr>
        <w:t xml:space="preserve">Associer aux projets routiers </w:t>
      </w:r>
      <w:r w:rsidR="007B05D3" w:rsidRPr="00B84254">
        <w:rPr>
          <w:rFonts w:ascii="Arial" w:hAnsi="Arial" w:cs="Arial"/>
          <w:sz w:val="20"/>
          <w:szCs w:val="20"/>
          <w:lang w:val="fr-FR"/>
        </w:rPr>
        <w:t>des projets de boisement et de reboisement (bois - énergie, bois de service, PFNL)</w:t>
      </w:r>
      <w:r w:rsidRPr="00B84254">
        <w:rPr>
          <w:rFonts w:ascii="Arial" w:hAnsi="Arial" w:cs="Arial"/>
          <w:sz w:val="20"/>
          <w:szCs w:val="20"/>
          <w:lang w:val="fr-FR"/>
        </w:rPr>
        <w:t xml:space="preserve"> dans les villages en bord de route (code 2) (*route).</w:t>
      </w:r>
    </w:p>
    <w:p w14:paraId="6D9159AB" w14:textId="77777777" w:rsidR="00802BA9" w:rsidRPr="00B84254" w:rsidRDefault="00802BA9" w:rsidP="00C518A4">
      <w:pPr>
        <w:spacing w:before="120" w:after="120" w:line="240" w:lineRule="auto"/>
        <w:rPr>
          <w:rFonts w:ascii="Arial" w:hAnsi="Arial" w:cs="Arial"/>
          <w:sz w:val="20"/>
          <w:szCs w:val="20"/>
          <w:lang w:val="fr-FR"/>
        </w:rPr>
      </w:pPr>
    </w:p>
    <w:p w14:paraId="7C29E00A" w14:textId="77777777" w:rsidR="00802BA9" w:rsidRPr="00B84254" w:rsidRDefault="00802BA9" w:rsidP="00C518A4">
      <w:pPr>
        <w:spacing w:before="120" w:after="120" w:line="240" w:lineRule="auto"/>
        <w:rPr>
          <w:rFonts w:ascii="Arial" w:hAnsi="Arial" w:cs="Arial"/>
          <w:b/>
          <w:sz w:val="20"/>
          <w:szCs w:val="20"/>
          <w:lang w:val="fr-FR"/>
        </w:rPr>
      </w:pPr>
      <w:r w:rsidRPr="00B84254">
        <w:rPr>
          <w:rFonts w:ascii="Arial" w:hAnsi="Arial" w:cs="Arial"/>
          <w:b/>
          <w:sz w:val="20"/>
          <w:szCs w:val="20"/>
          <w:lang w:val="fr-FR"/>
        </w:rPr>
        <w:t>Conclusion 8</w:t>
      </w:r>
    </w:p>
    <w:p w14:paraId="6D84E7A0" w14:textId="77777777" w:rsidR="00802BA9" w:rsidRPr="00B84254" w:rsidRDefault="00802BA9" w:rsidP="00C518A4">
      <w:pPr>
        <w:spacing w:before="120" w:after="120" w:line="240" w:lineRule="auto"/>
        <w:rPr>
          <w:rFonts w:ascii="Arial" w:hAnsi="Arial" w:cs="Arial"/>
          <w:b/>
          <w:sz w:val="20"/>
          <w:szCs w:val="20"/>
          <w:lang w:val="fr-FR"/>
        </w:rPr>
      </w:pPr>
      <w:r w:rsidRPr="00B84254">
        <w:rPr>
          <w:rFonts w:ascii="Arial" w:hAnsi="Arial" w:cs="Arial"/>
          <w:b/>
          <w:sz w:val="20"/>
          <w:szCs w:val="20"/>
          <w:lang w:val="fr-FR"/>
        </w:rPr>
        <w:t xml:space="preserve">L’environnement </w:t>
      </w:r>
      <w:r w:rsidR="007B05D3" w:rsidRPr="00B84254">
        <w:rPr>
          <w:rFonts w:ascii="Arial" w:hAnsi="Arial" w:cs="Arial"/>
          <w:b/>
          <w:sz w:val="20"/>
          <w:szCs w:val="20"/>
          <w:lang w:val="fr-FR"/>
        </w:rPr>
        <w:t xml:space="preserve">n’est toujours pas une priorité </w:t>
      </w:r>
      <w:r w:rsidRPr="00B84254">
        <w:rPr>
          <w:rFonts w:ascii="Arial" w:hAnsi="Arial" w:cs="Arial"/>
          <w:b/>
          <w:sz w:val="20"/>
          <w:szCs w:val="20"/>
          <w:lang w:val="fr-FR"/>
        </w:rPr>
        <w:t xml:space="preserve">et l’affaire des autres. </w:t>
      </w:r>
    </w:p>
    <w:p w14:paraId="1EB6D90B" w14:textId="77777777" w:rsidR="00802BA9" w:rsidRPr="00B84254" w:rsidRDefault="00802BA9" w:rsidP="00C518A4">
      <w:pPr>
        <w:spacing w:before="120" w:after="120" w:line="240" w:lineRule="auto"/>
        <w:rPr>
          <w:rFonts w:ascii="Arial" w:hAnsi="Arial" w:cs="Arial"/>
          <w:sz w:val="20"/>
          <w:szCs w:val="20"/>
          <w:lang w:val="fr-FR"/>
        </w:rPr>
      </w:pPr>
      <w:r w:rsidRPr="00B84254">
        <w:rPr>
          <w:rFonts w:ascii="Arial" w:hAnsi="Arial" w:cs="Arial"/>
          <w:sz w:val="20"/>
          <w:szCs w:val="20"/>
          <w:lang w:val="fr-FR"/>
        </w:rPr>
        <w:t xml:space="preserve">Malgré les discours politiques et les actions de sensibilisation, la mise en œuvre d’un environnement sain n’est pas </w:t>
      </w:r>
      <w:r w:rsidR="00C23D9B" w:rsidRPr="00B84254">
        <w:rPr>
          <w:rFonts w:ascii="Arial" w:hAnsi="Arial" w:cs="Arial"/>
          <w:sz w:val="20"/>
          <w:szCs w:val="20"/>
          <w:lang w:val="fr-FR"/>
        </w:rPr>
        <w:t>considérée</w:t>
      </w:r>
      <w:r w:rsidRPr="00B84254">
        <w:rPr>
          <w:rFonts w:ascii="Arial" w:hAnsi="Arial" w:cs="Arial"/>
          <w:sz w:val="20"/>
          <w:szCs w:val="20"/>
          <w:lang w:val="fr-FR"/>
        </w:rPr>
        <w:t xml:space="preserve"> comme une priorité pour le développement socio-économique, ni au niveau des collectivités locales, des décideurs du pays, des acteurs économiques ou au niveau des individus. Etant peu visible à court terme, la dégradation des ressources naturelles n’est pas considérée comme un facteur qui concerne tous, à tous les niveaux et qui détermine le bien-être et le développement à long terme.</w:t>
      </w:r>
    </w:p>
    <w:p w14:paraId="67B12E78" w14:textId="77777777" w:rsidR="00802BA9" w:rsidRPr="00B84254" w:rsidRDefault="00802BA9" w:rsidP="00C518A4">
      <w:pPr>
        <w:spacing w:before="120" w:after="120" w:line="240" w:lineRule="auto"/>
        <w:rPr>
          <w:rFonts w:ascii="Arial" w:hAnsi="Arial" w:cs="Arial"/>
          <w:b/>
          <w:sz w:val="20"/>
          <w:szCs w:val="20"/>
          <w:lang w:val="fr-FR"/>
        </w:rPr>
      </w:pPr>
      <w:r w:rsidRPr="00B84254">
        <w:rPr>
          <w:rFonts w:ascii="Arial" w:hAnsi="Arial" w:cs="Arial"/>
          <w:b/>
          <w:sz w:val="20"/>
          <w:szCs w:val="20"/>
          <w:lang w:val="fr-FR"/>
        </w:rPr>
        <w:t>Recommandations :</w:t>
      </w:r>
    </w:p>
    <w:p w14:paraId="1350A9A2" w14:textId="77777777" w:rsidR="00802BA9" w:rsidRPr="00B84254" w:rsidRDefault="00802BA9" w:rsidP="00C518A4">
      <w:pPr>
        <w:numPr>
          <w:ilvl w:val="0"/>
          <w:numId w:val="44"/>
        </w:numPr>
        <w:spacing w:before="120" w:after="120" w:line="240" w:lineRule="auto"/>
        <w:contextualSpacing/>
        <w:rPr>
          <w:rFonts w:ascii="Arial" w:hAnsi="Arial" w:cs="Arial"/>
          <w:sz w:val="20"/>
          <w:szCs w:val="20"/>
          <w:lang w:val="fr-FR"/>
        </w:rPr>
      </w:pPr>
      <w:r w:rsidRPr="00B84254">
        <w:rPr>
          <w:rFonts w:ascii="Arial" w:hAnsi="Arial" w:cs="Arial"/>
          <w:sz w:val="20"/>
          <w:szCs w:val="20"/>
          <w:lang w:val="fr-FR"/>
        </w:rPr>
        <w:t>Produire et diffuser régulièrement à grande échelle les études de coût de la dégradation de l’environnement ou des différentes ressources naturelles pour attirer l’attention et sensibiliser les décideurs. La seule étude dans ce sens date de 2008. (code 2)(*gouvernance - développement macro – économique).</w:t>
      </w:r>
    </w:p>
    <w:p w14:paraId="18885EE1" w14:textId="77777777" w:rsidR="00802BA9" w:rsidRPr="00B84254" w:rsidRDefault="00802BA9" w:rsidP="00C518A4">
      <w:pPr>
        <w:numPr>
          <w:ilvl w:val="0"/>
          <w:numId w:val="44"/>
        </w:numPr>
        <w:spacing w:before="120" w:after="120" w:line="240" w:lineRule="auto"/>
        <w:contextualSpacing/>
        <w:rPr>
          <w:rFonts w:ascii="Arial" w:hAnsi="Arial" w:cs="Arial"/>
          <w:sz w:val="20"/>
          <w:szCs w:val="20"/>
          <w:lang w:val="fr-FR"/>
        </w:rPr>
      </w:pPr>
      <w:r w:rsidRPr="00B84254">
        <w:rPr>
          <w:rFonts w:ascii="Arial" w:hAnsi="Arial" w:cs="Arial"/>
          <w:sz w:val="20"/>
          <w:szCs w:val="20"/>
          <w:lang w:val="fr-FR"/>
        </w:rPr>
        <w:t>Renforcer les capacités de développement des modèles (prévisions/prospectives/scénarii) et les analyses, notamment économiques du MEADD dans le but de réduire l’externalisation actuelle des études dans ce sens (code 2).</w:t>
      </w:r>
    </w:p>
    <w:p w14:paraId="42ACABF7" w14:textId="77777777" w:rsidR="00802BA9" w:rsidRPr="00B84254" w:rsidRDefault="00802BA9" w:rsidP="00C518A4">
      <w:pPr>
        <w:numPr>
          <w:ilvl w:val="0"/>
          <w:numId w:val="44"/>
        </w:numPr>
        <w:spacing w:before="120" w:after="120" w:line="240" w:lineRule="auto"/>
        <w:contextualSpacing/>
        <w:rPr>
          <w:rFonts w:ascii="Arial" w:hAnsi="Arial" w:cs="Arial"/>
          <w:sz w:val="20"/>
          <w:szCs w:val="20"/>
          <w:lang w:val="fr-FR"/>
        </w:rPr>
      </w:pPr>
      <w:r w:rsidRPr="00B84254">
        <w:rPr>
          <w:rFonts w:ascii="Arial" w:hAnsi="Arial" w:cs="Arial"/>
          <w:sz w:val="20"/>
          <w:szCs w:val="20"/>
          <w:lang w:val="fr-FR"/>
        </w:rPr>
        <w:t>Renforcer / élargir les formations du secteur privé dans le domaine de l’impact des changements climatiques et de la dégradation des ressources naturelles dans leur secteur d’activité (code 2).</w:t>
      </w:r>
    </w:p>
    <w:p w14:paraId="754DEE7B" w14:textId="77777777" w:rsidR="00802BA9" w:rsidRPr="00B84254" w:rsidRDefault="00802BA9" w:rsidP="00C518A4">
      <w:pPr>
        <w:numPr>
          <w:ilvl w:val="0"/>
          <w:numId w:val="44"/>
        </w:numPr>
        <w:spacing w:before="120" w:after="120" w:line="240" w:lineRule="auto"/>
        <w:contextualSpacing/>
        <w:rPr>
          <w:rFonts w:ascii="Arial" w:hAnsi="Arial" w:cs="Arial"/>
          <w:sz w:val="20"/>
          <w:szCs w:val="20"/>
          <w:lang w:val="fr-FR"/>
        </w:rPr>
      </w:pPr>
      <w:r w:rsidRPr="00B84254">
        <w:rPr>
          <w:rFonts w:ascii="Arial" w:hAnsi="Arial" w:cs="Arial"/>
          <w:sz w:val="20"/>
          <w:szCs w:val="20"/>
          <w:lang w:val="fr-FR"/>
        </w:rPr>
        <w:lastRenderedPageBreak/>
        <w:t xml:space="preserve">Sensibiliser à l’éco – citoyenneté et insérer la formation à l’éco - citoyenneté dans les curricula des écoles (code 3) (*éducation). </w:t>
      </w:r>
    </w:p>
    <w:p w14:paraId="49C2D706" w14:textId="77777777" w:rsidR="00802BA9" w:rsidRPr="00B84254" w:rsidRDefault="00802BA9" w:rsidP="00C518A4">
      <w:pPr>
        <w:numPr>
          <w:ilvl w:val="0"/>
          <w:numId w:val="44"/>
        </w:numPr>
        <w:spacing w:before="120" w:after="120" w:line="240" w:lineRule="auto"/>
        <w:contextualSpacing/>
        <w:rPr>
          <w:rFonts w:ascii="Arial" w:hAnsi="Arial" w:cs="Arial"/>
          <w:sz w:val="20"/>
          <w:szCs w:val="20"/>
          <w:lang w:val="fr-FR"/>
        </w:rPr>
      </w:pPr>
      <w:r w:rsidRPr="00B84254">
        <w:rPr>
          <w:rFonts w:ascii="Arial" w:hAnsi="Arial" w:cs="Arial"/>
          <w:sz w:val="20"/>
          <w:szCs w:val="20"/>
          <w:lang w:val="fr-FR"/>
        </w:rPr>
        <w:t>Promouvoir l’utilisation d’outils calculant l‘empreinte écologique à tous les niveaux et faire une large diffusion dans les médias (code 2).</w:t>
      </w:r>
    </w:p>
    <w:p w14:paraId="52BFE236" w14:textId="77777777" w:rsidR="00802BA9" w:rsidRPr="00B84254" w:rsidRDefault="00802BA9" w:rsidP="00C518A4">
      <w:pPr>
        <w:spacing w:before="120" w:after="120" w:line="240" w:lineRule="auto"/>
        <w:rPr>
          <w:rFonts w:ascii="Arial" w:hAnsi="Arial" w:cs="Arial"/>
          <w:b/>
          <w:sz w:val="20"/>
          <w:szCs w:val="20"/>
          <w:lang w:val="fr-FR"/>
        </w:rPr>
      </w:pPr>
    </w:p>
    <w:p w14:paraId="26561413" w14:textId="77777777" w:rsidR="00802BA9" w:rsidRPr="00B84254" w:rsidRDefault="00802BA9" w:rsidP="00C518A4">
      <w:pPr>
        <w:keepNext/>
        <w:spacing w:before="120" w:after="120" w:line="240" w:lineRule="auto"/>
        <w:rPr>
          <w:rFonts w:ascii="Arial" w:hAnsi="Arial" w:cs="Arial"/>
          <w:b/>
          <w:sz w:val="20"/>
          <w:szCs w:val="20"/>
          <w:lang w:val="fr-FR"/>
        </w:rPr>
      </w:pPr>
      <w:r w:rsidRPr="00B84254">
        <w:rPr>
          <w:rFonts w:ascii="Arial" w:hAnsi="Arial" w:cs="Arial"/>
          <w:b/>
          <w:sz w:val="20"/>
          <w:szCs w:val="20"/>
          <w:lang w:val="fr-FR"/>
        </w:rPr>
        <w:t>Conclusion 9</w:t>
      </w:r>
    </w:p>
    <w:p w14:paraId="4F4CEA4D" w14:textId="77777777" w:rsidR="00802BA9" w:rsidRPr="00B84254" w:rsidRDefault="00802BA9" w:rsidP="00C518A4">
      <w:pPr>
        <w:keepNext/>
        <w:spacing w:before="120" w:after="120" w:line="240" w:lineRule="auto"/>
        <w:rPr>
          <w:rFonts w:ascii="Arial" w:hAnsi="Arial" w:cs="Arial"/>
          <w:b/>
          <w:sz w:val="20"/>
          <w:szCs w:val="20"/>
          <w:lang w:val="fr-FR"/>
        </w:rPr>
      </w:pPr>
      <w:r w:rsidRPr="00B84254">
        <w:rPr>
          <w:rFonts w:ascii="Arial" w:hAnsi="Arial" w:cs="Arial"/>
          <w:b/>
          <w:sz w:val="20"/>
          <w:szCs w:val="20"/>
          <w:lang w:val="fr-FR"/>
        </w:rPr>
        <w:t>Les éléments de base du développement durable ne sont toujours pas bien compris, ni pris en compte</w:t>
      </w:r>
    </w:p>
    <w:p w14:paraId="54C57E2A" w14:textId="77777777" w:rsidR="00802BA9" w:rsidRPr="00B84254" w:rsidRDefault="00802BA9" w:rsidP="00C518A4">
      <w:pPr>
        <w:spacing w:before="120" w:after="120" w:line="240" w:lineRule="auto"/>
        <w:rPr>
          <w:rFonts w:ascii="Arial" w:hAnsi="Arial" w:cs="Arial"/>
          <w:sz w:val="20"/>
          <w:szCs w:val="20"/>
          <w:lang w:val="fr-FR"/>
        </w:rPr>
      </w:pPr>
      <w:r w:rsidRPr="00B84254">
        <w:rPr>
          <w:rFonts w:ascii="Arial" w:hAnsi="Arial" w:cs="Arial"/>
          <w:sz w:val="20"/>
          <w:szCs w:val="20"/>
          <w:lang w:val="fr-FR"/>
        </w:rPr>
        <w:t xml:space="preserve">Le Mali ne dispose pas, jusqu’à aujourd’hui, d’une véritable approche systémique de développement en faveur de la protection des ressources naturelles et de l’environnement. L’absence d’une Stratégie Nationale de Développement Durable (SNDD) ainsi que l’atomisation institutionnelle empêchent la création d’une vision transversale (holistique) partagée de l’environnement et de son importance pour le développement du pays. L’attachement institutionnel de l’AEDD, </w:t>
      </w:r>
      <w:r w:rsidR="00C23D9B" w:rsidRPr="00B84254">
        <w:rPr>
          <w:rFonts w:ascii="Arial" w:hAnsi="Arial" w:cs="Arial"/>
          <w:sz w:val="20"/>
          <w:szCs w:val="20"/>
          <w:lang w:val="fr-FR"/>
        </w:rPr>
        <w:t>chargée du</w:t>
      </w:r>
      <w:r w:rsidRPr="00B84254">
        <w:rPr>
          <w:rFonts w:ascii="Arial" w:hAnsi="Arial" w:cs="Arial"/>
          <w:sz w:val="20"/>
          <w:szCs w:val="20"/>
          <w:lang w:val="fr-FR"/>
        </w:rPr>
        <w:t xml:space="preserve"> développement durable, au sein d’un ministère </w:t>
      </w:r>
      <w:r w:rsidR="000F75E7" w:rsidRPr="00B84254">
        <w:rPr>
          <w:rFonts w:ascii="Arial" w:hAnsi="Arial" w:cs="Arial"/>
          <w:sz w:val="20"/>
          <w:szCs w:val="20"/>
          <w:lang w:val="fr-FR"/>
        </w:rPr>
        <w:t xml:space="preserve">sectoriel </w:t>
      </w:r>
      <w:r w:rsidRPr="00B84254">
        <w:rPr>
          <w:rFonts w:ascii="Arial" w:hAnsi="Arial" w:cs="Arial"/>
          <w:sz w:val="20"/>
          <w:szCs w:val="20"/>
          <w:lang w:val="fr-FR"/>
        </w:rPr>
        <w:t xml:space="preserve">(avec un pouvoir politique assez faible) est défavorable pour </w:t>
      </w:r>
      <w:r w:rsidR="003F7ECE" w:rsidRPr="00B84254">
        <w:rPr>
          <w:rFonts w:ascii="Arial" w:hAnsi="Arial" w:cs="Arial"/>
          <w:sz w:val="20"/>
          <w:szCs w:val="20"/>
          <w:lang w:val="fr-FR"/>
        </w:rPr>
        <w:t xml:space="preserve">assurer la prise en compte nationale nécessaire du développement durable et pour </w:t>
      </w:r>
      <w:r w:rsidRPr="00B84254">
        <w:rPr>
          <w:rFonts w:ascii="Arial" w:hAnsi="Arial" w:cs="Arial"/>
          <w:sz w:val="20"/>
          <w:szCs w:val="20"/>
          <w:lang w:val="fr-FR"/>
        </w:rPr>
        <w:t xml:space="preserve">coordonner et amener </w:t>
      </w:r>
      <w:r w:rsidR="003F7ECE" w:rsidRPr="00B84254">
        <w:rPr>
          <w:rFonts w:ascii="Arial" w:hAnsi="Arial" w:cs="Arial"/>
          <w:sz w:val="20"/>
          <w:szCs w:val="20"/>
          <w:lang w:val="fr-FR"/>
        </w:rPr>
        <w:t xml:space="preserve">tous </w:t>
      </w:r>
      <w:r w:rsidRPr="00B84254">
        <w:rPr>
          <w:rFonts w:ascii="Arial" w:hAnsi="Arial" w:cs="Arial"/>
          <w:sz w:val="20"/>
          <w:szCs w:val="20"/>
          <w:lang w:val="fr-FR"/>
        </w:rPr>
        <w:t xml:space="preserve">les décideurs du pays à une vision partagée.  </w:t>
      </w:r>
    </w:p>
    <w:p w14:paraId="3785E434" w14:textId="77777777" w:rsidR="00802BA9" w:rsidRPr="00B84254" w:rsidRDefault="00802BA9" w:rsidP="00C518A4">
      <w:pPr>
        <w:spacing w:before="120" w:after="120" w:line="240" w:lineRule="auto"/>
        <w:rPr>
          <w:rFonts w:ascii="Arial" w:hAnsi="Arial" w:cs="Arial"/>
          <w:b/>
          <w:sz w:val="20"/>
          <w:szCs w:val="20"/>
          <w:lang w:val="fr-FR"/>
        </w:rPr>
      </w:pPr>
      <w:r w:rsidRPr="00B84254">
        <w:rPr>
          <w:rFonts w:ascii="Arial" w:hAnsi="Arial" w:cs="Arial"/>
          <w:b/>
          <w:sz w:val="20"/>
          <w:szCs w:val="20"/>
          <w:lang w:val="fr-FR"/>
        </w:rPr>
        <w:t>Recommandations :</w:t>
      </w:r>
    </w:p>
    <w:p w14:paraId="26907BA7" w14:textId="77777777" w:rsidR="00802BA9" w:rsidRPr="00B84254" w:rsidRDefault="00802BA9" w:rsidP="001859E3">
      <w:pPr>
        <w:numPr>
          <w:ilvl w:val="0"/>
          <w:numId w:val="44"/>
        </w:numPr>
        <w:spacing w:after="0" w:line="240" w:lineRule="auto"/>
        <w:contextualSpacing/>
        <w:rPr>
          <w:rFonts w:ascii="Arial" w:hAnsi="Arial" w:cs="Arial"/>
          <w:sz w:val="20"/>
          <w:szCs w:val="20"/>
          <w:lang w:val="fr-FR"/>
        </w:rPr>
      </w:pPr>
      <w:r w:rsidRPr="00B84254">
        <w:rPr>
          <w:rFonts w:ascii="Arial" w:hAnsi="Arial" w:cs="Arial"/>
          <w:sz w:val="20"/>
          <w:szCs w:val="20"/>
          <w:lang w:val="fr-FR"/>
        </w:rPr>
        <w:t>Reprendre l’élaboration de la SNDD. Le seul instrument en place est le CREDD et son verdissement. Il reste toujours dans une logique sectorielle (code 1).</w:t>
      </w:r>
    </w:p>
    <w:p w14:paraId="0FE48A91" w14:textId="77777777" w:rsidR="001859E3" w:rsidRPr="00B84254" w:rsidRDefault="006C0AB4" w:rsidP="001859E3">
      <w:pPr>
        <w:pStyle w:val="Pardeliste"/>
        <w:numPr>
          <w:ilvl w:val="0"/>
          <w:numId w:val="44"/>
        </w:numPr>
        <w:spacing w:after="0" w:line="240" w:lineRule="auto"/>
        <w:rPr>
          <w:rFonts w:ascii="Arial" w:hAnsi="Arial" w:cs="Arial"/>
          <w:sz w:val="20"/>
          <w:szCs w:val="20"/>
          <w:lang w:val="fr-FR"/>
        </w:rPr>
      </w:pPr>
      <w:r w:rsidRPr="00B84254">
        <w:rPr>
          <w:rFonts w:ascii="Arial" w:hAnsi="Arial" w:cs="Arial"/>
          <w:sz w:val="20"/>
          <w:szCs w:val="20"/>
          <w:lang w:val="fr-FR"/>
        </w:rPr>
        <w:t>Effectuer une analyse institutionnel</w:t>
      </w:r>
      <w:r w:rsidR="001859E3" w:rsidRPr="00B84254">
        <w:rPr>
          <w:rFonts w:ascii="Arial" w:hAnsi="Arial" w:cs="Arial"/>
          <w:sz w:val="20"/>
          <w:szCs w:val="20"/>
          <w:lang w:val="fr-FR"/>
        </w:rPr>
        <w:t>le</w:t>
      </w:r>
      <w:r w:rsidRPr="00B84254">
        <w:rPr>
          <w:rFonts w:ascii="Arial" w:hAnsi="Arial" w:cs="Arial"/>
          <w:sz w:val="20"/>
          <w:szCs w:val="20"/>
          <w:lang w:val="fr-FR"/>
        </w:rPr>
        <w:t xml:space="preserve"> et organisationnel</w:t>
      </w:r>
      <w:r w:rsidR="001859E3" w:rsidRPr="00B84254">
        <w:rPr>
          <w:rFonts w:ascii="Arial" w:hAnsi="Arial" w:cs="Arial"/>
          <w:sz w:val="20"/>
          <w:szCs w:val="20"/>
          <w:lang w:val="fr-FR"/>
        </w:rPr>
        <w:t>le</w:t>
      </w:r>
      <w:r w:rsidRPr="00B84254">
        <w:rPr>
          <w:rFonts w:ascii="Arial" w:hAnsi="Arial" w:cs="Arial"/>
          <w:sz w:val="20"/>
          <w:szCs w:val="20"/>
          <w:lang w:val="fr-FR"/>
        </w:rPr>
        <w:t xml:space="preserve"> des structures qui sont impliquées dans la question de l’environnement </w:t>
      </w:r>
      <w:r w:rsidR="001859E3" w:rsidRPr="00B84254">
        <w:rPr>
          <w:rFonts w:ascii="Arial" w:hAnsi="Arial" w:cs="Arial"/>
          <w:sz w:val="20"/>
          <w:szCs w:val="20"/>
          <w:lang w:val="fr-FR"/>
        </w:rPr>
        <w:t>pour harmoniser les mandats</w:t>
      </w:r>
      <w:r w:rsidRPr="00B84254">
        <w:rPr>
          <w:rFonts w:ascii="Arial" w:hAnsi="Arial" w:cs="Arial"/>
          <w:sz w:val="20"/>
          <w:szCs w:val="20"/>
          <w:lang w:val="fr-FR"/>
        </w:rPr>
        <w:t xml:space="preserve"> </w:t>
      </w:r>
      <w:r w:rsidR="001859E3" w:rsidRPr="00B84254">
        <w:rPr>
          <w:rFonts w:ascii="Arial" w:hAnsi="Arial" w:cs="Arial"/>
          <w:sz w:val="20"/>
          <w:szCs w:val="20"/>
          <w:lang w:val="fr-FR"/>
        </w:rPr>
        <w:t>(code 1)</w:t>
      </w:r>
    </w:p>
    <w:p w14:paraId="4DA4886F" w14:textId="77777777" w:rsidR="00802BA9" w:rsidRPr="00B84254" w:rsidRDefault="001859E3" w:rsidP="001859E3">
      <w:pPr>
        <w:pStyle w:val="Pardeliste"/>
        <w:numPr>
          <w:ilvl w:val="0"/>
          <w:numId w:val="44"/>
        </w:numPr>
        <w:spacing w:after="0" w:line="240" w:lineRule="auto"/>
        <w:rPr>
          <w:rFonts w:ascii="Arial" w:hAnsi="Arial" w:cs="Arial"/>
          <w:sz w:val="20"/>
          <w:szCs w:val="20"/>
          <w:lang w:val="fr-FR"/>
        </w:rPr>
      </w:pPr>
      <w:r w:rsidRPr="00B84254">
        <w:rPr>
          <w:rFonts w:ascii="Arial" w:hAnsi="Arial" w:cs="Arial"/>
          <w:sz w:val="20"/>
          <w:szCs w:val="20"/>
          <w:lang w:val="fr-FR"/>
        </w:rPr>
        <w:t>R</w:t>
      </w:r>
      <w:r w:rsidR="00802BA9" w:rsidRPr="00B84254">
        <w:rPr>
          <w:rFonts w:ascii="Arial" w:hAnsi="Arial" w:cs="Arial"/>
          <w:sz w:val="20"/>
          <w:szCs w:val="20"/>
          <w:lang w:val="fr-FR"/>
        </w:rPr>
        <w:t>evoir le cadre institutionnel du DD dans le but d’un rattachement au plus haut niveau (primature) en lien avec la place accordée à un ‘environnement sain’ dans la Constitution du Mali (code 1).</w:t>
      </w:r>
    </w:p>
    <w:p w14:paraId="3C12E729" w14:textId="77777777" w:rsidR="00802BA9" w:rsidRPr="00B84254" w:rsidRDefault="00802BA9" w:rsidP="00C518A4">
      <w:pPr>
        <w:spacing w:before="120" w:after="120" w:line="240" w:lineRule="auto"/>
        <w:rPr>
          <w:rFonts w:ascii="Arial" w:hAnsi="Arial" w:cs="Arial"/>
          <w:sz w:val="20"/>
          <w:szCs w:val="20"/>
          <w:u w:val="single"/>
          <w:lang w:val="fr-FR"/>
        </w:rPr>
      </w:pPr>
    </w:p>
    <w:p w14:paraId="3C3AEBC2" w14:textId="77777777" w:rsidR="00802BA9" w:rsidRPr="00B84254" w:rsidRDefault="00802BA9" w:rsidP="00C518A4">
      <w:pPr>
        <w:spacing w:before="120" w:after="120" w:line="240" w:lineRule="auto"/>
        <w:rPr>
          <w:rFonts w:ascii="Arial" w:hAnsi="Arial" w:cs="Arial"/>
          <w:b/>
          <w:sz w:val="20"/>
          <w:szCs w:val="20"/>
          <w:lang w:val="fr-FR"/>
        </w:rPr>
      </w:pPr>
      <w:r w:rsidRPr="00B84254">
        <w:rPr>
          <w:rFonts w:ascii="Arial" w:hAnsi="Arial" w:cs="Arial"/>
          <w:b/>
          <w:sz w:val="20"/>
          <w:szCs w:val="20"/>
          <w:lang w:val="fr-FR"/>
        </w:rPr>
        <w:t>Conclusion 10</w:t>
      </w:r>
    </w:p>
    <w:p w14:paraId="3B733F7A" w14:textId="77777777" w:rsidR="00802BA9" w:rsidRPr="00B84254" w:rsidRDefault="00802BA9" w:rsidP="00C518A4">
      <w:pPr>
        <w:spacing w:before="120" w:after="120" w:line="240" w:lineRule="auto"/>
        <w:rPr>
          <w:rFonts w:ascii="Arial" w:hAnsi="Arial" w:cs="Arial"/>
          <w:b/>
          <w:sz w:val="20"/>
          <w:szCs w:val="20"/>
          <w:lang w:val="fr-FR"/>
        </w:rPr>
      </w:pPr>
      <w:r w:rsidRPr="00B84254">
        <w:rPr>
          <w:rFonts w:ascii="Arial" w:hAnsi="Arial" w:cs="Arial"/>
          <w:b/>
          <w:sz w:val="20"/>
          <w:szCs w:val="20"/>
          <w:lang w:val="fr-FR"/>
        </w:rPr>
        <w:t xml:space="preserve">Des progrès dans l’information environnementale, à suivre et surtout à valoriser </w:t>
      </w:r>
    </w:p>
    <w:p w14:paraId="4F570888" w14:textId="77777777" w:rsidR="00802BA9" w:rsidRPr="00B84254" w:rsidRDefault="00802BA9" w:rsidP="00C518A4">
      <w:pPr>
        <w:spacing w:before="120" w:after="120" w:line="240" w:lineRule="auto"/>
        <w:rPr>
          <w:rFonts w:ascii="Arial" w:hAnsi="Arial" w:cs="Arial"/>
          <w:sz w:val="20"/>
          <w:szCs w:val="20"/>
          <w:lang w:val="fr-FR"/>
        </w:rPr>
      </w:pPr>
      <w:r w:rsidRPr="00B84254">
        <w:rPr>
          <w:rFonts w:ascii="Arial" w:hAnsi="Arial" w:cs="Arial"/>
          <w:sz w:val="20"/>
          <w:szCs w:val="20"/>
          <w:lang w:val="fr-FR"/>
        </w:rPr>
        <w:t>Le SNGIE mis en place fin 2017 peut être une étape cruciale pour l’amélioration de la gestion environnementale. Néanmoins il faut assurer la continuation et la bonne valorisation dans l’avenir.</w:t>
      </w:r>
    </w:p>
    <w:p w14:paraId="58EF21BF" w14:textId="77777777" w:rsidR="00802BA9" w:rsidRPr="00B84254" w:rsidRDefault="00802BA9" w:rsidP="00C518A4">
      <w:pPr>
        <w:spacing w:before="120" w:after="120" w:line="240" w:lineRule="auto"/>
        <w:rPr>
          <w:rFonts w:ascii="Arial" w:hAnsi="Arial" w:cs="Arial"/>
          <w:b/>
          <w:sz w:val="20"/>
          <w:szCs w:val="20"/>
          <w:lang w:val="fr-FR"/>
        </w:rPr>
      </w:pPr>
      <w:r w:rsidRPr="00B84254">
        <w:rPr>
          <w:rFonts w:ascii="Arial" w:hAnsi="Arial" w:cs="Arial"/>
          <w:b/>
          <w:sz w:val="20"/>
          <w:szCs w:val="20"/>
          <w:lang w:val="fr-FR"/>
        </w:rPr>
        <w:t>Recommandations :</w:t>
      </w:r>
    </w:p>
    <w:p w14:paraId="68EE7C25" w14:textId="77777777" w:rsidR="00802BA9" w:rsidRPr="00B84254" w:rsidRDefault="00802BA9" w:rsidP="00C518A4">
      <w:pPr>
        <w:numPr>
          <w:ilvl w:val="0"/>
          <w:numId w:val="53"/>
        </w:numPr>
        <w:spacing w:before="120" w:after="120" w:line="240" w:lineRule="auto"/>
        <w:contextualSpacing/>
        <w:rPr>
          <w:rFonts w:ascii="Arial" w:hAnsi="Arial" w:cs="Arial"/>
          <w:sz w:val="20"/>
          <w:szCs w:val="20"/>
          <w:lang w:val="fr-FR"/>
        </w:rPr>
      </w:pPr>
      <w:r w:rsidRPr="00B84254">
        <w:rPr>
          <w:rFonts w:ascii="Arial" w:hAnsi="Arial" w:cs="Arial"/>
          <w:sz w:val="20"/>
          <w:szCs w:val="20"/>
          <w:lang w:val="fr-FR"/>
        </w:rPr>
        <w:t>Assurer la disponibilité des ressources nécessaires à la collecte, le traitement continu des données et la diffusion des résultats (code 3).</w:t>
      </w:r>
    </w:p>
    <w:p w14:paraId="201D7687" w14:textId="77777777" w:rsidR="001859E3" w:rsidRPr="00B84254" w:rsidRDefault="001859E3" w:rsidP="001859E3">
      <w:pPr>
        <w:numPr>
          <w:ilvl w:val="1"/>
          <w:numId w:val="53"/>
        </w:numPr>
        <w:spacing w:before="120" w:after="120" w:line="240" w:lineRule="auto"/>
        <w:contextualSpacing/>
        <w:rPr>
          <w:rFonts w:ascii="Arial" w:hAnsi="Arial" w:cs="Arial"/>
          <w:sz w:val="20"/>
          <w:szCs w:val="20"/>
          <w:lang w:val="fr-FR"/>
        </w:rPr>
      </w:pPr>
      <w:r w:rsidRPr="00B84254">
        <w:rPr>
          <w:rFonts w:ascii="Arial" w:hAnsi="Arial" w:cs="Arial"/>
          <w:sz w:val="20"/>
          <w:szCs w:val="20"/>
          <w:lang w:val="fr-FR"/>
        </w:rPr>
        <w:t xml:space="preserve">Mise à disposition et mise en circulation des informations environnementales et climatiques existantes </w:t>
      </w:r>
    </w:p>
    <w:p w14:paraId="2558DFC7" w14:textId="77777777" w:rsidR="001859E3" w:rsidRPr="00B84254" w:rsidRDefault="001859E3" w:rsidP="001859E3">
      <w:pPr>
        <w:numPr>
          <w:ilvl w:val="1"/>
          <w:numId w:val="53"/>
        </w:numPr>
        <w:spacing w:before="120" w:after="120" w:line="240" w:lineRule="auto"/>
        <w:contextualSpacing/>
        <w:rPr>
          <w:rFonts w:ascii="Arial" w:hAnsi="Arial" w:cs="Arial"/>
          <w:sz w:val="20"/>
          <w:szCs w:val="20"/>
          <w:lang w:val="fr-FR"/>
        </w:rPr>
      </w:pPr>
      <w:r w:rsidRPr="00B84254">
        <w:rPr>
          <w:rFonts w:ascii="Arial" w:hAnsi="Arial" w:cs="Arial"/>
          <w:sz w:val="20"/>
          <w:szCs w:val="20"/>
          <w:lang w:val="fr-FR"/>
        </w:rPr>
        <w:t>Appuyer l’éducation environnementale locale (orale, de proximité)</w:t>
      </w:r>
    </w:p>
    <w:p w14:paraId="5D8D9AC0" w14:textId="77777777" w:rsidR="001859E3" w:rsidRPr="00B84254" w:rsidRDefault="001859E3" w:rsidP="001859E3">
      <w:pPr>
        <w:numPr>
          <w:ilvl w:val="1"/>
          <w:numId w:val="53"/>
        </w:numPr>
        <w:spacing w:before="120" w:after="120" w:line="240" w:lineRule="auto"/>
        <w:contextualSpacing/>
        <w:rPr>
          <w:rFonts w:ascii="Arial" w:hAnsi="Arial" w:cs="Arial"/>
          <w:sz w:val="20"/>
          <w:szCs w:val="20"/>
          <w:lang w:val="fr-FR"/>
        </w:rPr>
      </w:pPr>
      <w:r w:rsidRPr="00B84254">
        <w:rPr>
          <w:rFonts w:ascii="Arial" w:hAnsi="Arial" w:cs="Arial"/>
          <w:sz w:val="20"/>
          <w:szCs w:val="20"/>
          <w:lang w:val="fr-FR"/>
        </w:rPr>
        <w:t>Renforcer la collaboration média public – privé, média - structures sectorielles – société civile avec l’inscription du financement des émissions d’intérêt général sur le budget étatique</w:t>
      </w:r>
    </w:p>
    <w:p w14:paraId="1C76A034" w14:textId="77777777" w:rsidR="00802BA9" w:rsidRPr="00B84254" w:rsidRDefault="00802BA9" w:rsidP="00C518A4">
      <w:pPr>
        <w:numPr>
          <w:ilvl w:val="0"/>
          <w:numId w:val="53"/>
        </w:numPr>
        <w:spacing w:before="120" w:after="120" w:line="240" w:lineRule="auto"/>
        <w:contextualSpacing/>
        <w:rPr>
          <w:rFonts w:ascii="Arial" w:hAnsi="Arial" w:cs="Arial"/>
          <w:sz w:val="20"/>
          <w:szCs w:val="20"/>
          <w:lang w:val="fr-FR"/>
        </w:rPr>
      </w:pPr>
      <w:r w:rsidRPr="00B84254">
        <w:rPr>
          <w:rFonts w:ascii="Arial" w:hAnsi="Arial" w:cs="Arial"/>
          <w:sz w:val="20"/>
          <w:szCs w:val="20"/>
          <w:lang w:val="fr-FR"/>
        </w:rPr>
        <w:t>Assurer le renforcement des capacités techniques de l’AEDD par une assistance technique, surtout, pour l’analyse et l’interprétation des données (code 2).</w:t>
      </w:r>
    </w:p>
    <w:p w14:paraId="0DECA650" w14:textId="77777777" w:rsidR="00802BA9" w:rsidRPr="00B84254" w:rsidRDefault="00802BA9" w:rsidP="00C518A4">
      <w:pPr>
        <w:numPr>
          <w:ilvl w:val="0"/>
          <w:numId w:val="53"/>
        </w:numPr>
        <w:spacing w:before="120" w:after="120" w:line="240" w:lineRule="auto"/>
        <w:contextualSpacing/>
        <w:rPr>
          <w:rFonts w:ascii="Arial" w:hAnsi="Arial" w:cs="Arial"/>
          <w:sz w:val="20"/>
          <w:szCs w:val="20"/>
          <w:lang w:val="fr-FR"/>
        </w:rPr>
      </w:pPr>
      <w:r w:rsidRPr="00B84254">
        <w:rPr>
          <w:rFonts w:ascii="Arial" w:hAnsi="Arial" w:cs="Arial"/>
          <w:sz w:val="20"/>
          <w:szCs w:val="20"/>
          <w:lang w:val="fr-FR"/>
        </w:rPr>
        <w:t xml:space="preserve">Identifier les indicateurs environnementaux, du changement climatique et du développement durable clés </w:t>
      </w:r>
      <w:r w:rsidR="003E13CD" w:rsidRPr="00B84254">
        <w:rPr>
          <w:rFonts w:ascii="Arial" w:hAnsi="Arial" w:cs="Arial"/>
          <w:sz w:val="20"/>
          <w:szCs w:val="20"/>
          <w:lang w:val="fr-FR"/>
        </w:rPr>
        <w:t>pour le</w:t>
      </w:r>
      <w:r w:rsidR="00E334FF" w:rsidRPr="00B84254">
        <w:rPr>
          <w:rFonts w:ascii="Arial" w:hAnsi="Arial" w:cs="Arial"/>
          <w:sz w:val="20"/>
          <w:szCs w:val="20"/>
          <w:lang w:val="fr-FR"/>
        </w:rPr>
        <w:t>s</w:t>
      </w:r>
      <w:r w:rsidR="003E13CD" w:rsidRPr="00B84254">
        <w:rPr>
          <w:rFonts w:ascii="Arial" w:hAnsi="Arial" w:cs="Arial"/>
          <w:sz w:val="20"/>
          <w:szCs w:val="20"/>
          <w:lang w:val="fr-FR"/>
        </w:rPr>
        <w:t xml:space="preserve"> </w:t>
      </w:r>
      <w:r w:rsidRPr="00B84254">
        <w:rPr>
          <w:rFonts w:ascii="Arial" w:hAnsi="Arial" w:cs="Arial"/>
          <w:sz w:val="20"/>
          <w:szCs w:val="20"/>
          <w:lang w:val="fr-FR"/>
        </w:rPr>
        <w:t>CREDD avec une véritable intégration transversale des questions environnementales (code 2).</w:t>
      </w:r>
    </w:p>
    <w:p w14:paraId="4AB5001D" w14:textId="77777777" w:rsidR="00802BA9" w:rsidRPr="00B84254" w:rsidRDefault="00802BA9" w:rsidP="00C518A4">
      <w:pPr>
        <w:spacing w:before="120" w:after="120" w:line="240" w:lineRule="auto"/>
        <w:rPr>
          <w:rFonts w:ascii="Arial" w:hAnsi="Arial" w:cs="Arial"/>
          <w:sz w:val="20"/>
          <w:szCs w:val="20"/>
          <w:u w:val="single"/>
          <w:lang w:val="fr-FR" w:eastAsia="zh-CN"/>
        </w:rPr>
      </w:pPr>
      <w:r w:rsidRPr="00B84254">
        <w:rPr>
          <w:rFonts w:ascii="Arial" w:hAnsi="Arial" w:cs="Arial"/>
          <w:sz w:val="20"/>
          <w:szCs w:val="20"/>
          <w:lang w:val="fr-FR"/>
        </w:rPr>
        <w:t xml:space="preserve">Les </w:t>
      </w:r>
      <w:r w:rsidRPr="00B84254">
        <w:rPr>
          <w:rFonts w:ascii="Arial" w:hAnsi="Arial" w:cs="Arial"/>
          <w:b/>
          <w:sz w:val="20"/>
          <w:szCs w:val="20"/>
          <w:lang w:val="fr-FR"/>
        </w:rPr>
        <w:t>r</w:t>
      </w:r>
      <w:r w:rsidRPr="00B84254">
        <w:rPr>
          <w:rFonts w:ascii="Arial" w:hAnsi="Arial" w:cs="Arial"/>
          <w:b/>
          <w:sz w:val="20"/>
          <w:szCs w:val="20"/>
          <w:lang w:val="fr-FR" w:eastAsia="zh-CN"/>
        </w:rPr>
        <w:t>ecommandations au niveau du suivi environnemental spécifique de la CE (post 11</w:t>
      </w:r>
      <w:r w:rsidRPr="00B84254">
        <w:rPr>
          <w:rFonts w:ascii="Arial" w:hAnsi="Arial" w:cs="Arial"/>
          <w:b/>
          <w:sz w:val="20"/>
          <w:szCs w:val="20"/>
          <w:vertAlign w:val="superscript"/>
          <w:lang w:val="fr-FR" w:eastAsia="zh-CN"/>
        </w:rPr>
        <w:t>ème</w:t>
      </w:r>
      <w:r w:rsidRPr="00B84254">
        <w:rPr>
          <w:rFonts w:ascii="Arial" w:hAnsi="Arial" w:cs="Arial"/>
          <w:b/>
          <w:sz w:val="20"/>
          <w:szCs w:val="20"/>
          <w:lang w:val="fr-FR" w:eastAsia="zh-CN"/>
        </w:rPr>
        <w:t xml:space="preserve"> FED)</w:t>
      </w:r>
      <w:r w:rsidRPr="00B84254">
        <w:rPr>
          <w:rFonts w:ascii="Arial" w:hAnsi="Arial" w:cs="Arial"/>
          <w:sz w:val="20"/>
          <w:szCs w:val="20"/>
          <w:lang w:val="fr-FR" w:eastAsia="zh-CN"/>
        </w:rPr>
        <w:t xml:space="preserve"> restent identiques à celles du 11</w:t>
      </w:r>
      <w:r w:rsidRPr="00B84254">
        <w:rPr>
          <w:rFonts w:ascii="Arial" w:hAnsi="Arial" w:cs="Arial"/>
          <w:sz w:val="20"/>
          <w:szCs w:val="20"/>
          <w:vertAlign w:val="superscript"/>
          <w:lang w:val="fr-FR" w:eastAsia="zh-CN"/>
        </w:rPr>
        <w:t>ème</w:t>
      </w:r>
      <w:r w:rsidRPr="00B84254">
        <w:rPr>
          <w:rFonts w:ascii="Arial" w:hAnsi="Arial" w:cs="Arial"/>
          <w:sz w:val="20"/>
          <w:szCs w:val="20"/>
          <w:lang w:val="fr-FR" w:eastAsia="zh-CN"/>
        </w:rPr>
        <w:t xml:space="preserve"> FED car les secteurs probables restent les mêmes. En plus, les recommandations du PEP précédent dans ce sens n’ont pas été prises en compte dans le matrix de suivi du PIN :</w:t>
      </w:r>
      <w:r w:rsidRPr="00B84254">
        <w:rPr>
          <w:rFonts w:ascii="Arial" w:hAnsi="Arial" w:cs="Arial"/>
          <w:sz w:val="20"/>
          <w:szCs w:val="20"/>
          <w:u w:val="single"/>
          <w:lang w:val="fr-FR" w:eastAsia="zh-CN"/>
        </w:rPr>
        <w:t xml:space="preserve"> </w:t>
      </w:r>
    </w:p>
    <w:p w14:paraId="1CD22317" w14:textId="77777777" w:rsidR="00802BA9" w:rsidRPr="00B84254" w:rsidRDefault="00802BA9" w:rsidP="00C518A4">
      <w:pPr>
        <w:widowControl w:val="0"/>
        <w:numPr>
          <w:ilvl w:val="0"/>
          <w:numId w:val="3"/>
        </w:numPr>
        <w:adjustRightInd w:val="0"/>
        <w:spacing w:before="120" w:after="120" w:line="240" w:lineRule="auto"/>
        <w:contextualSpacing/>
        <w:textAlignment w:val="baseline"/>
        <w:rPr>
          <w:rFonts w:ascii="Arial" w:eastAsia="SimSun" w:hAnsi="Arial" w:cs="Arial"/>
          <w:sz w:val="20"/>
          <w:szCs w:val="20"/>
          <w:u w:val="single"/>
          <w:lang w:val="fr-FR" w:eastAsia="zh-CN"/>
        </w:rPr>
      </w:pPr>
      <w:r w:rsidRPr="00B84254">
        <w:rPr>
          <w:rFonts w:ascii="Arial" w:eastAsia="SimSun" w:hAnsi="Arial" w:cs="Arial"/>
          <w:sz w:val="20"/>
          <w:szCs w:val="20"/>
          <w:u w:val="single"/>
          <w:lang w:val="fr-FR" w:eastAsia="zh-CN"/>
        </w:rPr>
        <w:t>Réforme de l’Etat et la consolidation de l’Etat de droit incluant la relance de l’économie et le renforcement des institutions publiques</w:t>
      </w:r>
    </w:p>
    <w:p w14:paraId="4498F8EE" w14:textId="77777777" w:rsidR="00802BA9" w:rsidRPr="00B84254" w:rsidRDefault="00802BA9" w:rsidP="00C518A4">
      <w:pPr>
        <w:widowControl w:val="0"/>
        <w:adjustRightInd w:val="0"/>
        <w:spacing w:before="120" w:after="120" w:line="240" w:lineRule="auto"/>
        <w:ind w:left="360"/>
        <w:contextualSpacing/>
        <w:textAlignment w:val="baseline"/>
        <w:rPr>
          <w:rFonts w:ascii="Arial" w:eastAsia="SimSun" w:hAnsi="Arial" w:cs="Arial"/>
          <w:sz w:val="20"/>
          <w:szCs w:val="20"/>
          <w:u w:val="single"/>
          <w:lang w:val="fr-FR" w:eastAsia="zh-CN"/>
        </w:rPr>
      </w:pPr>
    </w:p>
    <w:p w14:paraId="3B92988E" w14:textId="77777777" w:rsidR="00802BA9" w:rsidRPr="00B84254" w:rsidRDefault="00802BA9" w:rsidP="00C518A4">
      <w:pPr>
        <w:widowControl w:val="0"/>
        <w:numPr>
          <w:ilvl w:val="0"/>
          <w:numId w:val="6"/>
        </w:numPr>
        <w:adjustRightInd w:val="0"/>
        <w:spacing w:before="120" w:after="120" w:line="240" w:lineRule="auto"/>
        <w:contextualSpacing/>
        <w:textAlignment w:val="baseline"/>
        <w:rPr>
          <w:rFonts w:ascii="Arial" w:eastAsia="SimSun" w:hAnsi="Arial" w:cs="Arial"/>
          <w:sz w:val="20"/>
          <w:szCs w:val="20"/>
          <w:lang w:val="fr-FR" w:eastAsia="zh-CN"/>
        </w:rPr>
      </w:pPr>
      <w:r w:rsidRPr="00B84254">
        <w:rPr>
          <w:rFonts w:ascii="Arial" w:eastAsia="SimSun" w:hAnsi="Arial" w:cs="Arial"/>
          <w:sz w:val="20"/>
          <w:szCs w:val="20"/>
          <w:lang w:val="fr-FR" w:eastAsia="zh-CN"/>
        </w:rPr>
        <w:t xml:space="preserve">Suivi des indicateurs de </w:t>
      </w:r>
      <w:r w:rsidRPr="00B84254">
        <w:rPr>
          <w:rFonts w:ascii="Arial" w:hAnsi="Arial" w:cs="Arial"/>
          <w:sz w:val="20"/>
          <w:szCs w:val="20"/>
          <w:lang w:val="fr-FR"/>
        </w:rPr>
        <w:t>« </w:t>
      </w:r>
      <w:r w:rsidRPr="00B84254">
        <w:rPr>
          <w:rFonts w:ascii="Arial" w:eastAsia="SimSun" w:hAnsi="Arial" w:cs="Arial"/>
          <w:sz w:val="20"/>
          <w:szCs w:val="20"/>
          <w:lang w:val="fr-FR" w:eastAsia="zh-CN"/>
        </w:rPr>
        <w:t>verdissement</w:t>
      </w:r>
      <w:r w:rsidRPr="00B84254">
        <w:rPr>
          <w:rFonts w:ascii="Arial" w:hAnsi="Arial" w:cs="Arial"/>
          <w:sz w:val="20"/>
          <w:szCs w:val="20"/>
          <w:lang w:val="fr-FR"/>
        </w:rPr>
        <w:t> »</w:t>
      </w:r>
      <w:r w:rsidRPr="00B84254">
        <w:rPr>
          <w:rFonts w:ascii="Arial" w:eastAsia="SimSun" w:hAnsi="Arial" w:cs="Arial"/>
          <w:sz w:val="20"/>
          <w:szCs w:val="20"/>
          <w:lang w:val="fr-FR" w:eastAsia="zh-CN"/>
        </w:rPr>
        <w:t xml:space="preserve"> de chaque secteur du CREDD.</w:t>
      </w:r>
    </w:p>
    <w:p w14:paraId="01F34E1D" w14:textId="77777777" w:rsidR="00802BA9" w:rsidRPr="00B84254" w:rsidRDefault="00802BA9" w:rsidP="00C518A4">
      <w:pPr>
        <w:widowControl w:val="0"/>
        <w:numPr>
          <w:ilvl w:val="0"/>
          <w:numId w:val="6"/>
        </w:numPr>
        <w:adjustRightInd w:val="0"/>
        <w:spacing w:before="120" w:after="120" w:line="240" w:lineRule="auto"/>
        <w:contextualSpacing/>
        <w:textAlignment w:val="baseline"/>
        <w:rPr>
          <w:rFonts w:ascii="Arial" w:eastAsia="SimSun" w:hAnsi="Arial" w:cs="Arial"/>
          <w:sz w:val="20"/>
          <w:szCs w:val="20"/>
          <w:lang w:val="fr-FR" w:eastAsia="zh-CN"/>
        </w:rPr>
      </w:pPr>
      <w:r w:rsidRPr="00B84254">
        <w:rPr>
          <w:rFonts w:ascii="Arial" w:eastAsia="SimSun" w:hAnsi="Arial" w:cs="Arial"/>
          <w:sz w:val="20"/>
          <w:szCs w:val="20"/>
          <w:lang w:val="fr-FR" w:eastAsia="zh-CN"/>
        </w:rPr>
        <w:t>% du transfert effectif des compétences et des ressources financières de gestion des ressources naturelles aux communes et mise en œuvre des Plans Communaux d'Actions Environnementales (PCAE).</w:t>
      </w:r>
    </w:p>
    <w:p w14:paraId="6E086FCC" w14:textId="77777777" w:rsidR="00802BA9" w:rsidRPr="00B84254" w:rsidRDefault="00802BA9" w:rsidP="00C518A4">
      <w:pPr>
        <w:widowControl w:val="0"/>
        <w:numPr>
          <w:ilvl w:val="0"/>
          <w:numId w:val="6"/>
        </w:numPr>
        <w:adjustRightInd w:val="0"/>
        <w:spacing w:before="120" w:after="120" w:line="240" w:lineRule="auto"/>
        <w:contextualSpacing/>
        <w:textAlignment w:val="baseline"/>
        <w:rPr>
          <w:rFonts w:ascii="Arial" w:eastAsia="SimSun" w:hAnsi="Arial" w:cs="Arial"/>
          <w:sz w:val="20"/>
          <w:szCs w:val="20"/>
          <w:lang w:val="fr-FR" w:eastAsia="zh-CN"/>
        </w:rPr>
      </w:pPr>
      <w:r w:rsidRPr="00B84254">
        <w:rPr>
          <w:rFonts w:ascii="Arial" w:eastAsia="SimSun" w:hAnsi="Arial" w:cs="Arial"/>
          <w:sz w:val="20"/>
          <w:szCs w:val="20"/>
          <w:lang w:val="fr-FR" w:eastAsia="zh-CN"/>
        </w:rPr>
        <w:t>% du budget de l’Etat alloué aux actions concrètes des secteurs suivants : énergie renouvelable, assainissement, éducation environnementale, information et communication, protection de la nature, mise en œuvre du CSI/GDT et adaptation aux changements climatiques.</w:t>
      </w:r>
    </w:p>
    <w:p w14:paraId="54B5C6F8" w14:textId="77777777" w:rsidR="00802BA9" w:rsidRPr="00B84254" w:rsidRDefault="00802BA9" w:rsidP="00C518A4">
      <w:pPr>
        <w:widowControl w:val="0"/>
        <w:adjustRightInd w:val="0"/>
        <w:spacing w:before="120" w:after="120" w:line="240" w:lineRule="auto"/>
        <w:ind w:left="720"/>
        <w:contextualSpacing/>
        <w:textAlignment w:val="baseline"/>
        <w:rPr>
          <w:rFonts w:ascii="Arial" w:eastAsia="SimSun" w:hAnsi="Arial" w:cs="Arial"/>
          <w:sz w:val="20"/>
          <w:szCs w:val="20"/>
          <w:lang w:val="fr-FR" w:eastAsia="zh-CN"/>
        </w:rPr>
      </w:pPr>
    </w:p>
    <w:p w14:paraId="5C9EEB30" w14:textId="77777777" w:rsidR="00802BA9" w:rsidRPr="00B84254" w:rsidRDefault="00802BA9" w:rsidP="00C518A4">
      <w:pPr>
        <w:widowControl w:val="0"/>
        <w:numPr>
          <w:ilvl w:val="0"/>
          <w:numId w:val="3"/>
        </w:numPr>
        <w:adjustRightInd w:val="0"/>
        <w:spacing w:before="120" w:after="120" w:line="240" w:lineRule="auto"/>
        <w:contextualSpacing/>
        <w:textAlignment w:val="baseline"/>
        <w:rPr>
          <w:rFonts w:ascii="Arial" w:eastAsia="SimSun" w:hAnsi="Arial" w:cs="Arial"/>
          <w:sz w:val="20"/>
          <w:szCs w:val="20"/>
          <w:u w:val="single"/>
          <w:lang w:val="fr-FR" w:eastAsia="zh-CN"/>
        </w:rPr>
      </w:pPr>
      <w:r w:rsidRPr="00B84254">
        <w:rPr>
          <w:rFonts w:ascii="Arial" w:eastAsia="SimSun" w:hAnsi="Arial" w:cs="Arial"/>
          <w:sz w:val="20"/>
          <w:szCs w:val="20"/>
          <w:u w:val="single"/>
          <w:lang w:val="fr-FR" w:eastAsia="zh-CN"/>
        </w:rPr>
        <w:t>Développement rural et sécurité alimentaire</w:t>
      </w:r>
    </w:p>
    <w:p w14:paraId="57B17B22" w14:textId="77777777" w:rsidR="00802BA9" w:rsidRPr="00B84254" w:rsidRDefault="00802BA9" w:rsidP="00C518A4">
      <w:pPr>
        <w:widowControl w:val="0"/>
        <w:adjustRightInd w:val="0"/>
        <w:spacing w:before="120" w:after="120" w:line="240" w:lineRule="auto"/>
        <w:ind w:left="360"/>
        <w:contextualSpacing/>
        <w:textAlignment w:val="baseline"/>
        <w:rPr>
          <w:rFonts w:ascii="Arial" w:eastAsia="SimSun" w:hAnsi="Arial" w:cs="Arial"/>
          <w:sz w:val="20"/>
          <w:szCs w:val="20"/>
          <w:u w:val="single"/>
          <w:lang w:val="fr-FR" w:eastAsia="zh-CN"/>
        </w:rPr>
      </w:pPr>
    </w:p>
    <w:p w14:paraId="4ECDBA5E" w14:textId="77777777" w:rsidR="00802BA9" w:rsidRPr="00B84254" w:rsidRDefault="00802BA9" w:rsidP="00C518A4">
      <w:pPr>
        <w:widowControl w:val="0"/>
        <w:numPr>
          <w:ilvl w:val="0"/>
          <w:numId w:val="6"/>
        </w:numPr>
        <w:adjustRightInd w:val="0"/>
        <w:spacing w:before="120" w:after="120" w:line="240" w:lineRule="auto"/>
        <w:contextualSpacing/>
        <w:textAlignment w:val="baseline"/>
        <w:rPr>
          <w:rFonts w:ascii="Arial" w:eastAsia="SimSun" w:hAnsi="Arial" w:cs="Arial"/>
          <w:sz w:val="20"/>
          <w:szCs w:val="20"/>
          <w:lang w:val="fr-FR" w:eastAsia="zh-CN"/>
        </w:rPr>
      </w:pPr>
      <w:r w:rsidRPr="00B84254">
        <w:rPr>
          <w:rFonts w:ascii="Arial" w:eastAsia="SimSun" w:hAnsi="Arial" w:cs="Arial"/>
          <w:sz w:val="20"/>
          <w:szCs w:val="20"/>
          <w:lang w:val="fr-FR" w:eastAsia="zh-CN"/>
        </w:rPr>
        <w:t>Suivi des principaux indicateurs d’impact des secteurs agriculture, élevage et pêche selon l’EES du Développement rural (2011), à savoir :</w:t>
      </w:r>
    </w:p>
    <w:p w14:paraId="45737B05" w14:textId="77777777" w:rsidR="00802BA9" w:rsidRPr="00B84254" w:rsidRDefault="00802BA9" w:rsidP="00C518A4">
      <w:pPr>
        <w:pStyle w:val="Pardeliste"/>
        <w:widowControl w:val="0"/>
        <w:numPr>
          <w:ilvl w:val="1"/>
          <w:numId w:val="6"/>
        </w:numPr>
        <w:adjustRightInd w:val="0"/>
        <w:spacing w:before="120" w:after="120" w:line="240" w:lineRule="auto"/>
        <w:ind w:left="1276"/>
        <w:textAlignment w:val="baseline"/>
        <w:rPr>
          <w:rFonts w:ascii="Arial" w:eastAsia="SimSun" w:hAnsi="Arial" w:cs="Arial"/>
          <w:sz w:val="20"/>
          <w:szCs w:val="20"/>
          <w:lang w:val="fr-FR" w:eastAsia="zh-CN"/>
        </w:rPr>
      </w:pPr>
      <w:r w:rsidRPr="00B84254">
        <w:rPr>
          <w:rFonts w:ascii="Arial" w:eastAsia="SimSun" w:hAnsi="Arial" w:cs="Arial"/>
          <w:sz w:val="20"/>
          <w:szCs w:val="20"/>
          <w:lang w:val="fr-FR" w:eastAsia="zh-CN"/>
        </w:rPr>
        <w:t>Evolution des surfaces nouvellement défrichées, dégradées et de la désertification.</w:t>
      </w:r>
    </w:p>
    <w:p w14:paraId="7A43449B" w14:textId="77777777" w:rsidR="00802BA9" w:rsidRPr="00B84254" w:rsidRDefault="00802BA9" w:rsidP="00C518A4">
      <w:pPr>
        <w:pStyle w:val="Pardeliste"/>
        <w:widowControl w:val="0"/>
        <w:numPr>
          <w:ilvl w:val="1"/>
          <w:numId w:val="6"/>
        </w:numPr>
        <w:adjustRightInd w:val="0"/>
        <w:spacing w:before="120" w:after="120" w:line="240" w:lineRule="auto"/>
        <w:ind w:left="1276"/>
        <w:textAlignment w:val="baseline"/>
        <w:rPr>
          <w:rFonts w:ascii="Arial" w:eastAsia="SimSun" w:hAnsi="Arial" w:cs="Arial"/>
          <w:sz w:val="20"/>
          <w:szCs w:val="20"/>
          <w:lang w:val="fr-FR" w:eastAsia="zh-CN"/>
        </w:rPr>
      </w:pPr>
      <w:r w:rsidRPr="00B84254">
        <w:rPr>
          <w:rFonts w:ascii="Arial" w:eastAsia="SimSun" w:hAnsi="Arial" w:cs="Arial"/>
          <w:sz w:val="20"/>
          <w:szCs w:val="20"/>
          <w:lang w:val="fr-FR" w:eastAsia="zh-CN"/>
        </w:rPr>
        <w:t>Consommation de ressources naturelles renouvelables (ratio</w:t>
      </w:r>
      <w:r w:rsidRPr="00B84254">
        <w:rPr>
          <w:rFonts w:ascii="Arial" w:hAnsi="Arial" w:cs="Arial"/>
          <w:sz w:val="20"/>
          <w:szCs w:val="20"/>
          <w:lang w:val="fr-FR"/>
        </w:rPr>
        <w:t xml:space="preserve"> </w:t>
      </w:r>
      <w:r w:rsidRPr="00B84254">
        <w:rPr>
          <w:rFonts w:ascii="Arial" w:eastAsia="SimSun" w:hAnsi="Arial" w:cs="Arial"/>
          <w:sz w:val="20"/>
          <w:szCs w:val="20"/>
          <w:lang w:val="fr-FR" w:eastAsia="zh-CN"/>
        </w:rPr>
        <w:t xml:space="preserve">de la productivité/ha et de la consommation d’eau/ha irrigué). </w:t>
      </w:r>
    </w:p>
    <w:p w14:paraId="01ABEDB1" w14:textId="77777777" w:rsidR="00802BA9" w:rsidRPr="00B84254" w:rsidRDefault="00802BA9" w:rsidP="00C518A4">
      <w:pPr>
        <w:pStyle w:val="Pardeliste"/>
        <w:widowControl w:val="0"/>
        <w:numPr>
          <w:ilvl w:val="1"/>
          <w:numId w:val="6"/>
        </w:numPr>
        <w:adjustRightInd w:val="0"/>
        <w:spacing w:before="120" w:after="120" w:line="240" w:lineRule="auto"/>
        <w:ind w:left="1276"/>
        <w:textAlignment w:val="baseline"/>
        <w:rPr>
          <w:rFonts w:ascii="Arial" w:eastAsia="SimSun" w:hAnsi="Arial" w:cs="Arial"/>
          <w:sz w:val="20"/>
          <w:szCs w:val="20"/>
          <w:lang w:val="fr-FR" w:eastAsia="zh-CN"/>
        </w:rPr>
      </w:pPr>
      <w:r w:rsidRPr="00B84254">
        <w:rPr>
          <w:rFonts w:ascii="Arial" w:eastAsia="SimSun" w:hAnsi="Arial" w:cs="Arial"/>
          <w:sz w:val="20"/>
          <w:szCs w:val="20"/>
          <w:lang w:val="fr-FR" w:eastAsia="zh-CN"/>
        </w:rPr>
        <w:t>Pressions sur ressources naturelles (rapport entre prélèvements et stocks renouvelables)</w:t>
      </w:r>
    </w:p>
    <w:p w14:paraId="3BCA4AAF" w14:textId="77777777" w:rsidR="00802BA9" w:rsidRPr="00B84254" w:rsidRDefault="00802BA9" w:rsidP="00C518A4">
      <w:pPr>
        <w:pStyle w:val="Pardeliste"/>
        <w:widowControl w:val="0"/>
        <w:numPr>
          <w:ilvl w:val="1"/>
          <w:numId w:val="6"/>
        </w:numPr>
        <w:adjustRightInd w:val="0"/>
        <w:spacing w:before="120" w:after="120" w:line="240" w:lineRule="auto"/>
        <w:ind w:left="1276"/>
        <w:textAlignment w:val="baseline"/>
        <w:rPr>
          <w:rFonts w:ascii="Arial" w:eastAsia="SimSun" w:hAnsi="Arial" w:cs="Arial"/>
          <w:sz w:val="20"/>
          <w:szCs w:val="20"/>
          <w:lang w:val="fr-FR" w:eastAsia="zh-CN"/>
        </w:rPr>
      </w:pPr>
      <w:r w:rsidRPr="00B84254">
        <w:rPr>
          <w:rFonts w:ascii="Arial" w:eastAsia="SimSun" w:hAnsi="Arial" w:cs="Arial"/>
          <w:sz w:val="20"/>
          <w:szCs w:val="20"/>
          <w:lang w:val="fr-FR" w:eastAsia="zh-CN"/>
        </w:rPr>
        <w:t>Qualité/pollution de l’eau.</w:t>
      </w:r>
    </w:p>
    <w:p w14:paraId="5A9FFBEF" w14:textId="77777777" w:rsidR="00802BA9" w:rsidRPr="00B84254" w:rsidRDefault="00802BA9" w:rsidP="00C518A4">
      <w:pPr>
        <w:pStyle w:val="Pardeliste"/>
        <w:widowControl w:val="0"/>
        <w:numPr>
          <w:ilvl w:val="1"/>
          <w:numId w:val="6"/>
        </w:numPr>
        <w:adjustRightInd w:val="0"/>
        <w:spacing w:before="120" w:after="120" w:line="240" w:lineRule="auto"/>
        <w:ind w:left="1276"/>
        <w:textAlignment w:val="baseline"/>
        <w:rPr>
          <w:rFonts w:ascii="Arial" w:eastAsia="SimSun" w:hAnsi="Arial" w:cs="Arial"/>
          <w:sz w:val="20"/>
          <w:szCs w:val="20"/>
          <w:lang w:val="fr-FR" w:eastAsia="zh-CN"/>
        </w:rPr>
      </w:pPr>
      <w:r w:rsidRPr="00B84254">
        <w:rPr>
          <w:rFonts w:ascii="Arial" w:eastAsia="SimSun" w:hAnsi="Arial" w:cs="Arial"/>
          <w:sz w:val="20"/>
          <w:szCs w:val="20"/>
          <w:lang w:val="fr-FR" w:eastAsia="zh-CN"/>
        </w:rPr>
        <w:t>Emissions dans l’atmosphère.</w:t>
      </w:r>
    </w:p>
    <w:p w14:paraId="4690E0EE" w14:textId="77777777" w:rsidR="00802BA9" w:rsidRPr="00B84254" w:rsidRDefault="00802BA9" w:rsidP="00C518A4">
      <w:pPr>
        <w:pStyle w:val="Pardeliste"/>
        <w:widowControl w:val="0"/>
        <w:numPr>
          <w:ilvl w:val="1"/>
          <w:numId w:val="6"/>
        </w:numPr>
        <w:adjustRightInd w:val="0"/>
        <w:spacing w:before="120" w:after="120" w:line="240" w:lineRule="auto"/>
        <w:ind w:left="1276"/>
        <w:textAlignment w:val="baseline"/>
        <w:rPr>
          <w:rFonts w:ascii="Arial" w:eastAsia="SimSun" w:hAnsi="Arial" w:cs="Arial"/>
          <w:sz w:val="20"/>
          <w:szCs w:val="20"/>
          <w:lang w:val="fr-FR" w:eastAsia="zh-CN"/>
        </w:rPr>
      </w:pPr>
      <w:r w:rsidRPr="00B84254">
        <w:rPr>
          <w:rFonts w:ascii="Arial" w:eastAsia="SimSun" w:hAnsi="Arial" w:cs="Arial"/>
          <w:sz w:val="20"/>
          <w:szCs w:val="20"/>
          <w:lang w:val="fr-FR" w:eastAsia="zh-CN"/>
        </w:rPr>
        <w:t>Diversification de l’économie familiale rurale respectant l’environnement et évolution des revenus.</w:t>
      </w:r>
    </w:p>
    <w:p w14:paraId="3F11F3E3" w14:textId="77777777" w:rsidR="00802BA9" w:rsidRPr="00B84254" w:rsidRDefault="00802BA9" w:rsidP="00C518A4">
      <w:pPr>
        <w:widowControl w:val="0"/>
        <w:adjustRightInd w:val="0"/>
        <w:spacing w:before="120" w:after="120" w:line="240" w:lineRule="auto"/>
        <w:ind w:left="360"/>
        <w:contextualSpacing/>
        <w:textAlignment w:val="baseline"/>
        <w:rPr>
          <w:rFonts w:ascii="Arial" w:eastAsia="SimSun" w:hAnsi="Arial" w:cs="Arial"/>
          <w:sz w:val="20"/>
          <w:szCs w:val="20"/>
          <w:lang w:val="fr-FR" w:eastAsia="zh-CN"/>
        </w:rPr>
      </w:pPr>
    </w:p>
    <w:p w14:paraId="2EC614BF" w14:textId="77777777" w:rsidR="00802BA9" w:rsidRPr="00B84254" w:rsidRDefault="00802BA9" w:rsidP="00C518A4">
      <w:pPr>
        <w:widowControl w:val="0"/>
        <w:numPr>
          <w:ilvl w:val="0"/>
          <w:numId w:val="3"/>
        </w:numPr>
        <w:adjustRightInd w:val="0"/>
        <w:spacing w:before="120" w:after="120" w:line="240" w:lineRule="auto"/>
        <w:contextualSpacing/>
        <w:textAlignment w:val="baseline"/>
        <w:rPr>
          <w:rFonts w:ascii="Arial" w:eastAsia="SimSun" w:hAnsi="Arial" w:cs="Arial"/>
          <w:sz w:val="20"/>
          <w:szCs w:val="20"/>
          <w:u w:val="single"/>
          <w:lang w:val="fr-FR" w:eastAsia="zh-CN"/>
        </w:rPr>
      </w:pPr>
      <w:r w:rsidRPr="00B84254">
        <w:rPr>
          <w:rFonts w:ascii="Arial" w:eastAsia="SimSun" w:hAnsi="Arial" w:cs="Arial"/>
          <w:sz w:val="20"/>
          <w:szCs w:val="20"/>
          <w:u w:val="single"/>
          <w:lang w:val="fr-FR" w:eastAsia="zh-CN"/>
        </w:rPr>
        <w:t>Education</w:t>
      </w:r>
    </w:p>
    <w:p w14:paraId="0016AF98" w14:textId="77777777" w:rsidR="00802BA9" w:rsidRPr="00B84254" w:rsidRDefault="00802BA9" w:rsidP="00C518A4">
      <w:pPr>
        <w:widowControl w:val="0"/>
        <w:adjustRightInd w:val="0"/>
        <w:spacing w:before="120" w:after="120" w:line="240" w:lineRule="auto"/>
        <w:ind w:left="360"/>
        <w:contextualSpacing/>
        <w:textAlignment w:val="baseline"/>
        <w:rPr>
          <w:rFonts w:ascii="Arial" w:eastAsia="SimSun" w:hAnsi="Arial" w:cs="Arial"/>
          <w:sz w:val="20"/>
          <w:szCs w:val="20"/>
          <w:u w:val="single"/>
          <w:lang w:val="fr-FR" w:eastAsia="zh-CN"/>
        </w:rPr>
      </w:pPr>
    </w:p>
    <w:p w14:paraId="015B0349" w14:textId="77777777" w:rsidR="00802BA9" w:rsidRPr="00B84254" w:rsidRDefault="00802BA9" w:rsidP="00C518A4">
      <w:pPr>
        <w:widowControl w:val="0"/>
        <w:numPr>
          <w:ilvl w:val="0"/>
          <w:numId w:val="5"/>
        </w:numPr>
        <w:adjustRightInd w:val="0"/>
        <w:spacing w:before="120" w:after="120" w:line="240" w:lineRule="auto"/>
        <w:contextualSpacing/>
        <w:textAlignment w:val="baseline"/>
        <w:rPr>
          <w:rFonts w:ascii="Arial" w:eastAsia="SimSun" w:hAnsi="Arial" w:cs="Arial"/>
          <w:sz w:val="20"/>
          <w:szCs w:val="20"/>
          <w:lang w:val="fr-FR" w:eastAsia="zh-CN"/>
        </w:rPr>
      </w:pPr>
      <w:r w:rsidRPr="00B84254">
        <w:rPr>
          <w:rFonts w:ascii="Arial" w:eastAsia="SimSun" w:hAnsi="Arial" w:cs="Arial"/>
          <w:sz w:val="20"/>
          <w:szCs w:val="20"/>
          <w:lang w:val="fr-FR" w:eastAsia="zh-CN"/>
        </w:rPr>
        <w:t>Degré de l’écoconception des écoles (latrines respectant les normes environnementales, cantines utilisant les foyers améliorés ou d’autres sources d’énergie).</w:t>
      </w:r>
    </w:p>
    <w:p w14:paraId="1B99A951" w14:textId="77777777" w:rsidR="00802BA9" w:rsidRPr="00B84254" w:rsidRDefault="00802BA9" w:rsidP="00C518A4">
      <w:pPr>
        <w:widowControl w:val="0"/>
        <w:numPr>
          <w:ilvl w:val="0"/>
          <w:numId w:val="5"/>
        </w:numPr>
        <w:adjustRightInd w:val="0"/>
        <w:spacing w:before="120" w:after="120" w:line="240" w:lineRule="auto"/>
        <w:contextualSpacing/>
        <w:textAlignment w:val="baseline"/>
        <w:rPr>
          <w:rFonts w:ascii="Arial" w:eastAsia="SimSun" w:hAnsi="Arial" w:cs="Arial"/>
          <w:sz w:val="20"/>
          <w:szCs w:val="20"/>
          <w:lang w:val="fr-FR" w:eastAsia="zh-CN"/>
        </w:rPr>
      </w:pPr>
      <w:r w:rsidRPr="00B84254">
        <w:rPr>
          <w:rFonts w:ascii="Arial" w:eastAsia="SimSun" w:hAnsi="Arial" w:cs="Arial"/>
          <w:sz w:val="20"/>
          <w:szCs w:val="20"/>
          <w:lang w:val="fr-FR" w:eastAsia="zh-CN"/>
        </w:rPr>
        <w:t>% des écoles ayant un jardin de démonstration, pépinière, tri-sélectif… de formation pratique (= école verte).</w:t>
      </w:r>
    </w:p>
    <w:p w14:paraId="7101467B" w14:textId="77777777" w:rsidR="00802BA9" w:rsidRPr="00B84254" w:rsidRDefault="00802BA9" w:rsidP="00C518A4">
      <w:pPr>
        <w:widowControl w:val="0"/>
        <w:numPr>
          <w:ilvl w:val="0"/>
          <w:numId w:val="5"/>
        </w:numPr>
        <w:adjustRightInd w:val="0"/>
        <w:spacing w:before="120" w:after="120" w:line="240" w:lineRule="auto"/>
        <w:contextualSpacing/>
        <w:textAlignment w:val="baseline"/>
        <w:rPr>
          <w:rFonts w:ascii="Arial" w:eastAsia="SimSun" w:hAnsi="Arial" w:cs="Arial"/>
          <w:sz w:val="20"/>
          <w:szCs w:val="20"/>
          <w:lang w:val="fr-FR" w:eastAsia="zh-CN"/>
        </w:rPr>
      </w:pPr>
      <w:r w:rsidRPr="00B84254">
        <w:rPr>
          <w:rFonts w:ascii="Arial" w:eastAsia="SimSun" w:hAnsi="Arial" w:cs="Arial"/>
          <w:sz w:val="20"/>
          <w:szCs w:val="20"/>
          <w:lang w:val="fr-FR" w:eastAsia="zh-CN"/>
        </w:rPr>
        <w:t>Budgétisation de l’éducation environnementale par le Ministère de l’Education.</w:t>
      </w:r>
    </w:p>
    <w:p w14:paraId="58F9D8D7" w14:textId="77777777" w:rsidR="00802BA9" w:rsidRPr="00B84254" w:rsidRDefault="00802BA9" w:rsidP="00C518A4">
      <w:pPr>
        <w:widowControl w:val="0"/>
        <w:numPr>
          <w:ilvl w:val="0"/>
          <w:numId w:val="5"/>
        </w:numPr>
        <w:adjustRightInd w:val="0"/>
        <w:spacing w:before="120" w:after="120" w:line="240" w:lineRule="auto"/>
        <w:contextualSpacing/>
        <w:textAlignment w:val="baseline"/>
        <w:rPr>
          <w:rFonts w:ascii="Arial" w:eastAsia="SimSun" w:hAnsi="Arial" w:cs="Arial"/>
          <w:sz w:val="20"/>
          <w:szCs w:val="20"/>
          <w:lang w:val="fr-FR" w:eastAsia="zh-CN"/>
        </w:rPr>
      </w:pPr>
      <w:r w:rsidRPr="00B84254">
        <w:rPr>
          <w:rFonts w:ascii="Arial" w:eastAsia="SimSun" w:hAnsi="Arial" w:cs="Arial"/>
          <w:sz w:val="20"/>
          <w:szCs w:val="20"/>
          <w:lang w:val="fr-FR" w:eastAsia="zh-CN"/>
        </w:rPr>
        <w:t>% des formations de professionnalisation incluant le lien du secteur à l’environnement.</w:t>
      </w:r>
    </w:p>
    <w:p w14:paraId="04008933" w14:textId="77777777" w:rsidR="00802BA9" w:rsidRPr="00B84254" w:rsidRDefault="00802BA9" w:rsidP="00C518A4">
      <w:pPr>
        <w:widowControl w:val="0"/>
        <w:adjustRightInd w:val="0"/>
        <w:spacing w:before="120" w:after="120" w:line="240" w:lineRule="auto"/>
        <w:ind w:left="720"/>
        <w:contextualSpacing/>
        <w:textAlignment w:val="baseline"/>
        <w:rPr>
          <w:rFonts w:ascii="Arial" w:eastAsia="SimSun" w:hAnsi="Arial" w:cs="Arial"/>
          <w:sz w:val="20"/>
          <w:szCs w:val="20"/>
          <w:lang w:val="fr-FR" w:eastAsia="zh-CN"/>
        </w:rPr>
      </w:pPr>
    </w:p>
    <w:p w14:paraId="239C1BE2" w14:textId="77777777" w:rsidR="00802BA9" w:rsidRPr="00B84254" w:rsidRDefault="00802BA9" w:rsidP="00C518A4">
      <w:pPr>
        <w:widowControl w:val="0"/>
        <w:numPr>
          <w:ilvl w:val="0"/>
          <w:numId w:val="3"/>
        </w:numPr>
        <w:adjustRightInd w:val="0"/>
        <w:spacing w:before="120" w:after="120" w:line="240" w:lineRule="auto"/>
        <w:contextualSpacing/>
        <w:textAlignment w:val="baseline"/>
        <w:rPr>
          <w:rFonts w:ascii="Arial" w:eastAsia="SimSun" w:hAnsi="Arial" w:cs="Arial"/>
          <w:sz w:val="20"/>
          <w:szCs w:val="20"/>
          <w:u w:val="single"/>
          <w:lang w:val="fr-FR" w:eastAsia="zh-CN"/>
        </w:rPr>
      </w:pPr>
      <w:r w:rsidRPr="00B84254">
        <w:rPr>
          <w:rFonts w:ascii="Arial" w:eastAsia="SimSun" w:hAnsi="Arial" w:cs="Arial"/>
          <w:sz w:val="20"/>
          <w:szCs w:val="20"/>
          <w:u w:val="single"/>
          <w:lang w:val="fr-FR" w:eastAsia="zh-CN"/>
        </w:rPr>
        <w:t xml:space="preserve">Secteur routier </w:t>
      </w:r>
    </w:p>
    <w:p w14:paraId="36E662FA" w14:textId="77777777" w:rsidR="00802BA9" w:rsidRPr="00B84254" w:rsidRDefault="00802BA9" w:rsidP="00C518A4">
      <w:pPr>
        <w:widowControl w:val="0"/>
        <w:adjustRightInd w:val="0"/>
        <w:spacing w:before="120" w:after="120" w:line="240" w:lineRule="auto"/>
        <w:ind w:left="360"/>
        <w:contextualSpacing/>
        <w:textAlignment w:val="baseline"/>
        <w:rPr>
          <w:rFonts w:ascii="Arial" w:eastAsia="SimSun" w:hAnsi="Arial" w:cs="Arial"/>
          <w:sz w:val="20"/>
          <w:szCs w:val="20"/>
          <w:u w:val="single"/>
          <w:lang w:val="fr-FR" w:eastAsia="zh-CN"/>
        </w:rPr>
      </w:pPr>
    </w:p>
    <w:p w14:paraId="3F6FDB4D" w14:textId="77777777" w:rsidR="00802BA9" w:rsidRPr="00B84254" w:rsidRDefault="00802BA9" w:rsidP="00C518A4">
      <w:pPr>
        <w:widowControl w:val="0"/>
        <w:adjustRightInd w:val="0"/>
        <w:spacing w:before="120" w:after="120" w:line="240" w:lineRule="auto"/>
        <w:textAlignment w:val="baseline"/>
        <w:rPr>
          <w:rFonts w:ascii="Arial" w:eastAsia="SimSun" w:hAnsi="Arial" w:cs="Arial"/>
          <w:sz w:val="20"/>
          <w:szCs w:val="20"/>
          <w:lang w:val="fr-FR" w:eastAsia="zh-CN"/>
        </w:rPr>
      </w:pPr>
      <w:r w:rsidRPr="00B84254">
        <w:rPr>
          <w:rFonts w:ascii="Arial" w:eastAsia="SimSun" w:hAnsi="Arial" w:cs="Arial"/>
          <w:sz w:val="20"/>
          <w:szCs w:val="20"/>
          <w:lang w:val="fr-FR" w:eastAsia="zh-CN"/>
        </w:rPr>
        <w:t>Insérer les indicateurs synthétiques préconisés par l’EES de 2008 dans la grille d’évaluation du post 11</w:t>
      </w:r>
      <w:r w:rsidRPr="00B84254">
        <w:rPr>
          <w:rFonts w:ascii="Arial" w:eastAsia="SimSun" w:hAnsi="Arial" w:cs="Arial"/>
          <w:sz w:val="20"/>
          <w:szCs w:val="20"/>
          <w:vertAlign w:val="superscript"/>
          <w:lang w:val="fr-FR" w:eastAsia="zh-CN"/>
        </w:rPr>
        <w:t>ème</w:t>
      </w:r>
      <w:r w:rsidRPr="00B84254">
        <w:rPr>
          <w:rFonts w:ascii="Arial" w:eastAsia="SimSun" w:hAnsi="Arial" w:cs="Arial"/>
          <w:sz w:val="20"/>
          <w:szCs w:val="20"/>
          <w:lang w:val="fr-FR" w:eastAsia="zh-CN"/>
        </w:rPr>
        <w:t xml:space="preserve"> FED :</w:t>
      </w:r>
    </w:p>
    <w:p w14:paraId="413CE194" w14:textId="77777777" w:rsidR="00802BA9" w:rsidRPr="00B84254" w:rsidRDefault="00802BA9" w:rsidP="00C518A4">
      <w:pPr>
        <w:widowControl w:val="0"/>
        <w:numPr>
          <w:ilvl w:val="0"/>
          <w:numId w:val="4"/>
        </w:numPr>
        <w:adjustRightInd w:val="0"/>
        <w:spacing w:before="120" w:after="120" w:line="240" w:lineRule="auto"/>
        <w:ind w:left="709" w:hanging="425"/>
        <w:contextualSpacing/>
        <w:textAlignment w:val="baseline"/>
        <w:rPr>
          <w:rFonts w:ascii="Arial" w:eastAsia="SimSun" w:hAnsi="Arial" w:cs="Arial"/>
          <w:sz w:val="20"/>
          <w:szCs w:val="20"/>
          <w:lang w:val="fr-FR" w:eastAsia="zh-CN"/>
        </w:rPr>
      </w:pPr>
      <w:r w:rsidRPr="00B84254">
        <w:rPr>
          <w:rFonts w:ascii="Arial" w:eastAsia="SimSun" w:hAnsi="Arial" w:cs="Arial"/>
          <w:sz w:val="20"/>
          <w:szCs w:val="20"/>
          <w:lang w:val="fr-FR" w:eastAsia="zh-CN"/>
        </w:rPr>
        <w:t>Evolution du trafic routier par axe (en nombre de véhicules et par nature de véhicule, en tonnages et par natures de biens transportées).</w:t>
      </w:r>
    </w:p>
    <w:p w14:paraId="57A6C4FA" w14:textId="77777777" w:rsidR="00802BA9" w:rsidRPr="00B84254" w:rsidRDefault="00802BA9" w:rsidP="00C518A4">
      <w:pPr>
        <w:widowControl w:val="0"/>
        <w:numPr>
          <w:ilvl w:val="0"/>
          <w:numId w:val="4"/>
        </w:numPr>
        <w:adjustRightInd w:val="0"/>
        <w:spacing w:before="120" w:after="120" w:line="240" w:lineRule="auto"/>
        <w:ind w:left="709" w:hanging="425"/>
        <w:contextualSpacing/>
        <w:textAlignment w:val="baseline"/>
        <w:rPr>
          <w:rFonts w:ascii="Arial" w:eastAsia="SimSun" w:hAnsi="Arial" w:cs="Arial"/>
          <w:sz w:val="20"/>
          <w:szCs w:val="20"/>
          <w:lang w:val="fr-FR" w:eastAsia="zh-CN"/>
        </w:rPr>
      </w:pPr>
      <w:r w:rsidRPr="00B84254">
        <w:rPr>
          <w:rFonts w:ascii="Arial" w:eastAsia="SimSun" w:hAnsi="Arial" w:cs="Arial"/>
          <w:sz w:val="20"/>
          <w:szCs w:val="20"/>
          <w:lang w:val="fr-FR" w:eastAsia="zh-CN"/>
        </w:rPr>
        <w:t>Nombre de PGES mis en œuvre et niveau d’entretien des infrastructures de transport</w:t>
      </w:r>
    </w:p>
    <w:p w14:paraId="33DF9F56" w14:textId="77777777" w:rsidR="00802BA9" w:rsidRPr="00B84254" w:rsidRDefault="00802BA9" w:rsidP="00C518A4">
      <w:pPr>
        <w:widowControl w:val="0"/>
        <w:numPr>
          <w:ilvl w:val="0"/>
          <w:numId w:val="4"/>
        </w:numPr>
        <w:adjustRightInd w:val="0"/>
        <w:spacing w:before="120" w:after="120" w:line="240" w:lineRule="auto"/>
        <w:ind w:left="709" w:hanging="425"/>
        <w:contextualSpacing/>
        <w:textAlignment w:val="baseline"/>
        <w:rPr>
          <w:rFonts w:ascii="Arial" w:eastAsia="SimSun" w:hAnsi="Arial" w:cs="Arial"/>
          <w:sz w:val="20"/>
          <w:szCs w:val="20"/>
          <w:lang w:val="fr-FR" w:eastAsia="zh-CN"/>
        </w:rPr>
      </w:pPr>
      <w:r w:rsidRPr="00B84254">
        <w:rPr>
          <w:rFonts w:ascii="Arial" w:eastAsia="SimSun" w:hAnsi="Arial" w:cs="Arial"/>
          <w:sz w:val="20"/>
          <w:szCs w:val="20"/>
          <w:lang w:val="fr-FR" w:eastAsia="zh-CN"/>
        </w:rPr>
        <w:t>Mesure de l’exode rural par le suivi des soldes migratoires régionaux et sous régionaux (au niveau des régions et des cercles) et des densités de population (exploitation des recensements et des enquêtes démographiques).</w:t>
      </w:r>
    </w:p>
    <w:p w14:paraId="24F06B07" w14:textId="77777777" w:rsidR="00802BA9" w:rsidRPr="00B84254" w:rsidRDefault="00802BA9" w:rsidP="00C518A4">
      <w:pPr>
        <w:widowControl w:val="0"/>
        <w:numPr>
          <w:ilvl w:val="0"/>
          <w:numId w:val="4"/>
        </w:numPr>
        <w:adjustRightInd w:val="0"/>
        <w:spacing w:before="120" w:after="120" w:line="240" w:lineRule="auto"/>
        <w:ind w:left="709" w:hanging="425"/>
        <w:contextualSpacing/>
        <w:textAlignment w:val="baseline"/>
        <w:rPr>
          <w:rFonts w:ascii="Arial" w:eastAsia="SimSun" w:hAnsi="Arial" w:cs="Arial"/>
          <w:sz w:val="20"/>
          <w:szCs w:val="20"/>
          <w:lang w:val="fr-FR" w:eastAsia="zh-CN"/>
        </w:rPr>
      </w:pPr>
      <w:r w:rsidRPr="00B84254">
        <w:rPr>
          <w:rFonts w:ascii="Arial" w:eastAsia="SimSun" w:hAnsi="Arial" w:cs="Arial"/>
          <w:sz w:val="20"/>
          <w:szCs w:val="20"/>
          <w:lang w:val="fr-FR" w:eastAsia="zh-CN"/>
        </w:rPr>
        <w:t>Suivi du nombre de conflits entre agriculteurs et éleveurs.</w:t>
      </w:r>
    </w:p>
    <w:p w14:paraId="3646BBA4" w14:textId="77777777" w:rsidR="00802BA9" w:rsidRPr="00B84254" w:rsidRDefault="00802BA9" w:rsidP="00C518A4">
      <w:pPr>
        <w:widowControl w:val="0"/>
        <w:numPr>
          <w:ilvl w:val="0"/>
          <w:numId w:val="4"/>
        </w:numPr>
        <w:adjustRightInd w:val="0"/>
        <w:spacing w:before="120" w:after="120" w:line="240" w:lineRule="auto"/>
        <w:ind w:left="709" w:hanging="425"/>
        <w:contextualSpacing/>
        <w:textAlignment w:val="baseline"/>
        <w:rPr>
          <w:rFonts w:ascii="Arial" w:eastAsia="SimSun" w:hAnsi="Arial" w:cs="Arial"/>
          <w:sz w:val="20"/>
          <w:szCs w:val="20"/>
          <w:lang w:val="fr-FR" w:eastAsia="zh-CN"/>
        </w:rPr>
      </w:pPr>
      <w:r w:rsidRPr="00B84254">
        <w:rPr>
          <w:rFonts w:ascii="Arial" w:eastAsia="SimSun" w:hAnsi="Arial" w:cs="Arial"/>
          <w:sz w:val="20"/>
          <w:szCs w:val="20"/>
          <w:lang w:val="fr-FR" w:eastAsia="zh-CN"/>
        </w:rPr>
        <w:t>Nombre de schémas directeurs et de plan d’aménagement produits à différentes échelles (régions, cercles, communes rurales) et superficies réelles sous aménagement.</w:t>
      </w:r>
    </w:p>
    <w:p w14:paraId="52996316" w14:textId="77777777" w:rsidR="00802BA9" w:rsidRPr="00B84254" w:rsidRDefault="00802BA9" w:rsidP="00C518A4">
      <w:pPr>
        <w:widowControl w:val="0"/>
        <w:numPr>
          <w:ilvl w:val="0"/>
          <w:numId w:val="4"/>
        </w:numPr>
        <w:adjustRightInd w:val="0"/>
        <w:spacing w:before="120" w:after="120" w:line="240" w:lineRule="auto"/>
        <w:ind w:left="709" w:hanging="425"/>
        <w:contextualSpacing/>
        <w:textAlignment w:val="baseline"/>
        <w:rPr>
          <w:rFonts w:ascii="Arial" w:eastAsia="SimSun" w:hAnsi="Arial" w:cs="Arial"/>
          <w:sz w:val="20"/>
          <w:szCs w:val="20"/>
          <w:lang w:val="fr-FR" w:eastAsia="zh-CN"/>
        </w:rPr>
      </w:pPr>
      <w:r w:rsidRPr="00B84254">
        <w:rPr>
          <w:rFonts w:ascii="Arial" w:eastAsia="SimSun" w:hAnsi="Arial" w:cs="Arial"/>
          <w:sz w:val="20"/>
          <w:szCs w:val="20"/>
          <w:lang w:val="fr-FR" w:eastAsia="zh-CN"/>
        </w:rPr>
        <w:t>Evolution des revenus dans les régions traversées.</w:t>
      </w:r>
    </w:p>
    <w:p w14:paraId="617B1B08" w14:textId="77777777" w:rsidR="0089078F" w:rsidRPr="00C518A4" w:rsidRDefault="0089078F" w:rsidP="00C518A4">
      <w:pPr>
        <w:autoSpaceDE w:val="0"/>
        <w:autoSpaceDN w:val="0"/>
        <w:adjustRightInd w:val="0"/>
        <w:spacing w:before="120" w:after="120" w:line="240" w:lineRule="auto"/>
        <w:rPr>
          <w:rFonts w:ascii="Arial" w:hAnsi="Arial" w:cs="Arial"/>
          <w:color w:val="0070C0"/>
          <w:sz w:val="20"/>
          <w:szCs w:val="20"/>
          <w:lang w:val="fr-FR"/>
        </w:rPr>
      </w:pPr>
      <w:bookmarkStart w:id="67" w:name="_Toc427654667"/>
      <w:bookmarkEnd w:id="2"/>
    </w:p>
    <w:bookmarkEnd w:id="67"/>
    <w:p w14:paraId="4AC8EC27" w14:textId="77777777" w:rsidR="00A73FCE" w:rsidRPr="00C518A4" w:rsidRDefault="00A73FCE" w:rsidP="00C518A4">
      <w:pPr>
        <w:spacing w:before="120" w:after="120"/>
        <w:rPr>
          <w:rFonts w:ascii="Arial" w:eastAsiaTheme="majorEastAsia" w:hAnsi="Arial" w:cs="Arial"/>
          <w:b/>
          <w:bCs/>
          <w:sz w:val="20"/>
          <w:szCs w:val="20"/>
          <w:lang w:val="fr-FR"/>
        </w:rPr>
      </w:pPr>
      <w:r w:rsidRPr="00C518A4">
        <w:rPr>
          <w:rFonts w:ascii="Arial" w:hAnsi="Arial" w:cs="Arial"/>
          <w:sz w:val="20"/>
          <w:szCs w:val="20"/>
          <w:lang w:val="fr-FR"/>
        </w:rPr>
        <w:br w:type="page"/>
      </w:r>
    </w:p>
    <w:p w14:paraId="191883BD" w14:textId="77777777" w:rsidR="008178AA" w:rsidRPr="00A73FCE" w:rsidRDefault="008178AA" w:rsidP="00500D2D">
      <w:pPr>
        <w:pStyle w:val="Titre1"/>
      </w:pPr>
      <w:bookmarkStart w:id="68" w:name="_Toc20505669"/>
      <w:r w:rsidRPr="00A73FCE">
        <w:lastRenderedPageBreak/>
        <w:t>Glossaire</w:t>
      </w:r>
      <w:bookmarkEnd w:id="68"/>
    </w:p>
    <w:p w14:paraId="5C82AEE4" w14:textId="77777777" w:rsidR="008178AA" w:rsidRPr="00624EEA" w:rsidRDefault="008178AA" w:rsidP="008178AA">
      <w:pPr>
        <w:spacing w:after="0" w:line="240" w:lineRule="auto"/>
        <w:rPr>
          <w:rFonts w:ascii="Arial" w:hAnsi="Arial" w:cs="Arial"/>
          <w:b/>
          <w:sz w:val="20"/>
          <w:szCs w:val="20"/>
          <w:u w:val="single"/>
          <w:lang w:val="fr-FR"/>
        </w:rPr>
      </w:pPr>
    </w:p>
    <w:p w14:paraId="1C7C5ABD" w14:textId="77777777" w:rsidR="009A1281" w:rsidRPr="001D0C63" w:rsidRDefault="00E65023" w:rsidP="009A1281">
      <w:pPr>
        <w:spacing w:after="0" w:line="240" w:lineRule="auto"/>
        <w:rPr>
          <w:rFonts w:ascii="Arial" w:hAnsi="Arial" w:cs="Arial"/>
          <w:sz w:val="20"/>
          <w:szCs w:val="20"/>
          <w:lang w:val="fr-FR"/>
        </w:rPr>
      </w:pPr>
      <w:r w:rsidRPr="001D0C63">
        <w:rPr>
          <w:rFonts w:ascii="Arial" w:hAnsi="Arial" w:cs="Arial"/>
          <w:b/>
          <w:sz w:val="20"/>
          <w:szCs w:val="20"/>
          <w:lang w:val="fr-FR"/>
        </w:rPr>
        <w:t xml:space="preserve">Air et mesure de sa qualité, notamment, au travers des </w:t>
      </w:r>
      <w:r w:rsidR="009A1281" w:rsidRPr="001D0C63">
        <w:rPr>
          <w:rFonts w:ascii="Arial" w:hAnsi="Arial" w:cs="Arial"/>
          <w:b/>
          <w:sz w:val="20"/>
          <w:szCs w:val="20"/>
        </w:rPr>
        <w:t>Particules en suspension de diamètre aérodynamique inférieur à 10 μm ou Particulate Mater 10 microns (PM 10)</w:t>
      </w:r>
      <w:r w:rsidR="009A1281" w:rsidRPr="001D0C63">
        <w:rPr>
          <w:rFonts w:ascii="Arial" w:hAnsi="Arial" w:cs="Arial"/>
          <w:b/>
          <w:sz w:val="20"/>
          <w:szCs w:val="20"/>
          <w:lang w:val="fr-FR"/>
        </w:rPr>
        <w:t xml:space="preserve">, Particules en suspension de diamètre aérodynamique inférieur à 2,5 µm (PM2,5) exprimés en microgramme par </w:t>
      </w:r>
      <w:bookmarkStart w:id="69" w:name="_Hlk532401494"/>
      <w:r w:rsidR="009A1281" w:rsidRPr="001D0C63">
        <w:rPr>
          <w:rFonts w:ascii="Arial" w:hAnsi="Arial" w:cs="Arial"/>
          <w:b/>
          <w:sz w:val="20"/>
          <w:szCs w:val="20"/>
          <w:lang w:val="fr-FR"/>
        </w:rPr>
        <w:t>mètre cube (µ/m³) </w:t>
      </w:r>
      <w:bookmarkEnd w:id="69"/>
      <w:r w:rsidR="009A1281" w:rsidRPr="001D0C63">
        <w:rPr>
          <w:rFonts w:ascii="Arial" w:hAnsi="Arial" w:cs="Arial"/>
          <w:b/>
          <w:sz w:val="20"/>
          <w:szCs w:val="20"/>
          <w:lang w:val="fr-FR"/>
        </w:rPr>
        <w:t xml:space="preserve">: </w:t>
      </w:r>
      <w:r w:rsidR="009A1281" w:rsidRPr="001D0C63">
        <w:rPr>
          <w:rFonts w:ascii="Arial" w:hAnsi="Arial" w:cs="Arial"/>
          <w:sz w:val="20"/>
          <w:szCs w:val="20"/>
          <w:lang w:val="fr-FR"/>
        </w:rPr>
        <w:t>Les directives de la qualité de l’air de l’Organisation Mondiale de la Santé (OMS) s’appuient sur l</w:t>
      </w:r>
      <w:r w:rsidR="009A1281" w:rsidRPr="001D0C63">
        <w:rPr>
          <w:rFonts w:ascii="Arial" w:hAnsi="Arial" w:cs="Arial"/>
          <w:bCs/>
          <w:sz w:val="20"/>
          <w:szCs w:val="20"/>
          <w:lang w:val="fr-FR"/>
        </w:rPr>
        <w:t>es valeurs guides de 35 substances</w:t>
      </w:r>
      <w:r w:rsidR="009A1281" w:rsidRPr="001D0C63">
        <w:rPr>
          <w:rFonts w:ascii="Arial" w:hAnsi="Arial" w:cs="Arial"/>
          <w:b/>
          <w:bCs/>
          <w:sz w:val="20"/>
          <w:szCs w:val="20"/>
          <w:lang w:val="fr-FR"/>
        </w:rPr>
        <w:t xml:space="preserve"> </w:t>
      </w:r>
      <w:r w:rsidR="009A1281" w:rsidRPr="001D0C63">
        <w:rPr>
          <w:rFonts w:ascii="Arial" w:hAnsi="Arial" w:cs="Arial"/>
          <w:bCs/>
          <w:sz w:val="20"/>
          <w:szCs w:val="20"/>
          <w:lang w:val="fr-FR"/>
        </w:rPr>
        <w:t>chimiques</w:t>
      </w:r>
      <w:r w:rsidR="009A1281" w:rsidRPr="001D0C63">
        <w:rPr>
          <w:rFonts w:ascii="Arial" w:hAnsi="Arial" w:cs="Arial"/>
          <w:b/>
          <w:bCs/>
          <w:sz w:val="20"/>
          <w:szCs w:val="20"/>
          <w:lang w:val="fr-FR"/>
        </w:rPr>
        <w:t xml:space="preserve"> </w:t>
      </w:r>
      <w:r w:rsidR="009A1281" w:rsidRPr="001D0C63">
        <w:rPr>
          <w:rFonts w:ascii="Arial" w:hAnsi="Arial" w:cs="Arial"/>
          <w:sz w:val="20"/>
          <w:szCs w:val="20"/>
          <w:lang w:val="fr-FR"/>
        </w:rPr>
        <w:t>(4 polluants classiques non cancérogènes, 18 composés non cancérogènes et 13 composés cancérogènes) données pour des expositions de durées différentes. Les 4 polluants classiques non cancérogènes sont le dioxyde de soufre (SO2), le dioxyde d’azote (NO2), l’ozone (O3) et les particules fines (PM10 et PM2,5). Plus la particule est fine, plus elle est préoccupante d'un point de vue biologique et sanitaire. Or les particules émises par les pots d'échappement sont de très petite taille (notamment pour les particules diesel). Ces valeurs guides sont exprimées en microgramme par mètre cube (µ/m³) ou = 1 millionième de gramme (10-6 g) par mètre cube (m³) d’air.</w:t>
      </w:r>
    </w:p>
    <w:p w14:paraId="69B1CC70" w14:textId="77777777" w:rsidR="009A1281" w:rsidRPr="001D0C63" w:rsidRDefault="009A1281" w:rsidP="009A1281">
      <w:pPr>
        <w:spacing w:after="0" w:line="240" w:lineRule="auto"/>
        <w:rPr>
          <w:rFonts w:ascii="Arial" w:hAnsi="Arial" w:cs="Arial"/>
          <w:b/>
          <w:sz w:val="20"/>
          <w:szCs w:val="20"/>
          <w:u w:val="single"/>
          <w:lang w:val="fr-FR"/>
        </w:rPr>
      </w:pPr>
    </w:p>
    <w:p w14:paraId="64FCE556" w14:textId="77777777" w:rsidR="009A1281" w:rsidRPr="001D0C63" w:rsidRDefault="009A1281" w:rsidP="009A1281">
      <w:pPr>
        <w:spacing w:after="0" w:line="240" w:lineRule="auto"/>
        <w:rPr>
          <w:rFonts w:ascii="Arial" w:hAnsi="Arial" w:cs="Arial"/>
          <w:sz w:val="20"/>
          <w:szCs w:val="20"/>
          <w:bdr w:val="none" w:sz="0" w:space="0" w:color="auto" w:frame="1"/>
        </w:rPr>
      </w:pPr>
      <w:r w:rsidRPr="001D0C63">
        <w:rPr>
          <w:rFonts w:ascii="Arial" w:hAnsi="Arial" w:cs="Arial"/>
          <w:b/>
          <w:sz w:val="20"/>
          <w:szCs w:val="20"/>
          <w:lang w:val="fr-FR"/>
        </w:rPr>
        <w:t xml:space="preserve">Gaz à Effet de Serre (GES) et </w:t>
      </w:r>
      <w:r w:rsidR="001873EF" w:rsidRPr="001D0C63">
        <w:rPr>
          <w:rFonts w:ascii="Arial" w:hAnsi="Arial" w:cs="Arial"/>
          <w:b/>
          <w:sz w:val="20"/>
          <w:szCs w:val="20"/>
          <w:lang w:val="fr-FR"/>
        </w:rPr>
        <w:t xml:space="preserve">son unité de mesure en </w:t>
      </w:r>
      <w:r w:rsidRPr="001D0C63">
        <w:rPr>
          <w:rFonts w:ascii="Arial" w:hAnsi="Arial" w:cs="Arial"/>
          <w:b/>
          <w:sz w:val="20"/>
          <w:szCs w:val="20"/>
          <w:lang w:val="fr-FR"/>
        </w:rPr>
        <w:t xml:space="preserve">Tonne Equivalent CO2 (T-E-CO2) ou kilo Tonnes Equivalent CO2 (kTE-CO2) : </w:t>
      </w:r>
      <w:r w:rsidRPr="001D0C63">
        <w:rPr>
          <w:rFonts w:ascii="Arial" w:hAnsi="Arial" w:cs="Arial"/>
          <w:sz w:val="20"/>
          <w:szCs w:val="20"/>
          <w:bdr w:val="none" w:sz="0" w:space="0" w:color="auto" w:frame="1"/>
        </w:rPr>
        <w:t>Plusieurs GES participent aux changements climatiques : H2O, CO2, NOx, CH4, etc. Tous n'ont pas le même Pouvoir Réchauffant Global (PRG), tous n'ont également pas la même durée de vie dans l'atmosphère. Pour comparer les gaz les uns par rapport aux autres, les scientifiques ont décidé d'utiliser la référence au dioxyde de carbone ou CO2. Ce gaz, présent dans l'atmosphère, entre dans les fonctions biologiques de respiration des êtres vivants et de photosynthèse des végétaux, et surtout il est le principal gaz issu de l'activité humaine et responsable du réchauffement global. La Tonne équivalent CO2 (T-E-CO2) est l’unité de mesure qui prend en compte l’ensemble des GES et pas seulement le CO2. Le kilo Tonnes Equivalent CO2 (mentionné dans le rapport) équivaut à 1000 T-ECO2 (</w:t>
      </w:r>
      <w:r w:rsidRPr="001D0C63">
        <w:rPr>
          <w:rFonts w:ascii="Arial" w:hAnsi="Arial" w:cs="Arial"/>
          <w:b/>
          <w:sz w:val="20"/>
          <w:szCs w:val="20"/>
          <w:bdr w:val="none" w:sz="0" w:space="0" w:color="auto" w:frame="1"/>
        </w:rPr>
        <w:t>kTE-CO2</w:t>
      </w:r>
      <w:r w:rsidRPr="001D0C63">
        <w:rPr>
          <w:rFonts w:ascii="Arial" w:hAnsi="Arial" w:cs="Arial"/>
          <w:sz w:val="20"/>
          <w:szCs w:val="20"/>
          <w:bdr w:val="none" w:sz="0" w:space="0" w:color="auto" w:frame="1"/>
        </w:rPr>
        <w:t xml:space="preserve">). </w:t>
      </w:r>
    </w:p>
    <w:p w14:paraId="54F70FB9" w14:textId="77777777" w:rsidR="009A1281" w:rsidRPr="001D0C63" w:rsidRDefault="009A1281" w:rsidP="008178AA">
      <w:pPr>
        <w:spacing w:after="0" w:line="240" w:lineRule="auto"/>
        <w:rPr>
          <w:rFonts w:ascii="Arial" w:hAnsi="Arial" w:cs="Arial"/>
          <w:b/>
          <w:sz w:val="20"/>
          <w:szCs w:val="20"/>
          <w:u w:val="single"/>
          <w:lang w:val="fr-FR"/>
        </w:rPr>
      </w:pPr>
    </w:p>
    <w:p w14:paraId="2523133C" w14:textId="77777777" w:rsidR="00392085" w:rsidRPr="001D0C63" w:rsidRDefault="00E65023" w:rsidP="0005051B">
      <w:pPr>
        <w:spacing w:after="0"/>
        <w:rPr>
          <w:rFonts w:ascii="Arial" w:hAnsi="Arial" w:cs="Arial"/>
          <w:sz w:val="20"/>
          <w:szCs w:val="20"/>
          <w:lang w:val="fr-FR"/>
        </w:rPr>
      </w:pPr>
      <w:r w:rsidRPr="001D0C63">
        <w:rPr>
          <w:rFonts w:ascii="Arial" w:hAnsi="Arial" w:cs="Arial"/>
          <w:b/>
          <w:sz w:val="20"/>
          <w:szCs w:val="20"/>
          <w:lang w:val="fr-FR"/>
        </w:rPr>
        <w:t>Energie et son unité de mesure en kilotonne</w:t>
      </w:r>
      <w:r w:rsidR="00733E78" w:rsidRPr="001D0C63">
        <w:rPr>
          <w:rFonts w:ascii="Arial" w:hAnsi="Arial" w:cs="Arial"/>
          <w:b/>
          <w:sz w:val="20"/>
          <w:szCs w:val="20"/>
          <w:lang w:val="fr-FR"/>
        </w:rPr>
        <w:t xml:space="preserve"> d’équivalent pétrole (</w:t>
      </w:r>
      <w:r w:rsidR="00634680" w:rsidRPr="001D0C63">
        <w:rPr>
          <w:rFonts w:ascii="Arial" w:hAnsi="Arial" w:cs="Arial"/>
          <w:b/>
          <w:sz w:val="20"/>
          <w:szCs w:val="20"/>
          <w:lang w:val="fr-FR"/>
        </w:rPr>
        <w:t>k</w:t>
      </w:r>
      <w:r w:rsidR="00733E78" w:rsidRPr="001D0C63">
        <w:rPr>
          <w:rFonts w:ascii="Arial" w:hAnsi="Arial" w:cs="Arial"/>
          <w:b/>
          <w:sz w:val="20"/>
          <w:szCs w:val="20"/>
          <w:lang w:val="fr-FR"/>
        </w:rPr>
        <w:t>tep)</w:t>
      </w:r>
      <w:r w:rsidRPr="001D0C63">
        <w:rPr>
          <w:rFonts w:ascii="Arial" w:hAnsi="Arial" w:cs="Arial"/>
          <w:b/>
          <w:sz w:val="20"/>
          <w:szCs w:val="20"/>
          <w:lang w:val="fr-FR"/>
        </w:rPr>
        <w:t>.</w:t>
      </w:r>
      <w:r w:rsidR="00733E78" w:rsidRPr="001D0C63">
        <w:rPr>
          <w:rFonts w:ascii="Arial" w:hAnsi="Arial" w:cs="Arial"/>
          <w:b/>
          <w:sz w:val="20"/>
          <w:szCs w:val="20"/>
          <w:lang w:val="fr-FR"/>
        </w:rPr>
        <w:t xml:space="preserve"> </w:t>
      </w:r>
      <w:r w:rsidRPr="001D0C63">
        <w:rPr>
          <w:rFonts w:ascii="Arial" w:hAnsi="Arial" w:cs="Arial"/>
          <w:sz w:val="20"/>
          <w:szCs w:val="20"/>
          <w:lang w:val="fr-FR"/>
        </w:rPr>
        <w:t xml:space="preserve">La mesure </w:t>
      </w:r>
      <w:r w:rsidR="00733E78" w:rsidRPr="001D0C63">
        <w:rPr>
          <w:rFonts w:ascii="Arial" w:hAnsi="Arial" w:cs="Arial"/>
          <w:sz w:val="20"/>
          <w:szCs w:val="20"/>
          <w:lang w:val="fr-FR"/>
        </w:rPr>
        <w:t>est</w:t>
      </w:r>
      <w:r w:rsidRPr="001D0C63">
        <w:rPr>
          <w:rFonts w:ascii="Arial" w:hAnsi="Arial" w:cs="Arial"/>
          <w:sz w:val="20"/>
          <w:szCs w:val="20"/>
          <w:lang w:val="fr-FR"/>
        </w:rPr>
        <w:t>,</w:t>
      </w:r>
      <w:r w:rsidR="00733E78" w:rsidRPr="001D0C63">
        <w:rPr>
          <w:rFonts w:ascii="Arial" w:hAnsi="Arial" w:cs="Arial"/>
          <w:sz w:val="20"/>
          <w:szCs w:val="20"/>
          <w:lang w:val="fr-FR"/>
        </w:rPr>
        <w:t xml:space="preserve"> notamment</w:t>
      </w:r>
      <w:r w:rsidRPr="001D0C63">
        <w:rPr>
          <w:rFonts w:ascii="Arial" w:hAnsi="Arial" w:cs="Arial"/>
          <w:sz w:val="20"/>
          <w:szCs w:val="20"/>
          <w:lang w:val="fr-FR"/>
        </w:rPr>
        <w:t>,</w:t>
      </w:r>
      <w:r w:rsidR="00733E78" w:rsidRPr="001D0C63">
        <w:rPr>
          <w:rFonts w:ascii="Arial" w:hAnsi="Arial" w:cs="Arial"/>
          <w:sz w:val="20"/>
          <w:szCs w:val="20"/>
          <w:lang w:val="fr-FR"/>
        </w:rPr>
        <w:t xml:space="preserve"> utilisée dans l'industrie et l'économie. Elle correspond au pouvoir calorifique d</w:t>
      </w:r>
      <w:r w:rsidR="00634680" w:rsidRPr="001D0C63">
        <w:rPr>
          <w:rFonts w:ascii="Arial" w:hAnsi="Arial" w:cs="Arial"/>
          <w:sz w:val="20"/>
          <w:szCs w:val="20"/>
          <w:lang w:val="fr-FR"/>
        </w:rPr>
        <w:t>e mille</w:t>
      </w:r>
      <w:r w:rsidR="00733E78" w:rsidRPr="001D0C63">
        <w:rPr>
          <w:rFonts w:ascii="Arial" w:hAnsi="Arial" w:cs="Arial"/>
          <w:sz w:val="20"/>
          <w:szCs w:val="20"/>
          <w:lang w:val="fr-FR"/>
        </w:rPr>
        <w:t xml:space="preserve"> tonne</w:t>
      </w:r>
      <w:r w:rsidR="00634680" w:rsidRPr="001D0C63">
        <w:rPr>
          <w:rFonts w:ascii="Arial" w:hAnsi="Arial" w:cs="Arial"/>
          <w:sz w:val="20"/>
          <w:szCs w:val="20"/>
          <w:lang w:val="fr-FR"/>
        </w:rPr>
        <w:t>s</w:t>
      </w:r>
      <w:r w:rsidR="00733E78" w:rsidRPr="001D0C63">
        <w:rPr>
          <w:rFonts w:ascii="Arial" w:hAnsi="Arial" w:cs="Arial"/>
          <w:sz w:val="20"/>
          <w:szCs w:val="20"/>
          <w:lang w:val="fr-FR"/>
        </w:rPr>
        <w:t xml:space="preserve"> de pétrole "moyenne"(le pouvoir calorifique n'est pas constant d'un gisement de pétrole à l'autre, on est donc obligé de se contenter d'une moyenne</w:t>
      </w:r>
      <w:r w:rsidR="00634680" w:rsidRPr="001D0C63">
        <w:rPr>
          <w:rFonts w:ascii="Arial" w:hAnsi="Arial" w:cs="Arial"/>
          <w:sz w:val="20"/>
          <w:szCs w:val="20"/>
          <w:lang w:val="fr-FR"/>
        </w:rPr>
        <w:t>)</w:t>
      </w:r>
      <w:r w:rsidR="00212E3E" w:rsidRPr="001D0C63">
        <w:rPr>
          <w:rFonts w:ascii="Arial" w:hAnsi="Arial" w:cs="Arial"/>
          <w:sz w:val="20"/>
          <w:szCs w:val="20"/>
          <w:lang w:val="fr-FR"/>
        </w:rPr>
        <w:t>, défini selon l'Agence Internationale de l'Energie (AIE) à 41.868 GJ (Giga Joules)</w:t>
      </w:r>
      <w:r w:rsidR="00733E78" w:rsidRPr="001D0C63">
        <w:rPr>
          <w:rFonts w:ascii="Arial" w:hAnsi="Arial" w:cs="Arial"/>
          <w:sz w:val="20"/>
          <w:szCs w:val="20"/>
          <w:lang w:val="fr-FR"/>
        </w:rPr>
        <w:t>.</w:t>
      </w:r>
      <w:r w:rsidR="00392085" w:rsidRPr="001D0C63">
        <w:rPr>
          <w:rFonts w:ascii="Arial" w:hAnsi="Arial" w:cs="Arial"/>
          <w:sz w:val="20"/>
          <w:szCs w:val="20"/>
          <w:lang w:val="fr-FR"/>
        </w:rPr>
        <w:t xml:space="preserve"> Différentes matières (gaz, essence, bois, charbon, etc.) sont utilisées comme producteurs énergétiques. Elles ont toutes des </w:t>
      </w:r>
      <w:r w:rsidRPr="001D0C63">
        <w:rPr>
          <w:rFonts w:ascii="Arial" w:hAnsi="Arial" w:cs="Arial"/>
          <w:sz w:val="20"/>
          <w:szCs w:val="20"/>
          <w:lang w:val="fr-FR"/>
        </w:rPr>
        <w:t>P</w:t>
      </w:r>
      <w:r w:rsidR="001873EF" w:rsidRPr="001D0C63">
        <w:rPr>
          <w:rFonts w:ascii="Arial" w:hAnsi="Arial" w:cs="Arial"/>
          <w:sz w:val="20"/>
          <w:szCs w:val="20"/>
          <w:lang w:val="fr-FR"/>
        </w:rPr>
        <w:t>ouvoirs</w:t>
      </w:r>
      <w:hyperlink r:id="rId17" w:tooltip="Pouvoir calorifique inférieur" w:history="1">
        <w:r w:rsidR="00392085" w:rsidRPr="001D0C63">
          <w:rPr>
            <w:rStyle w:val="Lienhypertexte"/>
            <w:rFonts w:ascii="Arial" w:hAnsi="Arial" w:cs="Arial"/>
            <w:color w:val="auto"/>
            <w:sz w:val="20"/>
            <w:szCs w:val="20"/>
            <w:u w:val="none"/>
            <w:lang w:val="fr-FR"/>
          </w:rPr>
          <w:t xml:space="preserve"> </w:t>
        </w:r>
        <w:r w:rsidRPr="001D0C63">
          <w:rPr>
            <w:rStyle w:val="Lienhypertexte"/>
            <w:rFonts w:ascii="Arial" w:hAnsi="Arial" w:cs="Arial"/>
            <w:color w:val="auto"/>
            <w:sz w:val="20"/>
            <w:szCs w:val="20"/>
            <w:u w:val="none"/>
            <w:lang w:val="fr-FR"/>
          </w:rPr>
          <w:t>C</w:t>
        </w:r>
        <w:r w:rsidR="00392085" w:rsidRPr="001D0C63">
          <w:rPr>
            <w:rStyle w:val="Lienhypertexte"/>
            <w:rFonts w:ascii="Arial" w:hAnsi="Arial" w:cs="Arial"/>
            <w:color w:val="auto"/>
            <w:sz w:val="20"/>
            <w:szCs w:val="20"/>
            <w:u w:val="none"/>
            <w:lang w:val="fr-FR"/>
          </w:rPr>
          <w:t xml:space="preserve">alorifiques </w:t>
        </w:r>
        <w:r w:rsidRPr="001D0C63">
          <w:rPr>
            <w:rStyle w:val="Lienhypertexte"/>
            <w:rFonts w:ascii="Arial" w:hAnsi="Arial" w:cs="Arial"/>
            <w:color w:val="auto"/>
            <w:sz w:val="20"/>
            <w:szCs w:val="20"/>
            <w:u w:val="none"/>
            <w:lang w:val="fr-FR"/>
          </w:rPr>
          <w:t>I</w:t>
        </w:r>
        <w:r w:rsidR="00392085" w:rsidRPr="001D0C63">
          <w:rPr>
            <w:rStyle w:val="Lienhypertexte"/>
            <w:rFonts w:ascii="Arial" w:hAnsi="Arial" w:cs="Arial"/>
            <w:color w:val="auto"/>
            <w:sz w:val="20"/>
            <w:szCs w:val="20"/>
            <w:u w:val="none"/>
            <w:lang w:val="fr-FR"/>
          </w:rPr>
          <w:t>nférieurs</w:t>
        </w:r>
      </w:hyperlink>
      <w:r w:rsidR="00392085" w:rsidRPr="001D0C63">
        <w:rPr>
          <w:rFonts w:ascii="Arial" w:hAnsi="Arial" w:cs="Arial"/>
          <w:sz w:val="20"/>
          <w:szCs w:val="20"/>
          <w:lang w:val="fr-FR"/>
        </w:rPr>
        <w:t xml:space="preserve"> (PCI) spécifiques. C'est-à-dire qu'une tonne de charbon ne produit pas la même quantité d'énergie qu'une tonne de pétrole, etc. Les facteurs de conversions utilisés par les différentes structures </w:t>
      </w:r>
      <w:r w:rsidR="0005051B" w:rsidRPr="001D0C63">
        <w:rPr>
          <w:rFonts w:ascii="Arial" w:hAnsi="Arial" w:cs="Arial"/>
          <w:sz w:val="20"/>
          <w:szCs w:val="20"/>
          <w:lang w:val="fr-FR"/>
        </w:rPr>
        <w:t xml:space="preserve">du monde </w:t>
      </w:r>
      <w:r w:rsidR="00392085" w:rsidRPr="001D0C63">
        <w:rPr>
          <w:rFonts w:ascii="Arial" w:hAnsi="Arial" w:cs="Arial"/>
          <w:sz w:val="20"/>
          <w:szCs w:val="20"/>
          <w:lang w:val="fr-FR"/>
        </w:rPr>
        <w:t xml:space="preserve">ne sont pas tous identiques. </w:t>
      </w:r>
      <w:r w:rsidR="0005051B" w:rsidRPr="001D0C63">
        <w:rPr>
          <w:rFonts w:ascii="Arial" w:hAnsi="Arial" w:cs="Arial"/>
          <w:sz w:val="20"/>
          <w:szCs w:val="20"/>
          <w:lang w:val="fr-FR"/>
        </w:rPr>
        <w:t>Les plus appliqués, c</w:t>
      </w:r>
      <w:r w:rsidR="00392085" w:rsidRPr="001D0C63">
        <w:rPr>
          <w:rFonts w:ascii="Arial" w:hAnsi="Arial" w:cs="Arial"/>
          <w:sz w:val="20"/>
          <w:szCs w:val="20"/>
          <w:lang w:val="fr-FR"/>
        </w:rPr>
        <w:t>e</w:t>
      </w:r>
      <w:r w:rsidR="0005051B" w:rsidRPr="001D0C63">
        <w:rPr>
          <w:rFonts w:ascii="Arial" w:hAnsi="Arial" w:cs="Arial"/>
          <w:sz w:val="20"/>
          <w:szCs w:val="20"/>
          <w:lang w:val="fr-FR"/>
        </w:rPr>
        <w:t>ux</w:t>
      </w:r>
      <w:r w:rsidR="00392085" w:rsidRPr="001D0C63">
        <w:rPr>
          <w:rFonts w:ascii="Arial" w:hAnsi="Arial" w:cs="Arial"/>
          <w:sz w:val="20"/>
          <w:szCs w:val="20"/>
          <w:lang w:val="fr-FR"/>
        </w:rPr>
        <w:t xml:space="preserve"> de l'</w:t>
      </w:r>
      <w:hyperlink r:id="rId18" w:tooltip="Agence internationale de l'énergie" w:history="1">
        <w:r w:rsidR="00392085" w:rsidRPr="001D0C63">
          <w:rPr>
            <w:rStyle w:val="Lienhypertexte"/>
            <w:rFonts w:ascii="Arial" w:hAnsi="Arial" w:cs="Arial"/>
            <w:color w:val="auto"/>
            <w:sz w:val="20"/>
            <w:szCs w:val="20"/>
            <w:u w:val="none"/>
            <w:lang w:val="fr-FR"/>
          </w:rPr>
          <w:t xml:space="preserve">Agence </w:t>
        </w:r>
        <w:r w:rsidR="0005051B" w:rsidRPr="001D0C63">
          <w:rPr>
            <w:rStyle w:val="Lienhypertexte"/>
            <w:rFonts w:ascii="Arial" w:hAnsi="Arial" w:cs="Arial"/>
            <w:color w:val="auto"/>
            <w:sz w:val="20"/>
            <w:szCs w:val="20"/>
            <w:u w:val="none"/>
            <w:lang w:val="fr-FR"/>
          </w:rPr>
          <w:t>I</w:t>
        </w:r>
        <w:r w:rsidR="00392085" w:rsidRPr="001D0C63">
          <w:rPr>
            <w:rStyle w:val="Lienhypertexte"/>
            <w:rFonts w:ascii="Arial" w:hAnsi="Arial" w:cs="Arial"/>
            <w:color w:val="auto"/>
            <w:sz w:val="20"/>
            <w:szCs w:val="20"/>
            <w:u w:val="none"/>
            <w:lang w:val="fr-FR"/>
          </w:rPr>
          <w:t>nternationale de l'</w:t>
        </w:r>
        <w:r w:rsidR="0005051B" w:rsidRPr="001D0C63">
          <w:rPr>
            <w:rStyle w:val="Lienhypertexte"/>
            <w:rFonts w:ascii="Arial" w:hAnsi="Arial" w:cs="Arial"/>
            <w:color w:val="auto"/>
            <w:sz w:val="20"/>
            <w:szCs w:val="20"/>
            <w:u w:val="none"/>
            <w:lang w:val="fr-FR"/>
          </w:rPr>
          <w:t>E</w:t>
        </w:r>
        <w:r w:rsidR="00392085" w:rsidRPr="001D0C63">
          <w:rPr>
            <w:rStyle w:val="Lienhypertexte"/>
            <w:rFonts w:ascii="Arial" w:hAnsi="Arial" w:cs="Arial"/>
            <w:color w:val="auto"/>
            <w:sz w:val="20"/>
            <w:szCs w:val="20"/>
            <w:u w:val="none"/>
            <w:lang w:val="fr-FR"/>
          </w:rPr>
          <w:t>nergie</w:t>
        </w:r>
      </w:hyperlink>
      <w:r w:rsidR="0005051B" w:rsidRPr="001D0C63">
        <w:rPr>
          <w:rFonts w:ascii="Arial" w:hAnsi="Arial" w:cs="Arial"/>
          <w:sz w:val="20"/>
          <w:szCs w:val="20"/>
          <w:lang w:val="fr-FR"/>
        </w:rPr>
        <w:t xml:space="preserve"> (AIE)</w:t>
      </w:r>
      <w:r w:rsidR="00392085" w:rsidRPr="001D0C63">
        <w:rPr>
          <w:rFonts w:ascii="Arial" w:hAnsi="Arial" w:cs="Arial"/>
          <w:sz w:val="20"/>
          <w:szCs w:val="20"/>
          <w:lang w:val="fr-FR"/>
        </w:rPr>
        <w:t> </w:t>
      </w:r>
      <w:r w:rsidR="0005051B" w:rsidRPr="001D0C63">
        <w:rPr>
          <w:rFonts w:ascii="Arial" w:hAnsi="Arial" w:cs="Arial"/>
          <w:sz w:val="20"/>
          <w:szCs w:val="20"/>
          <w:lang w:val="fr-FR"/>
        </w:rPr>
        <w:t>se présentent comme suit :</w:t>
      </w:r>
    </w:p>
    <w:p w14:paraId="4DA5B545" w14:textId="77777777" w:rsidR="00FC748A" w:rsidRPr="001D0C63" w:rsidRDefault="00FC748A" w:rsidP="0005051B">
      <w:pPr>
        <w:spacing w:after="0"/>
        <w:rPr>
          <w:rFonts w:ascii="Arial" w:hAnsi="Arial" w:cs="Arial"/>
          <w:sz w:val="20"/>
          <w:szCs w:val="20"/>
          <w:lang w:val="fr-FR"/>
        </w:rPr>
      </w:pPr>
    </w:p>
    <w:tbl>
      <w:tblPr>
        <w:tblStyle w:val="Tabellenraster1"/>
        <w:tblW w:w="0" w:type="auto"/>
        <w:jc w:val="center"/>
        <w:tblLook w:val="04A0" w:firstRow="1" w:lastRow="0" w:firstColumn="1" w:lastColumn="0" w:noHBand="0" w:noVBand="1"/>
      </w:tblPr>
      <w:tblGrid>
        <w:gridCol w:w="1929"/>
        <w:gridCol w:w="3595"/>
        <w:gridCol w:w="1151"/>
      </w:tblGrid>
      <w:tr w:rsidR="00FC748A" w:rsidRPr="001D0C63" w14:paraId="65AF5DA5" w14:textId="77777777" w:rsidTr="00E65023">
        <w:trPr>
          <w:jc w:val="center"/>
        </w:trPr>
        <w:tc>
          <w:tcPr>
            <w:tcW w:w="0" w:type="auto"/>
            <w:hideMark/>
          </w:tcPr>
          <w:p w14:paraId="6927F50D" w14:textId="77777777" w:rsidR="00392085" w:rsidRPr="001D0C63" w:rsidRDefault="003124BB" w:rsidP="00392085">
            <w:pPr>
              <w:spacing w:after="0" w:line="240" w:lineRule="auto"/>
              <w:rPr>
                <w:rFonts w:ascii="Arial" w:hAnsi="Arial" w:cs="Arial"/>
                <w:b/>
                <w:bCs/>
                <w:sz w:val="20"/>
                <w:lang w:val="de-DE"/>
              </w:rPr>
            </w:pPr>
            <w:r w:rsidRPr="001D0C63">
              <w:rPr>
                <w:rFonts w:ascii="Arial" w:hAnsi="Arial" w:cs="Arial"/>
                <w:b/>
                <w:bCs/>
                <w:sz w:val="20"/>
                <w:lang w:val="de-DE"/>
              </w:rPr>
              <w:t>E</w:t>
            </w:r>
            <w:r w:rsidR="00392085" w:rsidRPr="001D0C63">
              <w:rPr>
                <w:rFonts w:ascii="Arial" w:hAnsi="Arial" w:cs="Arial"/>
                <w:b/>
                <w:bCs/>
                <w:sz w:val="20"/>
                <w:lang w:val="de-DE"/>
              </w:rPr>
              <w:t>nergie</w:t>
            </w:r>
          </w:p>
        </w:tc>
        <w:tc>
          <w:tcPr>
            <w:tcW w:w="0" w:type="auto"/>
            <w:hideMark/>
          </w:tcPr>
          <w:p w14:paraId="3CF0DD86" w14:textId="77777777" w:rsidR="00392085" w:rsidRPr="001D0C63" w:rsidRDefault="00392085" w:rsidP="00392085">
            <w:pPr>
              <w:spacing w:after="0" w:line="240" w:lineRule="auto"/>
              <w:rPr>
                <w:rFonts w:ascii="Arial" w:hAnsi="Arial" w:cs="Arial"/>
                <w:b/>
                <w:bCs/>
                <w:sz w:val="20"/>
                <w:lang w:val="de-DE"/>
              </w:rPr>
            </w:pPr>
            <w:r w:rsidRPr="001D0C63">
              <w:rPr>
                <w:rFonts w:ascii="Arial" w:hAnsi="Arial" w:cs="Arial"/>
                <w:b/>
                <w:bCs/>
                <w:sz w:val="20"/>
                <w:lang w:val="de-DE"/>
              </w:rPr>
              <w:t>Unité physique</w:t>
            </w:r>
          </w:p>
        </w:tc>
        <w:tc>
          <w:tcPr>
            <w:tcW w:w="0" w:type="auto"/>
            <w:hideMark/>
          </w:tcPr>
          <w:p w14:paraId="7F6F236F" w14:textId="77777777" w:rsidR="00392085" w:rsidRPr="001D0C63" w:rsidRDefault="0005051B" w:rsidP="00392085">
            <w:pPr>
              <w:spacing w:after="0" w:line="240" w:lineRule="auto"/>
              <w:rPr>
                <w:rFonts w:ascii="Arial" w:hAnsi="Arial" w:cs="Arial"/>
                <w:b/>
                <w:bCs/>
                <w:sz w:val="20"/>
                <w:lang w:val="de-DE"/>
              </w:rPr>
            </w:pPr>
            <w:r w:rsidRPr="001D0C63">
              <w:rPr>
                <w:rFonts w:ascii="Arial" w:hAnsi="Arial" w:cs="Arial"/>
                <w:b/>
                <w:bCs/>
                <w:sz w:val="20"/>
                <w:lang w:val="de-DE"/>
              </w:rPr>
              <w:t>k</w:t>
            </w:r>
            <w:r w:rsidR="00392085" w:rsidRPr="001D0C63">
              <w:rPr>
                <w:rFonts w:ascii="Arial" w:hAnsi="Arial" w:cs="Arial"/>
                <w:b/>
                <w:bCs/>
                <w:sz w:val="20"/>
                <w:lang w:val="de-DE"/>
              </w:rPr>
              <w:t>tep</w:t>
            </w:r>
          </w:p>
        </w:tc>
      </w:tr>
      <w:tr w:rsidR="00FC748A" w:rsidRPr="001D0C63" w14:paraId="41089C9D" w14:textId="77777777" w:rsidTr="00E65023">
        <w:trPr>
          <w:jc w:val="center"/>
        </w:trPr>
        <w:tc>
          <w:tcPr>
            <w:tcW w:w="0" w:type="auto"/>
            <w:hideMark/>
          </w:tcPr>
          <w:p w14:paraId="13A87AC1" w14:textId="77777777" w:rsidR="00392085" w:rsidRPr="001D0C63" w:rsidRDefault="00392085" w:rsidP="00392085">
            <w:pPr>
              <w:spacing w:after="0" w:line="240" w:lineRule="auto"/>
              <w:rPr>
                <w:rFonts w:ascii="Arial" w:hAnsi="Arial" w:cs="Arial"/>
                <w:sz w:val="20"/>
                <w:lang w:val="fr-FR"/>
              </w:rPr>
            </w:pPr>
            <w:r w:rsidRPr="001D0C63">
              <w:rPr>
                <w:rFonts w:ascii="Arial" w:hAnsi="Arial" w:cs="Arial"/>
                <w:sz w:val="20"/>
                <w:lang w:val="fr-FR"/>
              </w:rPr>
              <w:t>pétrole brut, gazole</w:t>
            </w:r>
          </w:p>
        </w:tc>
        <w:tc>
          <w:tcPr>
            <w:tcW w:w="0" w:type="auto"/>
            <w:hideMark/>
          </w:tcPr>
          <w:p w14:paraId="417A0299" w14:textId="77777777" w:rsidR="00392085" w:rsidRPr="001D0C63" w:rsidRDefault="00392085" w:rsidP="00392085">
            <w:pPr>
              <w:spacing w:after="0" w:line="240" w:lineRule="auto"/>
              <w:rPr>
                <w:rFonts w:ascii="Arial" w:hAnsi="Arial" w:cs="Arial"/>
                <w:sz w:val="20"/>
                <w:lang w:val="de-DE"/>
              </w:rPr>
            </w:pPr>
            <w:r w:rsidRPr="001D0C63">
              <w:rPr>
                <w:rFonts w:ascii="Arial" w:hAnsi="Arial" w:cs="Arial"/>
                <w:sz w:val="20"/>
                <w:lang w:val="de-DE"/>
              </w:rPr>
              <w:t>1</w:t>
            </w:r>
            <w:r w:rsidR="0005051B" w:rsidRPr="001D0C63">
              <w:rPr>
                <w:rFonts w:ascii="Arial" w:hAnsi="Arial" w:cs="Arial"/>
                <w:sz w:val="20"/>
                <w:lang w:val="de-DE"/>
              </w:rPr>
              <w:t>.000</w:t>
            </w:r>
            <w:r w:rsidRPr="001D0C63">
              <w:rPr>
                <w:rFonts w:ascii="Arial" w:hAnsi="Arial" w:cs="Arial"/>
                <w:sz w:val="20"/>
                <w:lang w:val="de-DE"/>
              </w:rPr>
              <w:t> tonne</w:t>
            </w:r>
            <w:r w:rsidR="0005051B" w:rsidRPr="001D0C63">
              <w:rPr>
                <w:rFonts w:ascii="Arial" w:hAnsi="Arial" w:cs="Arial"/>
                <w:sz w:val="20"/>
                <w:lang w:val="de-DE"/>
              </w:rPr>
              <w:t>s</w:t>
            </w:r>
          </w:p>
        </w:tc>
        <w:tc>
          <w:tcPr>
            <w:tcW w:w="0" w:type="auto"/>
            <w:hideMark/>
          </w:tcPr>
          <w:p w14:paraId="00C2822D" w14:textId="77777777" w:rsidR="00392085" w:rsidRPr="001D0C63" w:rsidRDefault="00392085" w:rsidP="00392085">
            <w:pPr>
              <w:spacing w:after="0" w:line="240" w:lineRule="auto"/>
              <w:rPr>
                <w:rFonts w:ascii="Arial" w:hAnsi="Arial" w:cs="Arial"/>
                <w:sz w:val="20"/>
                <w:lang w:val="de-DE"/>
              </w:rPr>
            </w:pPr>
            <w:r w:rsidRPr="001D0C63">
              <w:rPr>
                <w:rFonts w:ascii="Arial" w:hAnsi="Arial" w:cs="Arial"/>
                <w:sz w:val="20"/>
                <w:lang w:val="de-DE"/>
              </w:rPr>
              <w:t>1 </w:t>
            </w:r>
            <w:r w:rsidR="0005051B" w:rsidRPr="001D0C63">
              <w:rPr>
                <w:rFonts w:ascii="Arial" w:hAnsi="Arial" w:cs="Arial"/>
                <w:sz w:val="20"/>
                <w:lang w:val="de-DE"/>
              </w:rPr>
              <w:t>k</w:t>
            </w:r>
            <w:r w:rsidRPr="001D0C63">
              <w:rPr>
                <w:rFonts w:ascii="Arial" w:hAnsi="Arial" w:cs="Arial"/>
                <w:sz w:val="20"/>
                <w:lang w:val="de-DE"/>
              </w:rPr>
              <w:t>tep</w:t>
            </w:r>
          </w:p>
        </w:tc>
      </w:tr>
      <w:tr w:rsidR="00FC748A" w:rsidRPr="001D0C63" w14:paraId="07F51355" w14:textId="77777777" w:rsidTr="00E65023">
        <w:trPr>
          <w:jc w:val="center"/>
        </w:trPr>
        <w:tc>
          <w:tcPr>
            <w:tcW w:w="0" w:type="auto"/>
            <w:hideMark/>
          </w:tcPr>
          <w:p w14:paraId="026D0995" w14:textId="77777777" w:rsidR="00392085" w:rsidRPr="001D0C63" w:rsidRDefault="00736FE4" w:rsidP="00392085">
            <w:pPr>
              <w:spacing w:after="0" w:line="240" w:lineRule="auto"/>
              <w:rPr>
                <w:rFonts w:ascii="Arial" w:hAnsi="Arial" w:cs="Arial"/>
                <w:sz w:val="20"/>
                <w:lang w:val="de-DE"/>
              </w:rPr>
            </w:pPr>
            <w:hyperlink r:id="rId19" w:tooltip="Gaz de pétrole liquéfié" w:history="1">
              <w:r w:rsidR="00392085" w:rsidRPr="001D0C63">
                <w:rPr>
                  <w:rStyle w:val="Lienhypertexte"/>
                  <w:rFonts w:ascii="Arial" w:hAnsi="Arial" w:cs="Arial"/>
                  <w:color w:val="auto"/>
                  <w:sz w:val="20"/>
                  <w:u w:val="none"/>
                  <w:lang w:val="de-DE"/>
                </w:rPr>
                <w:t>GPL</w:t>
              </w:r>
            </w:hyperlink>
          </w:p>
        </w:tc>
        <w:tc>
          <w:tcPr>
            <w:tcW w:w="0" w:type="auto"/>
            <w:hideMark/>
          </w:tcPr>
          <w:p w14:paraId="2C155034" w14:textId="77777777" w:rsidR="00392085" w:rsidRPr="001D0C63" w:rsidRDefault="00392085" w:rsidP="00392085">
            <w:pPr>
              <w:spacing w:after="0" w:line="240" w:lineRule="auto"/>
              <w:rPr>
                <w:rFonts w:ascii="Arial" w:hAnsi="Arial" w:cs="Arial"/>
                <w:sz w:val="20"/>
                <w:lang w:val="de-DE"/>
              </w:rPr>
            </w:pPr>
            <w:r w:rsidRPr="001D0C63">
              <w:rPr>
                <w:rFonts w:ascii="Arial" w:hAnsi="Arial" w:cs="Arial"/>
                <w:sz w:val="20"/>
                <w:lang w:val="de-DE"/>
              </w:rPr>
              <w:t>1</w:t>
            </w:r>
            <w:r w:rsidR="0005051B" w:rsidRPr="001D0C63">
              <w:rPr>
                <w:rFonts w:ascii="Arial" w:hAnsi="Arial" w:cs="Arial"/>
                <w:sz w:val="20"/>
                <w:lang w:val="de-DE"/>
              </w:rPr>
              <w:t>.000</w:t>
            </w:r>
            <w:r w:rsidRPr="001D0C63">
              <w:rPr>
                <w:rFonts w:ascii="Arial" w:hAnsi="Arial" w:cs="Arial"/>
                <w:sz w:val="20"/>
                <w:lang w:val="de-DE"/>
              </w:rPr>
              <w:t> tonne</w:t>
            </w:r>
            <w:r w:rsidR="0005051B" w:rsidRPr="001D0C63">
              <w:rPr>
                <w:rFonts w:ascii="Arial" w:hAnsi="Arial" w:cs="Arial"/>
                <w:sz w:val="20"/>
                <w:lang w:val="de-DE"/>
              </w:rPr>
              <w:t>s</w:t>
            </w:r>
          </w:p>
        </w:tc>
        <w:tc>
          <w:tcPr>
            <w:tcW w:w="0" w:type="auto"/>
            <w:hideMark/>
          </w:tcPr>
          <w:p w14:paraId="48B2A1C6" w14:textId="77777777" w:rsidR="00392085" w:rsidRPr="001D0C63" w:rsidRDefault="00392085" w:rsidP="00392085">
            <w:pPr>
              <w:spacing w:after="0" w:line="240" w:lineRule="auto"/>
              <w:rPr>
                <w:rFonts w:ascii="Arial" w:hAnsi="Arial" w:cs="Arial"/>
                <w:sz w:val="20"/>
                <w:lang w:val="de-DE"/>
              </w:rPr>
            </w:pPr>
            <w:r w:rsidRPr="001D0C63">
              <w:rPr>
                <w:rFonts w:ascii="Arial" w:hAnsi="Arial" w:cs="Arial"/>
                <w:sz w:val="20"/>
                <w:lang w:val="de-DE"/>
              </w:rPr>
              <w:t>1,095 </w:t>
            </w:r>
            <w:r w:rsidR="0005051B" w:rsidRPr="001D0C63">
              <w:rPr>
                <w:rFonts w:ascii="Arial" w:hAnsi="Arial" w:cs="Arial"/>
                <w:sz w:val="20"/>
                <w:lang w:val="de-DE"/>
              </w:rPr>
              <w:t>k</w:t>
            </w:r>
            <w:r w:rsidRPr="001D0C63">
              <w:rPr>
                <w:rFonts w:ascii="Arial" w:hAnsi="Arial" w:cs="Arial"/>
                <w:sz w:val="20"/>
                <w:lang w:val="de-DE"/>
              </w:rPr>
              <w:t>tep</w:t>
            </w:r>
          </w:p>
        </w:tc>
      </w:tr>
      <w:tr w:rsidR="00FC748A" w:rsidRPr="001D0C63" w14:paraId="1F72C115" w14:textId="77777777" w:rsidTr="00E65023">
        <w:trPr>
          <w:jc w:val="center"/>
        </w:trPr>
        <w:tc>
          <w:tcPr>
            <w:tcW w:w="0" w:type="auto"/>
            <w:hideMark/>
          </w:tcPr>
          <w:p w14:paraId="5FF354A8" w14:textId="77777777" w:rsidR="00392085" w:rsidRPr="001D0C63" w:rsidRDefault="00736FE4" w:rsidP="00392085">
            <w:pPr>
              <w:spacing w:after="0" w:line="240" w:lineRule="auto"/>
              <w:rPr>
                <w:rFonts w:ascii="Arial" w:hAnsi="Arial" w:cs="Arial"/>
                <w:sz w:val="20"/>
                <w:lang w:val="de-DE"/>
              </w:rPr>
            </w:pPr>
            <w:hyperlink r:id="rId20" w:tooltip="Essence (hydrocarbure)" w:history="1">
              <w:r w:rsidR="00392085" w:rsidRPr="001D0C63">
                <w:rPr>
                  <w:rStyle w:val="Lienhypertexte"/>
                  <w:rFonts w:ascii="Arial" w:hAnsi="Arial" w:cs="Arial"/>
                  <w:color w:val="auto"/>
                  <w:sz w:val="20"/>
                  <w:u w:val="none"/>
                  <w:lang w:val="de-DE"/>
                </w:rPr>
                <w:t>essence</w:t>
              </w:r>
            </w:hyperlink>
          </w:p>
        </w:tc>
        <w:tc>
          <w:tcPr>
            <w:tcW w:w="0" w:type="auto"/>
            <w:hideMark/>
          </w:tcPr>
          <w:p w14:paraId="15039464" w14:textId="77777777" w:rsidR="00392085" w:rsidRPr="001D0C63" w:rsidRDefault="00392085" w:rsidP="00392085">
            <w:pPr>
              <w:spacing w:after="0" w:line="240" w:lineRule="auto"/>
              <w:rPr>
                <w:rFonts w:ascii="Arial" w:hAnsi="Arial" w:cs="Arial"/>
                <w:sz w:val="20"/>
                <w:lang w:val="fr-FR"/>
              </w:rPr>
            </w:pPr>
            <w:r w:rsidRPr="001D0C63">
              <w:rPr>
                <w:rFonts w:ascii="Arial" w:hAnsi="Arial" w:cs="Arial"/>
                <w:sz w:val="20"/>
                <w:lang w:val="fr-FR"/>
              </w:rPr>
              <w:t>1</w:t>
            </w:r>
            <w:r w:rsidR="0005051B" w:rsidRPr="001D0C63">
              <w:rPr>
                <w:rFonts w:ascii="Arial" w:hAnsi="Arial" w:cs="Arial"/>
                <w:sz w:val="20"/>
                <w:lang w:val="fr-FR"/>
              </w:rPr>
              <w:t>.000</w:t>
            </w:r>
            <w:r w:rsidRPr="001D0C63">
              <w:rPr>
                <w:rFonts w:ascii="Arial" w:hAnsi="Arial" w:cs="Arial"/>
                <w:sz w:val="20"/>
                <w:lang w:val="fr-FR"/>
              </w:rPr>
              <w:t> tonne</w:t>
            </w:r>
            <w:r w:rsidR="0005051B" w:rsidRPr="001D0C63">
              <w:rPr>
                <w:rFonts w:ascii="Arial" w:hAnsi="Arial" w:cs="Arial"/>
                <w:sz w:val="20"/>
                <w:lang w:val="fr-FR"/>
              </w:rPr>
              <w:t>s</w:t>
            </w:r>
          </w:p>
        </w:tc>
        <w:tc>
          <w:tcPr>
            <w:tcW w:w="0" w:type="auto"/>
            <w:hideMark/>
          </w:tcPr>
          <w:p w14:paraId="45606E42" w14:textId="77777777" w:rsidR="00392085" w:rsidRPr="001D0C63" w:rsidRDefault="00392085" w:rsidP="003124BB">
            <w:pPr>
              <w:spacing w:after="0" w:line="240" w:lineRule="auto"/>
              <w:rPr>
                <w:rFonts w:ascii="Arial" w:hAnsi="Arial" w:cs="Arial"/>
                <w:sz w:val="20"/>
                <w:lang w:val="fr-FR"/>
              </w:rPr>
            </w:pPr>
            <w:r w:rsidRPr="001D0C63">
              <w:rPr>
                <w:rFonts w:ascii="Arial" w:hAnsi="Arial" w:cs="Arial"/>
                <w:sz w:val="20"/>
                <w:lang w:val="fr-FR"/>
              </w:rPr>
              <w:t>1,048</w:t>
            </w:r>
            <w:r w:rsidR="003124BB" w:rsidRPr="001D0C63">
              <w:rPr>
                <w:rFonts w:ascii="Arial" w:hAnsi="Arial" w:cs="Arial"/>
                <w:sz w:val="20"/>
                <w:lang w:val="fr-FR"/>
              </w:rPr>
              <w:t xml:space="preserve"> </w:t>
            </w:r>
            <w:r w:rsidR="0005051B" w:rsidRPr="001D0C63">
              <w:rPr>
                <w:rFonts w:ascii="Arial" w:hAnsi="Arial" w:cs="Arial"/>
                <w:sz w:val="20"/>
                <w:lang w:val="fr-FR"/>
              </w:rPr>
              <w:t>k</w:t>
            </w:r>
            <w:r w:rsidRPr="001D0C63">
              <w:rPr>
                <w:rFonts w:ascii="Arial" w:hAnsi="Arial" w:cs="Arial"/>
                <w:sz w:val="20"/>
                <w:lang w:val="fr-FR"/>
              </w:rPr>
              <w:t>tep</w:t>
            </w:r>
          </w:p>
        </w:tc>
      </w:tr>
      <w:tr w:rsidR="00FC748A" w:rsidRPr="001D0C63" w14:paraId="03271BA5" w14:textId="77777777" w:rsidTr="00E65023">
        <w:trPr>
          <w:jc w:val="center"/>
        </w:trPr>
        <w:tc>
          <w:tcPr>
            <w:tcW w:w="0" w:type="auto"/>
            <w:hideMark/>
          </w:tcPr>
          <w:p w14:paraId="1065F3B6" w14:textId="77777777" w:rsidR="00392085" w:rsidRPr="001D0C63" w:rsidRDefault="00392085" w:rsidP="00392085">
            <w:pPr>
              <w:spacing w:after="0" w:line="240" w:lineRule="auto"/>
              <w:rPr>
                <w:rFonts w:ascii="Arial" w:hAnsi="Arial" w:cs="Arial"/>
                <w:sz w:val="20"/>
                <w:lang w:val="fr-FR"/>
              </w:rPr>
            </w:pPr>
            <w:r w:rsidRPr="001D0C63">
              <w:rPr>
                <w:rFonts w:ascii="Arial" w:hAnsi="Arial" w:cs="Arial"/>
                <w:sz w:val="20"/>
                <w:lang w:val="fr-FR"/>
              </w:rPr>
              <w:t>bois</w:t>
            </w:r>
          </w:p>
        </w:tc>
        <w:tc>
          <w:tcPr>
            <w:tcW w:w="0" w:type="auto"/>
            <w:hideMark/>
          </w:tcPr>
          <w:p w14:paraId="32433F9F" w14:textId="77777777" w:rsidR="00392085" w:rsidRPr="001D0C63" w:rsidRDefault="00392085" w:rsidP="00392085">
            <w:pPr>
              <w:spacing w:after="0" w:line="240" w:lineRule="auto"/>
              <w:rPr>
                <w:rFonts w:ascii="Arial" w:hAnsi="Arial" w:cs="Arial"/>
                <w:sz w:val="20"/>
                <w:lang w:val="fr-FR"/>
              </w:rPr>
            </w:pPr>
            <w:r w:rsidRPr="001D0C63">
              <w:rPr>
                <w:rFonts w:ascii="Arial" w:hAnsi="Arial" w:cs="Arial"/>
                <w:sz w:val="20"/>
                <w:lang w:val="fr-FR"/>
              </w:rPr>
              <w:t>1</w:t>
            </w:r>
            <w:r w:rsidR="0005051B" w:rsidRPr="001D0C63">
              <w:rPr>
                <w:rFonts w:ascii="Arial" w:hAnsi="Arial" w:cs="Arial"/>
                <w:sz w:val="20"/>
                <w:lang w:val="fr-FR"/>
              </w:rPr>
              <w:t>.000</w:t>
            </w:r>
            <w:r w:rsidRPr="001D0C63">
              <w:rPr>
                <w:rFonts w:ascii="Arial" w:hAnsi="Arial" w:cs="Arial"/>
                <w:sz w:val="20"/>
                <w:lang w:val="fr-FR"/>
              </w:rPr>
              <w:t> </w:t>
            </w:r>
            <w:hyperlink r:id="rId21" w:tooltip="Stère" w:history="1">
              <w:r w:rsidRPr="001D0C63">
                <w:rPr>
                  <w:rStyle w:val="Lienhypertexte"/>
                  <w:rFonts w:ascii="Arial" w:hAnsi="Arial" w:cs="Arial"/>
                  <w:color w:val="auto"/>
                  <w:sz w:val="20"/>
                  <w:u w:val="none"/>
                  <w:lang w:val="fr-FR"/>
                </w:rPr>
                <w:t>stère</w:t>
              </w:r>
            </w:hyperlink>
            <w:r w:rsidR="0005051B" w:rsidRPr="001D0C63">
              <w:rPr>
                <w:rFonts w:ascii="Arial" w:hAnsi="Arial" w:cs="Arial"/>
                <w:sz w:val="20"/>
                <w:lang w:val="fr-FR"/>
              </w:rPr>
              <w:t>s</w:t>
            </w:r>
            <w:r w:rsidR="003124BB" w:rsidRPr="001D0C63">
              <w:rPr>
                <w:rFonts w:ascii="Arial" w:hAnsi="Arial" w:cs="Arial"/>
                <w:sz w:val="20"/>
                <w:lang w:val="fr-FR"/>
              </w:rPr>
              <w:t xml:space="preserve"> (=volume réel de 700 m</w:t>
            </w:r>
            <w:r w:rsidR="003124BB" w:rsidRPr="001D0C63">
              <w:rPr>
                <w:rFonts w:ascii="Arial" w:hAnsi="Arial" w:cs="Arial"/>
                <w:sz w:val="20"/>
                <w:vertAlign w:val="superscript"/>
                <w:lang w:val="fr-FR"/>
              </w:rPr>
              <w:t>3)</w:t>
            </w:r>
          </w:p>
        </w:tc>
        <w:tc>
          <w:tcPr>
            <w:tcW w:w="0" w:type="auto"/>
            <w:hideMark/>
          </w:tcPr>
          <w:p w14:paraId="58EC7A92" w14:textId="77777777" w:rsidR="00392085" w:rsidRPr="001D0C63" w:rsidRDefault="00392085" w:rsidP="003124BB">
            <w:pPr>
              <w:spacing w:after="0" w:line="240" w:lineRule="auto"/>
              <w:rPr>
                <w:rFonts w:ascii="Arial" w:hAnsi="Arial" w:cs="Arial"/>
                <w:sz w:val="20"/>
                <w:lang w:val="fr-FR"/>
              </w:rPr>
            </w:pPr>
            <w:r w:rsidRPr="001D0C63">
              <w:rPr>
                <w:rFonts w:ascii="Arial" w:hAnsi="Arial" w:cs="Arial"/>
                <w:sz w:val="20"/>
                <w:lang w:val="fr-FR"/>
              </w:rPr>
              <w:t>0,147</w:t>
            </w:r>
            <w:r w:rsidR="003124BB" w:rsidRPr="001D0C63">
              <w:rPr>
                <w:rFonts w:ascii="Arial" w:hAnsi="Arial" w:cs="Arial"/>
                <w:sz w:val="20"/>
                <w:lang w:val="fr-FR"/>
              </w:rPr>
              <w:t xml:space="preserve"> </w:t>
            </w:r>
            <w:r w:rsidR="0005051B" w:rsidRPr="001D0C63">
              <w:rPr>
                <w:rFonts w:ascii="Arial" w:hAnsi="Arial" w:cs="Arial"/>
                <w:sz w:val="20"/>
                <w:lang w:val="fr-FR"/>
              </w:rPr>
              <w:t>k</w:t>
            </w:r>
            <w:r w:rsidRPr="001D0C63">
              <w:rPr>
                <w:rFonts w:ascii="Arial" w:hAnsi="Arial" w:cs="Arial"/>
                <w:sz w:val="20"/>
                <w:lang w:val="fr-FR"/>
              </w:rPr>
              <w:t>tep</w:t>
            </w:r>
          </w:p>
        </w:tc>
      </w:tr>
      <w:tr w:rsidR="00FC748A" w:rsidRPr="001D0C63" w14:paraId="2B3C8D62" w14:textId="77777777" w:rsidTr="00E65023">
        <w:trPr>
          <w:jc w:val="center"/>
        </w:trPr>
        <w:tc>
          <w:tcPr>
            <w:tcW w:w="0" w:type="auto"/>
            <w:shd w:val="clear" w:color="auto" w:fill="FFFFFF" w:themeFill="background1"/>
          </w:tcPr>
          <w:p w14:paraId="0E5C2BF0" w14:textId="77777777" w:rsidR="00FC748A" w:rsidRPr="001D0C63" w:rsidRDefault="00FC748A" w:rsidP="00392085">
            <w:pPr>
              <w:spacing w:after="0" w:line="240" w:lineRule="auto"/>
              <w:rPr>
                <w:rFonts w:ascii="Arial" w:hAnsi="Arial" w:cs="Arial"/>
                <w:sz w:val="20"/>
                <w:lang w:val="fr-FR"/>
              </w:rPr>
            </w:pPr>
            <w:r w:rsidRPr="001D0C63">
              <w:rPr>
                <w:rFonts w:ascii="Arial" w:hAnsi="Arial" w:cs="Arial"/>
                <w:sz w:val="20"/>
                <w:lang w:val="fr-FR"/>
              </w:rPr>
              <w:t>Electricité</w:t>
            </w:r>
          </w:p>
        </w:tc>
        <w:tc>
          <w:tcPr>
            <w:tcW w:w="0" w:type="auto"/>
          </w:tcPr>
          <w:p w14:paraId="010E4300" w14:textId="77777777" w:rsidR="00FC748A" w:rsidRPr="001D0C63" w:rsidRDefault="00FC748A" w:rsidP="00FC748A">
            <w:pPr>
              <w:spacing w:after="0" w:line="240" w:lineRule="auto"/>
              <w:rPr>
                <w:rFonts w:ascii="Arial" w:hAnsi="Arial" w:cs="Arial"/>
                <w:sz w:val="20"/>
                <w:lang w:val="fr-FR"/>
              </w:rPr>
            </w:pPr>
            <w:r w:rsidRPr="001D0C63">
              <w:rPr>
                <w:rFonts w:ascii="Arial" w:hAnsi="Arial" w:cs="Arial"/>
                <w:sz w:val="20"/>
                <w:lang w:val="fr-FR"/>
              </w:rPr>
              <w:t>11.630.000 kWh</w:t>
            </w:r>
          </w:p>
        </w:tc>
        <w:tc>
          <w:tcPr>
            <w:tcW w:w="0" w:type="auto"/>
          </w:tcPr>
          <w:p w14:paraId="1B2D12F2" w14:textId="77777777" w:rsidR="00FC748A" w:rsidRPr="001D0C63" w:rsidRDefault="00FC748A" w:rsidP="003124BB">
            <w:pPr>
              <w:spacing w:after="0" w:line="240" w:lineRule="auto"/>
              <w:rPr>
                <w:rFonts w:ascii="Arial" w:hAnsi="Arial" w:cs="Arial"/>
                <w:sz w:val="20"/>
                <w:lang w:val="fr-FR"/>
              </w:rPr>
            </w:pPr>
            <w:r w:rsidRPr="001D0C63">
              <w:rPr>
                <w:rFonts w:ascii="Arial" w:hAnsi="Arial" w:cs="Arial"/>
                <w:sz w:val="20"/>
                <w:lang w:val="fr-FR"/>
              </w:rPr>
              <w:t>1 ktep</w:t>
            </w:r>
          </w:p>
        </w:tc>
      </w:tr>
    </w:tbl>
    <w:p w14:paraId="4D08A1CF" w14:textId="77777777" w:rsidR="00733E78" w:rsidRPr="001D0C63" w:rsidRDefault="00733E78" w:rsidP="008178AA">
      <w:pPr>
        <w:spacing w:after="0" w:line="240" w:lineRule="auto"/>
        <w:rPr>
          <w:rFonts w:ascii="Arial" w:hAnsi="Arial" w:cs="Arial"/>
          <w:b/>
          <w:sz w:val="20"/>
          <w:szCs w:val="20"/>
          <w:lang w:val="fr-FR"/>
        </w:rPr>
      </w:pPr>
    </w:p>
    <w:p w14:paraId="5F34630B" w14:textId="77777777" w:rsidR="008178AA" w:rsidRPr="00624EEA" w:rsidRDefault="008178AA" w:rsidP="00A73FCE">
      <w:pPr>
        <w:spacing w:after="0" w:line="240" w:lineRule="auto"/>
        <w:rPr>
          <w:rFonts w:ascii="Arial" w:hAnsi="Arial" w:cs="Arial"/>
          <w:b/>
          <w:sz w:val="20"/>
          <w:szCs w:val="20"/>
          <w:lang w:val="fr-FR"/>
        </w:rPr>
      </w:pPr>
      <w:r w:rsidRPr="00624EEA">
        <w:rPr>
          <w:rFonts w:ascii="Arial" w:hAnsi="Arial" w:cs="Arial"/>
          <w:b/>
          <w:sz w:val="20"/>
          <w:szCs w:val="20"/>
          <w:lang w:val="fr-FR"/>
        </w:rPr>
        <w:t>Métropolisation</w:t>
      </w:r>
    </w:p>
    <w:p w14:paraId="77C8813F" w14:textId="77777777" w:rsidR="008178AA" w:rsidRPr="00624EEA" w:rsidRDefault="008178AA" w:rsidP="008178AA">
      <w:pPr>
        <w:spacing w:line="240" w:lineRule="auto"/>
        <w:rPr>
          <w:rFonts w:ascii="Arial" w:hAnsi="Arial" w:cs="Arial"/>
          <w:sz w:val="20"/>
          <w:szCs w:val="20"/>
          <w:lang w:val="fr-FR"/>
        </w:rPr>
      </w:pPr>
      <w:r w:rsidRPr="00624EEA">
        <w:rPr>
          <w:rFonts w:ascii="Arial" w:hAnsi="Arial" w:cs="Arial"/>
          <w:sz w:val="20"/>
          <w:szCs w:val="20"/>
          <w:lang w:val="fr-FR"/>
        </w:rPr>
        <w:t>La métropolisation (étymologiquement composé à partir du mot métropole, meter-polis: ville-mère) est une dynamique spatiale contribuant à organiser le territoire autour de la métropole. Elle voit s'étendre la forme classique du tissu périurbain en reliant les principales agglomérations et, surtout, les modes de la vie urbaine. C'est un phénomène mondial et différencié selon les continents. La métropolisation dans sa réorganisation de l'espace conteste la dualité territoriale rural/urbain.</w:t>
      </w:r>
    </w:p>
    <w:p w14:paraId="62134F70" w14:textId="77777777" w:rsidR="008178AA" w:rsidRPr="00624EEA" w:rsidRDefault="008178AA" w:rsidP="008178AA">
      <w:pPr>
        <w:spacing w:line="240" w:lineRule="auto"/>
        <w:rPr>
          <w:rFonts w:ascii="Arial" w:hAnsi="Arial" w:cs="Arial"/>
          <w:sz w:val="20"/>
          <w:szCs w:val="20"/>
          <w:lang w:val="fr-FR"/>
        </w:rPr>
      </w:pPr>
      <w:r w:rsidRPr="00624EEA">
        <w:rPr>
          <w:rFonts w:ascii="Arial" w:hAnsi="Arial" w:cs="Arial"/>
          <w:sz w:val="20"/>
          <w:szCs w:val="20"/>
          <w:lang w:val="fr-FR"/>
        </w:rPr>
        <w:t>Elle se caractérise surtout par la concentration des personnes et des activités dans les grandes villes. Les "métropoles" concentrent les activités de commandement (économique, politique, culturel...) et les fonctions tertiaires supérieures. Pour cette raison elles sont fortement attractives pour les populations.</w:t>
      </w:r>
    </w:p>
    <w:p w14:paraId="19DB57C7" w14:textId="77777777" w:rsidR="008178AA" w:rsidRPr="00624EEA" w:rsidRDefault="008178AA" w:rsidP="008178AA">
      <w:pPr>
        <w:spacing w:line="240" w:lineRule="auto"/>
        <w:rPr>
          <w:rFonts w:ascii="Arial" w:hAnsi="Arial" w:cs="Arial"/>
          <w:sz w:val="20"/>
          <w:szCs w:val="20"/>
          <w:lang w:val="fr-FR"/>
        </w:rPr>
      </w:pPr>
      <w:r w:rsidRPr="00624EEA">
        <w:rPr>
          <w:rFonts w:ascii="Arial" w:hAnsi="Arial" w:cs="Arial"/>
          <w:sz w:val="20"/>
          <w:szCs w:val="20"/>
          <w:lang w:val="fr-FR"/>
        </w:rPr>
        <w:t xml:space="preserve">La métropolisation entraîne aussi une redéfinition des espaces au sein de la ville. Les fonctions grandes consommatrices d'espace (loisirs, commerce, industries) sont rejetées dans les périphéries alors que </w:t>
      </w:r>
      <w:r w:rsidR="0098591C" w:rsidRPr="00624EEA">
        <w:rPr>
          <w:rFonts w:ascii="Arial" w:hAnsi="Arial" w:cs="Arial"/>
          <w:sz w:val="20"/>
          <w:szCs w:val="20"/>
          <w:lang w:val="fr-FR"/>
        </w:rPr>
        <w:t>les centres-villes</w:t>
      </w:r>
      <w:r w:rsidRPr="00624EEA">
        <w:rPr>
          <w:rFonts w:ascii="Arial" w:hAnsi="Arial" w:cs="Arial"/>
          <w:sz w:val="20"/>
          <w:szCs w:val="20"/>
          <w:lang w:val="fr-FR"/>
        </w:rPr>
        <w:t xml:space="preserve"> sont réservés à l'habitat favorisé et aux activités à forte valeur ajoutée.</w:t>
      </w:r>
    </w:p>
    <w:p w14:paraId="0EC329D7" w14:textId="77777777" w:rsidR="008178AA" w:rsidRPr="00624EEA" w:rsidRDefault="008178AA" w:rsidP="008178AA">
      <w:pPr>
        <w:spacing w:line="240" w:lineRule="auto"/>
        <w:rPr>
          <w:rFonts w:ascii="Arial" w:hAnsi="Arial" w:cs="Arial"/>
          <w:sz w:val="20"/>
          <w:szCs w:val="20"/>
          <w:lang w:val="fr-FR"/>
        </w:rPr>
      </w:pPr>
      <w:r w:rsidRPr="00624EEA">
        <w:rPr>
          <w:rFonts w:ascii="Arial" w:hAnsi="Arial" w:cs="Arial"/>
          <w:sz w:val="20"/>
          <w:szCs w:val="20"/>
          <w:lang w:val="fr-FR"/>
        </w:rPr>
        <w:t>Il y a une double dynamique dans le phénomène de métropolisation, c'est à la fois une concentration d'hommes, d'activités et de valeurs sur un pôle urbain et une redistribution de ces attributs par le même pôle qui restructure ainsi son territoire d'influence.</w:t>
      </w:r>
    </w:p>
    <w:p w14:paraId="7028C796" w14:textId="77777777" w:rsidR="008178AA" w:rsidRPr="00624EEA" w:rsidRDefault="008178AA" w:rsidP="008178AA">
      <w:pPr>
        <w:spacing w:line="240" w:lineRule="auto"/>
        <w:rPr>
          <w:rFonts w:ascii="Arial" w:hAnsi="Arial" w:cs="Arial"/>
          <w:sz w:val="20"/>
          <w:szCs w:val="20"/>
          <w:lang w:val="fr-FR"/>
        </w:rPr>
      </w:pPr>
      <w:r w:rsidRPr="00624EEA">
        <w:rPr>
          <w:rFonts w:ascii="Arial" w:hAnsi="Arial" w:cs="Arial"/>
          <w:sz w:val="20"/>
          <w:szCs w:val="20"/>
          <w:lang w:val="fr-FR"/>
        </w:rPr>
        <w:t>(Source : http://www.techno-science.net/?onglet=glossaire&amp;definition=5468)</w:t>
      </w:r>
    </w:p>
    <w:p w14:paraId="677DC551" w14:textId="77777777" w:rsidR="00D1078D" w:rsidRPr="00624EEA" w:rsidRDefault="00D1078D" w:rsidP="00A73FCE">
      <w:pPr>
        <w:spacing w:after="0" w:line="240" w:lineRule="auto"/>
        <w:rPr>
          <w:rFonts w:ascii="Arial" w:hAnsi="Arial" w:cs="Arial"/>
          <w:b/>
          <w:sz w:val="20"/>
          <w:szCs w:val="20"/>
          <w:u w:val="single"/>
          <w:lang w:val="fr-FR"/>
        </w:rPr>
      </w:pPr>
    </w:p>
    <w:p w14:paraId="5F07B021" w14:textId="77777777" w:rsidR="00A73FCE" w:rsidRPr="00624EEA" w:rsidRDefault="008178AA" w:rsidP="00D1078D">
      <w:pPr>
        <w:spacing w:after="0" w:line="240" w:lineRule="auto"/>
        <w:rPr>
          <w:rFonts w:ascii="Arial" w:hAnsi="Arial" w:cs="Arial"/>
          <w:sz w:val="20"/>
          <w:szCs w:val="20"/>
          <w:lang w:val="fr-FR"/>
        </w:rPr>
      </w:pPr>
      <w:r w:rsidRPr="00624EEA">
        <w:rPr>
          <w:rFonts w:ascii="Arial" w:hAnsi="Arial" w:cs="Arial"/>
          <w:b/>
          <w:sz w:val="20"/>
          <w:szCs w:val="20"/>
          <w:lang w:val="fr-FR"/>
        </w:rPr>
        <w:t>Eco-conception</w:t>
      </w:r>
    </w:p>
    <w:p w14:paraId="44FCDDEB" w14:textId="77777777" w:rsidR="008178AA" w:rsidRPr="00624EEA" w:rsidRDefault="008178AA" w:rsidP="008178AA">
      <w:pPr>
        <w:spacing w:line="240" w:lineRule="auto"/>
        <w:rPr>
          <w:rFonts w:ascii="Arial" w:hAnsi="Arial" w:cs="Arial"/>
          <w:sz w:val="20"/>
          <w:szCs w:val="20"/>
          <w:lang w:val="fr-FR"/>
        </w:rPr>
      </w:pPr>
      <w:r w:rsidRPr="00624EEA">
        <w:rPr>
          <w:rFonts w:ascii="Arial" w:hAnsi="Arial" w:cs="Arial"/>
          <w:sz w:val="20"/>
          <w:szCs w:val="20"/>
          <w:lang w:val="fr-FR"/>
        </w:rPr>
        <w:t xml:space="preserve">Désigne une démarche de </w:t>
      </w:r>
      <w:r w:rsidR="00D3048A" w:rsidRPr="00624EEA">
        <w:rPr>
          <w:rFonts w:ascii="Arial" w:hAnsi="Arial" w:cs="Arial"/>
          <w:sz w:val="20"/>
          <w:szCs w:val="20"/>
          <w:lang w:val="fr-FR"/>
        </w:rPr>
        <w:t>gestion</w:t>
      </w:r>
      <w:r w:rsidRPr="00624EEA">
        <w:rPr>
          <w:rFonts w:ascii="Arial" w:hAnsi="Arial" w:cs="Arial"/>
          <w:sz w:val="20"/>
          <w:szCs w:val="20"/>
          <w:lang w:val="fr-FR"/>
        </w:rPr>
        <w:t xml:space="preserve"> environnementale centrée sur le produit (biens ou services)</w:t>
      </w:r>
    </w:p>
    <w:p w14:paraId="33DA6AD8" w14:textId="77777777" w:rsidR="00D3048A" w:rsidRPr="00624EEA" w:rsidRDefault="008178AA" w:rsidP="008178AA">
      <w:pPr>
        <w:spacing w:line="240" w:lineRule="auto"/>
        <w:rPr>
          <w:rFonts w:ascii="Arial" w:hAnsi="Arial" w:cs="Arial"/>
          <w:sz w:val="20"/>
          <w:szCs w:val="20"/>
          <w:lang w:val="fr-FR"/>
        </w:rPr>
      </w:pPr>
      <w:r w:rsidRPr="00624EEA">
        <w:rPr>
          <w:rFonts w:ascii="Arial" w:hAnsi="Arial" w:cs="Arial"/>
          <w:sz w:val="20"/>
          <w:szCs w:val="20"/>
          <w:lang w:val="fr-FR"/>
        </w:rPr>
        <w:t>Elle consiste à prendre en compte des critères environnementaux dès la phase de conception du produit. C</w:t>
      </w:r>
      <w:r w:rsidR="00D3048A" w:rsidRPr="00624EEA">
        <w:rPr>
          <w:rFonts w:ascii="Arial" w:hAnsi="Arial" w:cs="Arial"/>
          <w:sz w:val="20"/>
          <w:szCs w:val="20"/>
          <w:lang w:val="fr-FR"/>
        </w:rPr>
        <w:t xml:space="preserve">et </w:t>
      </w:r>
      <w:r w:rsidRPr="00624EEA">
        <w:rPr>
          <w:rFonts w:ascii="Arial" w:hAnsi="Arial" w:cs="Arial"/>
          <w:sz w:val="20"/>
          <w:szCs w:val="20"/>
          <w:lang w:val="fr-FR"/>
        </w:rPr>
        <w:t>axe d</w:t>
      </w:r>
      <w:r w:rsidR="00D3048A" w:rsidRPr="00624EEA">
        <w:rPr>
          <w:rFonts w:ascii="Arial" w:hAnsi="Arial" w:cs="Arial"/>
          <w:sz w:val="20"/>
          <w:szCs w:val="20"/>
          <w:lang w:val="fr-FR"/>
        </w:rPr>
        <w:t>e la gestion</w:t>
      </w:r>
      <w:r w:rsidRPr="00624EEA">
        <w:rPr>
          <w:rFonts w:ascii="Arial" w:hAnsi="Arial" w:cs="Arial"/>
          <w:sz w:val="20"/>
          <w:szCs w:val="20"/>
          <w:lang w:val="fr-FR"/>
        </w:rPr>
        <w:t xml:space="preserve"> environnemental</w:t>
      </w:r>
      <w:r w:rsidR="00D3048A" w:rsidRPr="00624EEA">
        <w:rPr>
          <w:rFonts w:ascii="Arial" w:hAnsi="Arial" w:cs="Arial"/>
          <w:sz w:val="20"/>
          <w:szCs w:val="20"/>
          <w:lang w:val="fr-FR"/>
        </w:rPr>
        <w:t>e</w:t>
      </w:r>
      <w:r w:rsidRPr="00624EEA">
        <w:rPr>
          <w:rFonts w:ascii="Arial" w:hAnsi="Arial" w:cs="Arial"/>
          <w:sz w:val="20"/>
          <w:szCs w:val="20"/>
          <w:lang w:val="fr-FR"/>
        </w:rPr>
        <w:t xml:space="preserve"> complète les approches liées </w:t>
      </w:r>
      <w:r w:rsidR="00270335" w:rsidRPr="00624EEA">
        <w:rPr>
          <w:rFonts w:ascii="Arial" w:hAnsi="Arial" w:cs="Arial"/>
          <w:sz w:val="20"/>
          <w:szCs w:val="20"/>
          <w:lang w:val="fr-FR"/>
        </w:rPr>
        <w:t>à</w:t>
      </w:r>
      <w:r w:rsidRPr="00624EEA">
        <w:rPr>
          <w:rFonts w:ascii="Arial" w:hAnsi="Arial" w:cs="Arial"/>
          <w:sz w:val="20"/>
          <w:szCs w:val="20"/>
          <w:lang w:val="fr-FR"/>
        </w:rPr>
        <w:t xml:space="preserve"> la norme ISO 14001 ou le référentiel Eco-Audit. Cette démarche prend en compte l'ensemble des phases du cycle de vie du produit, c'est-à-dire de l’extraction des matières premières à la production, en passant par sa distribution, son utilisation et sa fin de vie (recyclage). C'est une approche préventive et multicritère des problèmes environnementaux </w:t>
      </w:r>
      <w:r w:rsidR="00270335" w:rsidRPr="00624EEA">
        <w:rPr>
          <w:rFonts w:ascii="Arial" w:hAnsi="Arial" w:cs="Arial"/>
          <w:sz w:val="20"/>
          <w:szCs w:val="20"/>
          <w:lang w:val="fr-FR"/>
        </w:rPr>
        <w:t xml:space="preserve">qui tient en </w:t>
      </w:r>
      <w:r w:rsidR="00270335" w:rsidRPr="008F6C37">
        <w:rPr>
          <w:rFonts w:ascii="Arial" w:hAnsi="Arial" w:cs="Arial"/>
          <w:sz w:val="20"/>
          <w:szCs w:val="20"/>
          <w:lang w:val="fr-FR"/>
        </w:rPr>
        <w:t xml:space="preserve">compte </w:t>
      </w:r>
      <w:r w:rsidR="00C23D9B" w:rsidRPr="008F6C37">
        <w:rPr>
          <w:rFonts w:ascii="Arial" w:hAnsi="Arial" w:cs="Arial"/>
          <w:sz w:val="20"/>
          <w:szCs w:val="20"/>
          <w:lang w:val="fr-FR"/>
        </w:rPr>
        <w:t>entre autres</w:t>
      </w:r>
      <w:r w:rsidR="00270335" w:rsidRPr="008F6C37">
        <w:rPr>
          <w:rFonts w:ascii="Arial" w:hAnsi="Arial" w:cs="Arial"/>
          <w:sz w:val="20"/>
          <w:szCs w:val="20"/>
          <w:lang w:val="fr-FR"/>
        </w:rPr>
        <w:t xml:space="preserve"> </w:t>
      </w:r>
      <w:r w:rsidRPr="008F6C37">
        <w:rPr>
          <w:rFonts w:ascii="Arial" w:hAnsi="Arial" w:cs="Arial"/>
          <w:sz w:val="20"/>
          <w:szCs w:val="20"/>
          <w:lang w:val="fr-FR"/>
        </w:rPr>
        <w:t xml:space="preserve">: </w:t>
      </w:r>
      <w:r w:rsidR="00270335" w:rsidRPr="008F6C37">
        <w:rPr>
          <w:rFonts w:ascii="Arial" w:hAnsi="Arial" w:cs="Arial"/>
          <w:sz w:val="20"/>
          <w:szCs w:val="20"/>
          <w:lang w:val="fr-FR"/>
        </w:rPr>
        <w:t>l’</w:t>
      </w:r>
      <w:r w:rsidRPr="008F6C37">
        <w:rPr>
          <w:rFonts w:ascii="Arial" w:hAnsi="Arial" w:cs="Arial"/>
          <w:sz w:val="20"/>
          <w:szCs w:val="20"/>
          <w:lang w:val="fr-FR"/>
        </w:rPr>
        <w:t xml:space="preserve">eau, </w:t>
      </w:r>
      <w:r w:rsidR="00270335" w:rsidRPr="008F6C37">
        <w:rPr>
          <w:rFonts w:ascii="Arial" w:hAnsi="Arial" w:cs="Arial"/>
          <w:sz w:val="20"/>
          <w:szCs w:val="20"/>
          <w:lang w:val="fr-FR"/>
        </w:rPr>
        <w:t>l’</w:t>
      </w:r>
      <w:r w:rsidRPr="008F6C37">
        <w:rPr>
          <w:rFonts w:ascii="Arial" w:hAnsi="Arial" w:cs="Arial"/>
          <w:sz w:val="20"/>
          <w:szCs w:val="20"/>
          <w:lang w:val="fr-FR"/>
        </w:rPr>
        <w:t xml:space="preserve">air, </w:t>
      </w:r>
      <w:r w:rsidR="00270335" w:rsidRPr="00624EEA">
        <w:rPr>
          <w:rFonts w:ascii="Arial" w:hAnsi="Arial" w:cs="Arial"/>
          <w:sz w:val="20"/>
          <w:szCs w:val="20"/>
          <w:lang w:val="fr-FR"/>
        </w:rPr>
        <w:t xml:space="preserve">le </w:t>
      </w:r>
      <w:r w:rsidRPr="00624EEA">
        <w:rPr>
          <w:rFonts w:ascii="Arial" w:hAnsi="Arial" w:cs="Arial"/>
          <w:sz w:val="20"/>
          <w:szCs w:val="20"/>
          <w:lang w:val="fr-FR"/>
        </w:rPr>
        <w:t xml:space="preserve">sol, </w:t>
      </w:r>
      <w:r w:rsidR="00270335" w:rsidRPr="00624EEA">
        <w:rPr>
          <w:rFonts w:ascii="Arial" w:hAnsi="Arial" w:cs="Arial"/>
          <w:sz w:val="20"/>
          <w:szCs w:val="20"/>
          <w:lang w:val="fr-FR"/>
        </w:rPr>
        <w:t xml:space="preserve">le </w:t>
      </w:r>
      <w:r w:rsidRPr="00624EEA">
        <w:rPr>
          <w:rFonts w:ascii="Arial" w:hAnsi="Arial" w:cs="Arial"/>
          <w:sz w:val="20"/>
          <w:szCs w:val="20"/>
          <w:lang w:val="fr-FR"/>
        </w:rPr>
        <w:t xml:space="preserve">bruit, </w:t>
      </w:r>
      <w:r w:rsidR="00270335" w:rsidRPr="00624EEA">
        <w:rPr>
          <w:rFonts w:ascii="Arial" w:hAnsi="Arial" w:cs="Arial"/>
          <w:sz w:val="20"/>
          <w:szCs w:val="20"/>
          <w:lang w:val="fr-FR"/>
        </w:rPr>
        <w:t xml:space="preserve">les </w:t>
      </w:r>
      <w:r w:rsidRPr="00624EEA">
        <w:rPr>
          <w:rFonts w:ascii="Arial" w:hAnsi="Arial" w:cs="Arial"/>
          <w:sz w:val="20"/>
          <w:szCs w:val="20"/>
          <w:lang w:val="fr-FR"/>
        </w:rPr>
        <w:t xml:space="preserve">déchets, </w:t>
      </w:r>
      <w:r w:rsidR="00270335" w:rsidRPr="00624EEA">
        <w:rPr>
          <w:rFonts w:ascii="Arial" w:hAnsi="Arial" w:cs="Arial"/>
          <w:sz w:val="20"/>
          <w:szCs w:val="20"/>
          <w:lang w:val="fr-FR"/>
        </w:rPr>
        <w:t xml:space="preserve">les </w:t>
      </w:r>
      <w:r w:rsidRPr="00624EEA">
        <w:rPr>
          <w:rFonts w:ascii="Arial" w:hAnsi="Arial" w:cs="Arial"/>
          <w:sz w:val="20"/>
          <w:szCs w:val="20"/>
          <w:lang w:val="fr-FR"/>
        </w:rPr>
        <w:t>matières premières</w:t>
      </w:r>
      <w:r w:rsidR="00270335" w:rsidRPr="00624EEA">
        <w:rPr>
          <w:rFonts w:ascii="Arial" w:hAnsi="Arial" w:cs="Arial"/>
          <w:sz w:val="20"/>
          <w:szCs w:val="20"/>
          <w:lang w:val="fr-FR"/>
        </w:rPr>
        <w:t xml:space="preserve"> et l’</w:t>
      </w:r>
      <w:r w:rsidRPr="00624EEA">
        <w:rPr>
          <w:rFonts w:ascii="Arial" w:hAnsi="Arial" w:cs="Arial"/>
          <w:sz w:val="20"/>
          <w:szCs w:val="20"/>
          <w:lang w:val="fr-FR"/>
        </w:rPr>
        <w:t>énergie</w:t>
      </w:r>
      <w:r w:rsidR="00270335" w:rsidRPr="00624EEA">
        <w:rPr>
          <w:rFonts w:ascii="Arial" w:hAnsi="Arial" w:cs="Arial"/>
          <w:sz w:val="20"/>
          <w:szCs w:val="20"/>
          <w:lang w:val="fr-FR"/>
        </w:rPr>
        <w:t>.</w:t>
      </w:r>
      <w:r w:rsidRPr="00624EEA">
        <w:rPr>
          <w:rFonts w:ascii="Arial" w:hAnsi="Arial" w:cs="Arial"/>
          <w:sz w:val="20"/>
          <w:szCs w:val="20"/>
          <w:lang w:val="fr-FR"/>
        </w:rPr>
        <w:t xml:space="preserve"> L'objectif principal de la démarche est de diminuer quantitativement et/ou qualitativement les impacts d'un produit ou d'un service, tout en conservant ses qualités et ses performances intrinsèques. </w:t>
      </w:r>
    </w:p>
    <w:p w14:paraId="5D41BE94" w14:textId="77777777" w:rsidR="008178AA" w:rsidRPr="00624EEA" w:rsidRDefault="008178AA" w:rsidP="008178AA">
      <w:pPr>
        <w:spacing w:line="240" w:lineRule="auto"/>
        <w:rPr>
          <w:rFonts w:ascii="Arial" w:hAnsi="Arial" w:cs="Arial"/>
          <w:sz w:val="20"/>
          <w:szCs w:val="20"/>
          <w:lang w:val="fr-FR"/>
        </w:rPr>
      </w:pPr>
      <w:r w:rsidRPr="00624EEA">
        <w:rPr>
          <w:rFonts w:ascii="Arial" w:hAnsi="Arial" w:cs="Arial"/>
          <w:sz w:val="20"/>
          <w:szCs w:val="20"/>
          <w:lang w:val="fr-FR"/>
        </w:rPr>
        <w:t xml:space="preserve">L'éco - conception vise : </w:t>
      </w:r>
    </w:p>
    <w:p w14:paraId="3E391300" w14:textId="77777777" w:rsidR="008178AA" w:rsidRPr="00624EEA" w:rsidRDefault="008178AA" w:rsidP="00393CA8">
      <w:pPr>
        <w:pStyle w:val="Pardeliste"/>
        <w:numPr>
          <w:ilvl w:val="0"/>
          <w:numId w:val="38"/>
        </w:numPr>
        <w:spacing w:line="240" w:lineRule="auto"/>
        <w:rPr>
          <w:rFonts w:ascii="Arial" w:hAnsi="Arial" w:cs="Arial"/>
          <w:sz w:val="20"/>
          <w:szCs w:val="20"/>
          <w:lang w:val="fr-FR"/>
        </w:rPr>
      </w:pPr>
      <w:r w:rsidRPr="00624EEA">
        <w:rPr>
          <w:rFonts w:ascii="Arial" w:hAnsi="Arial" w:cs="Arial"/>
          <w:sz w:val="20"/>
          <w:szCs w:val="20"/>
          <w:lang w:val="fr-FR"/>
        </w:rPr>
        <w:t>à évaluer les principaux impacts d'un produit ou d'un service grâce à différentes méthodologies et divers outils,</w:t>
      </w:r>
    </w:p>
    <w:p w14:paraId="2E9ABBAC" w14:textId="77777777" w:rsidR="008178AA" w:rsidRPr="00624EEA" w:rsidRDefault="008178AA" w:rsidP="00393CA8">
      <w:pPr>
        <w:pStyle w:val="Pardeliste"/>
        <w:numPr>
          <w:ilvl w:val="0"/>
          <w:numId w:val="38"/>
        </w:numPr>
        <w:spacing w:line="240" w:lineRule="auto"/>
        <w:rPr>
          <w:rFonts w:ascii="Arial" w:hAnsi="Arial" w:cs="Arial"/>
          <w:sz w:val="20"/>
          <w:szCs w:val="20"/>
          <w:lang w:val="fr-FR"/>
        </w:rPr>
      </w:pPr>
      <w:r w:rsidRPr="00624EEA">
        <w:rPr>
          <w:rFonts w:ascii="Arial" w:hAnsi="Arial" w:cs="Arial"/>
          <w:sz w:val="20"/>
          <w:szCs w:val="20"/>
          <w:lang w:val="fr-FR"/>
        </w:rPr>
        <w:t xml:space="preserve">à minimiser ces impacts par différentes mesures : changement de matériaux, meilleure efficacité énergétique, </w:t>
      </w:r>
      <w:r w:rsidR="0098591C" w:rsidRPr="00624EEA">
        <w:rPr>
          <w:rFonts w:ascii="Arial" w:hAnsi="Arial" w:cs="Arial"/>
          <w:sz w:val="20"/>
          <w:szCs w:val="20"/>
          <w:lang w:val="fr-FR"/>
        </w:rPr>
        <w:t>recyclage</w:t>
      </w:r>
      <w:r w:rsidRPr="00624EEA">
        <w:rPr>
          <w:rFonts w:ascii="Arial" w:hAnsi="Arial" w:cs="Arial"/>
          <w:sz w:val="20"/>
          <w:szCs w:val="20"/>
          <w:lang w:val="fr-FR"/>
        </w:rPr>
        <w:t xml:space="preserve"> des matériaux, reprise des produits en fin de vie, ...</w:t>
      </w:r>
    </w:p>
    <w:p w14:paraId="011E72B4" w14:textId="77777777" w:rsidR="008178AA" w:rsidRPr="00624EEA" w:rsidRDefault="008178AA" w:rsidP="008178AA">
      <w:pPr>
        <w:spacing w:line="240" w:lineRule="auto"/>
        <w:rPr>
          <w:rFonts w:ascii="Arial" w:hAnsi="Arial" w:cs="Arial"/>
          <w:sz w:val="20"/>
          <w:szCs w:val="20"/>
          <w:lang w:val="fr-FR"/>
        </w:rPr>
      </w:pPr>
      <w:r w:rsidRPr="00624EEA">
        <w:rPr>
          <w:rFonts w:ascii="Arial" w:hAnsi="Arial" w:cs="Arial"/>
          <w:sz w:val="20"/>
          <w:szCs w:val="20"/>
          <w:lang w:val="fr-FR"/>
        </w:rPr>
        <w:t>En mai 1998, l'AFNOR a publié un fascicule de documentation qui décrit ces diverses méthodes : FD X30-310 (prise en compte de l'environnement dans la conception des produits).</w:t>
      </w:r>
    </w:p>
    <w:p w14:paraId="0823263B" w14:textId="77777777" w:rsidR="008178AA" w:rsidRPr="00624EEA" w:rsidRDefault="008178AA" w:rsidP="008178AA">
      <w:pPr>
        <w:spacing w:line="240" w:lineRule="auto"/>
        <w:rPr>
          <w:rFonts w:ascii="Arial" w:hAnsi="Arial" w:cs="Arial"/>
          <w:sz w:val="20"/>
          <w:szCs w:val="20"/>
          <w:lang w:val="fr-FR"/>
        </w:rPr>
      </w:pPr>
      <w:r w:rsidRPr="00624EEA">
        <w:rPr>
          <w:rFonts w:ascii="Arial" w:hAnsi="Arial" w:cs="Arial"/>
          <w:sz w:val="20"/>
          <w:szCs w:val="20"/>
          <w:lang w:val="fr-FR"/>
        </w:rPr>
        <w:t>La démarche est également standardisée au niveau international par l'ISO 14062.</w:t>
      </w:r>
    </w:p>
    <w:p w14:paraId="477E59CF" w14:textId="77777777" w:rsidR="008178AA" w:rsidRPr="00624EEA" w:rsidRDefault="008178AA" w:rsidP="008178AA">
      <w:pPr>
        <w:spacing w:line="240" w:lineRule="auto"/>
        <w:rPr>
          <w:rFonts w:ascii="Arial" w:hAnsi="Arial" w:cs="Arial"/>
          <w:sz w:val="20"/>
          <w:szCs w:val="20"/>
          <w:lang w:val="fr-FR"/>
        </w:rPr>
      </w:pPr>
      <w:r w:rsidRPr="00624EEA">
        <w:rPr>
          <w:rFonts w:ascii="Arial" w:hAnsi="Arial" w:cs="Arial"/>
          <w:sz w:val="20"/>
          <w:szCs w:val="20"/>
          <w:lang w:val="fr-FR"/>
        </w:rPr>
        <w:t>(Source :</w:t>
      </w:r>
      <w:hyperlink r:id="rId22" w:history="1">
        <w:r w:rsidRPr="00624EEA">
          <w:rPr>
            <w:rStyle w:val="Lienhypertexte"/>
            <w:rFonts w:ascii="Arial" w:hAnsi="Arial" w:cs="Arial"/>
            <w:color w:val="auto"/>
            <w:sz w:val="20"/>
            <w:szCs w:val="20"/>
            <w:u w:val="none"/>
            <w:lang w:val="fr-FR"/>
          </w:rPr>
          <w:t>http://www.actu-environnement.com/ae/dictionnaire_environnement/definition/eco-conception.php4</w:t>
        </w:r>
      </w:hyperlink>
      <w:r w:rsidRPr="00624EEA">
        <w:rPr>
          <w:rFonts w:ascii="Arial" w:hAnsi="Arial" w:cs="Arial"/>
          <w:sz w:val="20"/>
          <w:szCs w:val="20"/>
          <w:lang w:val="fr-FR"/>
        </w:rPr>
        <w:t>)</w:t>
      </w:r>
    </w:p>
    <w:p w14:paraId="55483E44" w14:textId="77777777" w:rsidR="00D1078D" w:rsidRPr="00624EEA" w:rsidRDefault="00D1078D" w:rsidP="00A73FCE">
      <w:pPr>
        <w:spacing w:after="0" w:line="240" w:lineRule="auto"/>
        <w:rPr>
          <w:rFonts w:ascii="Arial" w:hAnsi="Arial" w:cs="Arial"/>
          <w:b/>
          <w:sz w:val="20"/>
          <w:szCs w:val="20"/>
          <w:u w:val="single"/>
          <w:lang w:val="fr-FR"/>
        </w:rPr>
      </w:pPr>
    </w:p>
    <w:p w14:paraId="4F89939D" w14:textId="77777777" w:rsidR="00A73FCE" w:rsidRPr="00624EEA" w:rsidRDefault="008178AA" w:rsidP="00D1078D">
      <w:pPr>
        <w:spacing w:after="0" w:line="240" w:lineRule="auto"/>
        <w:rPr>
          <w:rFonts w:ascii="Arial" w:hAnsi="Arial" w:cs="Arial"/>
          <w:sz w:val="20"/>
          <w:szCs w:val="20"/>
          <w:lang w:val="fr-FR"/>
        </w:rPr>
      </w:pPr>
      <w:r w:rsidRPr="00624EEA">
        <w:rPr>
          <w:rFonts w:ascii="Arial" w:hAnsi="Arial" w:cs="Arial"/>
          <w:b/>
          <w:sz w:val="20"/>
          <w:szCs w:val="20"/>
          <w:lang w:val="fr-FR"/>
        </w:rPr>
        <w:t>Ecole verte</w:t>
      </w:r>
    </w:p>
    <w:p w14:paraId="6BF0D0DD" w14:textId="77777777" w:rsidR="00D3048A" w:rsidRPr="00624EEA" w:rsidRDefault="008178AA" w:rsidP="008178AA">
      <w:pPr>
        <w:spacing w:line="240" w:lineRule="auto"/>
        <w:rPr>
          <w:rFonts w:ascii="Arial" w:hAnsi="Arial" w:cs="Arial"/>
          <w:sz w:val="20"/>
          <w:szCs w:val="20"/>
          <w:lang w:val="fr-FR"/>
        </w:rPr>
      </w:pPr>
      <w:r w:rsidRPr="00624EEA">
        <w:rPr>
          <w:rFonts w:ascii="Arial" w:hAnsi="Arial" w:cs="Arial"/>
          <w:sz w:val="20"/>
          <w:szCs w:val="20"/>
          <w:lang w:val="fr-FR"/>
        </w:rPr>
        <w:t xml:space="preserve">Pour être qualifiées de « vertes », les écoles devraient notamment comprendre les caractéristiques suivantes : </w:t>
      </w:r>
    </w:p>
    <w:p w14:paraId="10899E88" w14:textId="77777777" w:rsidR="00D3048A" w:rsidRPr="00624EEA" w:rsidRDefault="008178AA" w:rsidP="00520D78">
      <w:pPr>
        <w:pStyle w:val="Pardeliste"/>
        <w:numPr>
          <w:ilvl w:val="0"/>
          <w:numId w:val="4"/>
        </w:numPr>
        <w:spacing w:line="240" w:lineRule="auto"/>
        <w:rPr>
          <w:rFonts w:ascii="Arial" w:hAnsi="Arial" w:cs="Arial"/>
          <w:sz w:val="20"/>
          <w:szCs w:val="20"/>
          <w:lang w:val="fr-FR"/>
        </w:rPr>
      </w:pPr>
      <w:r w:rsidRPr="00624EEA">
        <w:rPr>
          <w:rFonts w:ascii="Arial" w:hAnsi="Arial" w:cs="Arial"/>
          <w:sz w:val="20"/>
          <w:szCs w:val="20"/>
          <w:lang w:val="fr-FR"/>
        </w:rPr>
        <w:t xml:space="preserve">utilisation de matériaux de construction qui respectent l’environnement, </w:t>
      </w:r>
    </w:p>
    <w:p w14:paraId="0A937EC8" w14:textId="77777777" w:rsidR="00D3048A" w:rsidRPr="00624EEA" w:rsidRDefault="008178AA" w:rsidP="00520D78">
      <w:pPr>
        <w:pStyle w:val="Pardeliste"/>
        <w:numPr>
          <w:ilvl w:val="0"/>
          <w:numId w:val="4"/>
        </w:numPr>
        <w:spacing w:line="240" w:lineRule="auto"/>
        <w:rPr>
          <w:rFonts w:ascii="Arial" w:hAnsi="Arial" w:cs="Arial"/>
          <w:sz w:val="20"/>
          <w:szCs w:val="20"/>
          <w:lang w:val="fr-FR"/>
        </w:rPr>
      </w:pPr>
      <w:r w:rsidRPr="00624EEA">
        <w:rPr>
          <w:rFonts w:ascii="Arial" w:hAnsi="Arial" w:cs="Arial"/>
          <w:sz w:val="20"/>
          <w:szCs w:val="20"/>
          <w:lang w:val="fr-FR"/>
        </w:rPr>
        <w:t xml:space="preserve">gestion responsable des déchets solides notamment par le compostage et le recyclage, </w:t>
      </w:r>
    </w:p>
    <w:p w14:paraId="57737B0C" w14:textId="77777777" w:rsidR="00D3048A" w:rsidRPr="00624EEA" w:rsidRDefault="008178AA" w:rsidP="00520D78">
      <w:pPr>
        <w:pStyle w:val="Pardeliste"/>
        <w:numPr>
          <w:ilvl w:val="0"/>
          <w:numId w:val="4"/>
        </w:numPr>
        <w:spacing w:line="240" w:lineRule="auto"/>
        <w:rPr>
          <w:rFonts w:ascii="Arial" w:hAnsi="Arial" w:cs="Arial"/>
          <w:sz w:val="20"/>
          <w:szCs w:val="20"/>
          <w:lang w:val="fr-FR"/>
        </w:rPr>
      </w:pPr>
      <w:r w:rsidRPr="00624EEA">
        <w:rPr>
          <w:rFonts w:ascii="Arial" w:hAnsi="Arial" w:cs="Arial"/>
          <w:sz w:val="20"/>
          <w:szCs w:val="20"/>
          <w:lang w:val="fr-FR"/>
        </w:rPr>
        <w:t xml:space="preserve">cantines scolaires utilisant des foyers améliorés, des carburants de substitution ou des fours solaires, </w:t>
      </w:r>
    </w:p>
    <w:p w14:paraId="044464A3" w14:textId="77777777" w:rsidR="00D3048A" w:rsidRPr="00624EEA" w:rsidRDefault="008178AA" w:rsidP="00520D78">
      <w:pPr>
        <w:pStyle w:val="Pardeliste"/>
        <w:numPr>
          <w:ilvl w:val="0"/>
          <w:numId w:val="4"/>
        </w:numPr>
        <w:spacing w:line="240" w:lineRule="auto"/>
        <w:rPr>
          <w:rFonts w:ascii="Arial" w:hAnsi="Arial" w:cs="Arial"/>
          <w:sz w:val="20"/>
          <w:szCs w:val="20"/>
          <w:lang w:val="fr-FR"/>
        </w:rPr>
      </w:pPr>
      <w:r w:rsidRPr="00624EEA">
        <w:rPr>
          <w:rFonts w:ascii="Arial" w:hAnsi="Arial" w:cs="Arial"/>
          <w:sz w:val="20"/>
          <w:szCs w:val="20"/>
          <w:lang w:val="fr-FR"/>
        </w:rPr>
        <w:t xml:space="preserve">utilisation d’énergie renouvelable pour l’électricité lorsque les écoles sont éloignées du réseau électrique, </w:t>
      </w:r>
    </w:p>
    <w:p w14:paraId="4ED57C8F" w14:textId="77777777" w:rsidR="00D3048A" w:rsidRPr="00624EEA" w:rsidRDefault="008178AA" w:rsidP="00520D78">
      <w:pPr>
        <w:pStyle w:val="Pardeliste"/>
        <w:numPr>
          <w:ilvl w:val="0"/>
          <w:numId w:val="4"/>
        </w:numPr>
        <w:spacing w:line="240" w:lineRule="auto"/>
        <w:rPr>
          <w:rFonts w:ascii="Arial" w:hAnsi="Arial" w:cs="Arial"/>
          <w:sz w:val="20"/>
          <w:szCs w:val="20"/>
          <w:lang w:val="fr-FR"/>
        </w:rPr>
      </w:pPr>
      <w:r w:rsidRPr="00624EEA">
        <w:rPr>
          <w:rFonts w:ascii="Arial" w:hAnsi="Arial" w:cs="Arial"/>
          <w:sz w:val="20"/>
          <w:szCs w:val="20"/>
          <w:lang w:val="fr-FR"/>
        </w:rPr>
        <w:t>présence de jardins scolaires</w:t>
      </w:r>
      <w:r w:rsidR="00D3048A" w:rsidRPr="00624EEA">
        <w:rPr>
          <w:rFonts w:ascii="Arial" w:hAnsi="Arial" w:cs="Arial"/>
          <w:sz w:val="20"/>
          <w:szCs w:val="20"/>
          <w:lang w:val="fr-FR"/>
        </w:rPr>
        <w:t xml:space="preserve"> et</w:t>
      </w:r>
      <w:r w:rsidRPr="00624EEA">
        <w:rPr>
          <w:rFonts w:ascii="Arial" w:hAnsi="Arial" w:cs="Arial"/>
          <w:sz w:val="20"/>
          <w:szCs w:val="20"/>
          <w:lang w:val="fr-FR"/>
        </w:rPr>
        <w:t xml:space="preserve"> plantations d’arbres dans la cour d’école, </w:t>
      </w:r>
    </w:p>
    <w:p w14:paraId="6F184E64" w14:textId="77777777" w:rsidR="00D3048A" w:rsidRPr="00624EEA" w:rsidRDefault="00D3048A" w:rsidP="00520D78">
      <w:pPr>
        <w:pStyle w:val="Pardeliste"/>
        <w:numPr>
          <w:ilvl w:val="0"/>
          <w:numId w:val="4"/>
        </w:numPr>
        <w:spacing w:line="240" w:lineRule="auto"/>
        <w:rPr>
          <w:rFonts w:ascii="Arial" w:hAnsi="Arial" w:cs="Arial"/>
          <w:sz w:val="20"/>
          <w:szCs w:val="20"/>
          <w:lang w:val="fr-FR"/>
        </w:rPr>
      </w:pPr>
      <w:r w:rsidRPr="00624EEA">
        <w:rPr>
          <w:rFonts w:ascii="Arial" w:hAnsi="Arial" w:cs="Arial"/>
          <w:sz w:val="20"/>
          <w:szCs w:val="20"/>
          <w:lang w:val="fr-FR"/>
        </w:rPr>
        <w:t xml:space="preserve">présence de </w:t>
      </w:r>
      <w:r w:rsidR="008178AA" w:rsidRPr="00624EEA">
        <w:rPr>
          <w:rFonts w:ascii="Arial" w:hAnsi="Arial" w:cs="Arial"/>
          <w:sz w:val="20"/>
          <w:szCs w:val="20"/>
          <w:lang w:val="fr-FR"/>
        </w:rPr>
        <w:t xml:space="preserve">lumière naturelle dans les classes notamment avec des puits de lumières, </w:t>
      </w:r>
    </w:p>
    <w:p w14:paraId="1284475F" w14:textId="77777777" w:rsidR="00D3048A" w:rsidRPr="00624EEA" w:rsidRDefault="00D3048A" w:rsidP="00520D78">
      <w:pPr>
        <w:pStyle w:val="Pardeliste"/>
        <w:numPr>
          <w:ilvl w:val="0"/>
          <w:numId w:val="4"/>
        </w:numPr>
        <w:spacing w:line="240" w:lineRule="auto"/>
        <w:rPr>
          <w:rFonts w:ascii="Arial" w:hAnsi="Arial" w:cs="Arial"/>
          <w:sz w:val="20"/>
          <w:szCs w:val="20"/>
          <w:lang w:val="fr-FR"/>
        </w:rPr>
      </w:pPr>
      <w:r w:rsidRPr="00624EEA">
        <w:rPr>
          <w:rFonts w:ascii="Arial" w:hAnsi="Arial" w:cs="Arial"/>
          <w:sz w:val="20"/>
          <w:szCs w:val="20"/>
          <w:lang w:val="fr-FR"/>
        </w:rPr>
        <w:t xml:space="preserve">présence d’une </w:t>
      </w:r>
      <w:r w:rsidR="008178AA" w:rsidRPr="00624EEA">
        <w:rPr>
          <w:rFonts w:ascii="Arial" w:hAnsi="Arial" w:cs="Arial"/>
          <w:sz w:val="20"/>
          <w:szCs w:val="20"/>
          <w:lang w:val="fr-FR"/>
        </w:rPr>
        <w:t>aération adéquate</w:t>
      </w:r>
      <w:r w:rsidRPr="00624EEA">
        <w:rPr>
          <w:rFonts w:ascii="Arial" w:hAnsi="Arial" w:cs="Arial"/>
          <w:sz w:val="20"/>
          <w:szCs w:val="20"/>
          <w:lang w:val="fr-FR"/>
        </w:rPr>
        <w:t xml:space="preserve"> dans les classes</w:t>
      </w:r>
      <w:r w:rsidR="008178AA" w:rsidRPr="00624EEA">
        <w:rPr>
          <w:rFonts w:ascii="Arial" w:hAnsi="Arial" w:cs="Arial"/>
          <w:sz w:val="20"/>
          <w:szCs w:val="20"/>
          <w:lang w:val="fr-FR"/>
        </w:rPr>
        <w:t xml:space="preserve">, </w:t>
      </w:r>
    </w:p>
    <w:p w14:paraId="77B2B07F" w14:textId="77777777" w:rsidR="00D3048A" w:rsidRPr="00624EEA" w:rsidRDefault="008178AA" w:rsidP="00520D78">
      <w:pPr>
        <w:pStyle w:val="Pardeliste"/>
        <w:numPr>
          <w:ilvl w:val="0"/>
          <w:numId w:val="4"/>
        </w:numPr>
        <w:spacing w:line="240" w:lineRule="auto"/>
        <w:rPr>
          <w:rFonts w:ascii="Arial" w:hAnsi="Arial" w:cs="Arial"/>
          <w:sz w:val="20"/>
          <w:szCs w:val="20"/>
          <w:lang w:val="fr-FR"/>
        </w:rPr>
      </w:pPr>
      <w:r w:rsidRPr="00624EEA">
        <w:rPr>
          <w:rFonts w:ascii="Arial" w:hAnsi="Arial" w:cs="Arial"/>
          <w:sz w:val="20"/>
          <w:szCs w:val="20"/>
          <w:lang w:val="fr-FR"/>
        </w:rPr>
        <w:t>fourniture d’eau potable, de lavabos et de savon pour le lavage des mains,</w:t>
      </w:r>
    </w:p>
    <w:p w14:paraId="1D29DFB1" w14:textId="77777777" w:rsidR="00D3048A" w:rsidRPr="00624EEA" w:rsidRDefault="00D3048A" w:rsidP="00520D78">
      <w:pPr>
        <w:pStyle w:val="Pardeliste"/>
        <w:numPr>
          <w:ilvl w:val="0"/>
          <w:numId w:val="4"/>
        </w:numPr>
        <w:spacing w:line="240" w:lineRule="auto"/>
        <w:rPr>
          <w:rFonts w:ascii="Arial" w:hAnsi="Arial" w:cs="Arial"/>
          <w:sz w:val="20"/>
          <w:szCs w:val="20"/>
          <w:lang w:val="fr-FR"/>
        </w:rPr>
      </w:pPr>
      <w:r w:rsidRPr="00624EEA">
        <w:rPr>
          <w:rFonts w:ascii="Arial" w:hAnsi="Arial" w:cs="Arial"/>
          <w:sz w:val="20"/>
          <w:szCs w:val="20"/>
          <w:lang w:val="fr-FR"/>
        </w:rPr>
        <w:t>présence d’un système</w:t>
      </w:r>
      <w:r w:rsidR="008178AA" w:rsidRPr="00624EEA">
        <w:rPr>
          <w:rFonts w:ascii="Arial" w:hAnsi="Arial" w:cs="Arial"/>
          <w:sz w:val="20"/>
          <w:szCs w:val="20"/>
          <w:lang w:val="fr-FR"/>
        </w:rPr>
        <w:t xml:space="preserve"> d’assainissement adéquat, </w:t>
      </w:r>
    </w:p>
    <w:p w14:paraId="6A773DF9" w14:textId="77777777" w:rsidR="00D3048A" w:rsidRPr="00624EEA" w:rsidRDefault="00D3048A" w:rsidP="00520D78">
      <w:pPr>
        <w:pStyle w:val="Pardeliste"/>
        <w:numPr>
          <w:ilvl w:val="0"/>
          <w:numId w:val="4"/>
        </w:numPr>
        <w:spacing w:line="240" w:lineRule="auto"/>
        <w:rPr>
          <w:rFonts w:ascii="Arial" w:hAnsi="Arial" w:cs="Arial"/>
          <w:sz w:val="20"/>
          <w:szCs w:val="20"/>
          <w:lang w:val="fr-FR"/>
        </w:rPr>
      </w:pPr>
      <w:r w:rsidRPr="00624EEA">
        <w:rPr>
          <w:rFonts w:ascii="Arial" w:hAnsi="Arial" w:cs="Arial"/>
          <w:sz w:val="20"/>
          <w:szCs w:val="20"/>
          <w:lang w:val="fr-FR"/>
        </w:rPr>
        <w:t>mise en place d’</w:t>
      </w:r>
      <w:r w:rsidR="008178AA" w:rsidRPr="00624EEA">
        <w:rPr>
          <w:rFonts w:ascii="Arial" w:hAnsi="Arial" w:cs="Arial"/>
          <w:sz w:val="20"/>
          <w:szCs w:val="20"/>
          <w:lang w:val="fr-FR"/>
        </w:rPr>
        <w:t xml:space="preserve">initiatives d’éducation à l’hygiène, </w:t>
      </w:r>
    </w:p>
    <w:p w14:paraId="7B916DE4" w14:textId="77777777" w:rsidR="00D3048A" w:rsidRPr="00624EEA" w:rsidRDefault="00D3048A" w:rsidP="00520D78">
      <w:pPr>
        <w:pStyle w:val="Pardeliste"/>
        <w:numPr>
          <w:ilvl w:val="0"/>
          <w:numId w:val="4"/>
        </w:numPr>
        <w:spacing w:line="240" w:lineRule="auto"/>
        <w:rPr>
          <w:rFonts w:ascii="Arial" w:hAnsi="Arial" w:cs="Arial"/>
          <w:sz w:val="20"/>
          <w:szCs w:val="20"/>
          <w:lang w:val="fr-FR"/>
        </w:rPr>
      </w:pPr>
      <w:r w:rsidRPr="00624EEA">
        <w:rPr>
          <w:rFonts w:ascii="Arial" w:hAnsi="Arial" w:cs="Arial"/>
          <w:sz w:val="20"/>
          <w:szCs w:val="20"/>
          <w:lang w:val="fr-FR"/>
        </w:rPr>
        <w:t xml:space="preserve">construction de </w:t>
      </w:r>
      <w:r w:rsidR="008178AA" w:rsidRPr="00624EEA">
        <w:rPr>
          <w:rFonts w:ascii="Arial" w:hAnsi="Arial" w:cs="Arial"/>
          <w:sz w:val="20"/>
          <w:szCs w:val="20"/>
          <w:lang w:val="fr-FR"/>
        </w:rPr>
        <w:t xml:space="preserve">bâtiments pouvant résister aux désastres naturels, </w:t>
      </w:r>
    </w:p>
    <w:p w14:paraId="1531CE60" w14:textId="77777777" w:rsidR="00D3048A" w:rsidRPr="00624EEA" w:rsidRDefault="008178AA" w:rsidP="00520D78">
      <w:pPr>
        <w:pStyle w:val="Pardeliste"/>
        <w:numPr>
          <w:ilvl w:val="0"/>
          <w:numId w:val="4"/>
        </w:numPr>
        <w:spacing w:line="240" w:lineRule="auto"/>
        <w:rPr>
          <w:rFonts w:ascii="Arial" w:hAnsi="Arial" w:cs="Arial"/>
          <w:sz w:val="20"/>
          <w:szCs w:val="20"/>
          <w:lang w:val="fr-FR"/>
        </w:rPr>
      </w:pPr>
      <w:r w:rsidRPr="00624EEA">
        <w:rPr>
          <w:rFonts w:ascii="Arial" w:hAnsi="Arial" w:cs="Arial"/>
          <w:sz w:val="20"/>
          <w:szCs w:val="20"/>
          <w:lang w:val="fr-FR"/>
        </w:rPr>
        <w:t xml:space="preserve">présence de comités environnement de parents et d’élèves, </w:t>
      </w:r>
    </w:p>
    <w:p w14:paraId="32C6E6CF" w14:textId="77777777" w:rsidR="008178AA" w:rsidRPr="00624EEA" w:rsidRDefault="00D3048A" w:rsidP="00520D78">
      <w:pPr>
        <w:pStyle w:val="Pardeliste"/>
        <w:numPr>
          <w:ilvl w:val="0"/>
          <w:numId w:val="4"/>
        </w:numPr>
        <w:spacing w:line="240" w:lineRule="auto"/>
        <w:rPr>
          <w:rFonts w:ascii="Arial" w:hAnsi="Arial" w:cs="Arial"/>
          <w:sz w:val="20"/>
          <w:szCs w:val="20"/>
          <w:lang w:val="fr-FR"/>
        </w:rPr>
      </w:pPr>
      <w:r w:rsidRPr="00624EEA">
        <w:rPr>
          <w:rFonts w:ascii="Arial" w:hAnsi="Arial" w:cs="Arial"/>
          <w:sz w:val="20"/>
          <w:szCs w:val="20"/>
          <w:lang w:val="fr-FR"/>
        </w:rPr>
        <w:t>…</w:t>
      </w:r>
      <w:r w:rsidR="008178AA" w:rsidRPr="00624EEA">
        <w:rPr>
          <w:rFonts w:ascii="Arial" w:hAnsi="Arial" w:cs="Arial"/>
          <w:sz w:val="20"/>
          <w:szCs w:val="20"/>
          <w:lang w:val="fr-FR"/>
        </w:rPr>
        <w:t>.</w:t>
      </w:r>
    </w:p>
    <w:p w14:paraId="139153F1" w14:textId="77777777" w:rsidR="008178AA" w:rsidRPr="00624EEA" w:rsidRDefault="008178AA" w:rsidP="008178AA">
      <w:pPr>
        <w:spacing w:line="240" w:lineRule="auto"/>
        <w:rPr>
          <w:rFonts w:ascii="Arial" w:hAnsi="Arial" w:cs="Arial"/>
          <w:sz w:val="20"/>
          <w:szCs w:val="20"/>
          <w:lang w:val="fr-FR"/>
        </w:rPr>
      </w:pPr>
      <w:r w:rsidRPr="00624EEA">
        <w:rPr>
          <w:rFonts w:ascii="Arial" w:hAnsi="Arial" w:cs="Arial"/>
          <w:sz w:val="20"/>
          <w:szCs w:val="20"/>
          <w:lang w:val="fr-FR"/>
        </w:rPr>
        <w:t xml:space="preserve">(Source : Coopération canadienne : Rapport d’évaluation environnementale stratégique. </w:t>
      </w:r>
      <w:r w:rsidR="0098591C" w:rsidRPr="00624EEA">
        <w:rPr>
          <w:rFonts w:ascii="Arial" w:hAnsi="Arial" w:cs="Arial"/>
          <w:sz w:val="20"/>
          <w:szCs w:val="20"/>
          <w:lang w:val="fr-FR"/>
        </w:rPr>
        <w:t>Stratégie de développement pour le Mali, 2014-2019 (draft).</w:t>
      </w:r>
    </w:p>
    <w:p w14:paraId="494DF5A1" w14:textId="77777777" w:rsidR="00D1078D" w:rsidRPr="00624EEA" w:rsidRDefault="00D1078D" w:rsidP="00A73FCE">
      <w:pPr>
        <w:spacing w:after="0" w:line="240" w:lineRule="auto"/>
        <w:rPr>
          <w:rFonts w:ascii="Arial" w:hAnsi="Arial" w:cs="Arial"/>
          <w:b/>
          <w:sz w:val="20"/>
          <w:szCs w:val="20"/>
          <w:u w:val="single"/>
          <w:lang w:val="fr-FR"/>
        </w:rPr>
      </w:pPr>
    </w:p>
    <w:p w14:paraId="4ED4FA5A" w14:textId="77777777" w:rsidR="00A73FCE" w:rsidRPr="00624EEA" w:rsidRDefault="008178AA" w:rsidP="00D1078D">
      <w:pPr>
        <w:spacing w:after="0" w:line="240" w:lineRule="auto"/>
        <w:rPr>
          <w:rFonts w:ascii="Arial" w:hAnsi="Arial" w:cs="Arial"/>
          <w:sz w:val="20"/>
          <w:szCs w:val="20"/>
          <w:lang w:val="fr-FR"/>
        </w:rPr>
      </w:pPr>
      <w:r w:rsidRPr="00624EEA">
        <w:rPr>
          <w:rFonts w:ascii="Arial" w:hAnsi="Arial" w:cs="Arial"/>
          <w:b/>
          <w:sz w:val="20"/>
          <w:szCs w:val="20"/>
          <w:lang w:val="fr-FR"/>
        </w:rPr>
        <w:t>Empreinte écologique</w:t>
      </w:r>
    </w:p>
    <w:p w14:paraId="5B9538DE" w14:textId="77777777" w:rsidR="008178AA" w:rsidRPr="00624EEA" w:rsidRDefault="008178AA" w:rsidP="008178AA">
      <w:pPr>
        <w:spacing w:line="240" w:lineRule="auto"/>
        <w:rPr>
          <w:rFonts w:ascii="Arial" w:hAnsi="Arial" w:cs="Arial"/>
          <w:sz w:val="20"/>
          <w:szCs w:val="20"/>
          <w:lang w:val="fr-FR"/>
        </w:rPr>
      </w:pPr>
      <w:r w:rsidRPr="00624EEA">
        <w:rPr>
          <w:rFonts w:ascii="Arial" w:hAnsi="Arial" w:cs="Arial"/>
          <w:sz w:val="20"/>
          <w:szCs w:val="20"/>
          <w:lang w:val="fr-FR"/>
        </w:rPr>
        <w:t>L’empreinte écologique vise à traduire de manière facilement compréhensible l’impact d’activités humaines sur les écosystèmes et la planète. Elle se mesure généralement en surface (hectares par individu, ou hectares consommés par une ville ou un pays pour répondre à ses besoins, par exemple). Cette surface traduit, grâce à un système de conversion une quantité de ressources nécessaires par système opérant.</w:t>
      </w:r>
    </w:p>
    <w:p w14:paraId="06B38541" w14:textId="77777777" w:rsidR="008178AA" w:rsidRPr="00624EEA" w:rsidRDefault="008178AA" w:rsidP="008178AA">
      <w:pPr>
        <w:spacing w:line="240" w:lineRule="auto"/>
        <w:rPr>
          <w:rFonts w:ascii="Arial" w:hAnsi="Arial" w:cs="Arial"/>
          <w:sz w:val="20"/>
          <w:szCs w:val="20"/>
          <w:lang w:val="fr-FR"/>
        </w:rPr>
      </w:pPr>
      <w:r w:rsidRPr="00624EEA">
        <w:rPr>
          <w:rFonts w:ascii="Arial" w:hAnsi="Arial" w:cs="Arial"/>
          <w:sz w:val="20"/>
          <w:szCs w:val="20"/>
          <w:lang w:val="fr-FR"/>
        </w:rPr>
        <w:t>Plus précisément, l'empreinte écologique quantifie pour un individu ou une population la surface bio productive nécessaire pour produire les principales ressources consommées par cette population et pour absorber ses déchets. L'empreinte écologique peut aussi être utilisée pour donner une mesure des impacts d'activités de production comme l'élevage ou l'extraction d'or ou d'objets tels qu'une voiture, un ordinateur ou un téléphone portable.</w:t>
      </w:r>
    </w:p>
    <w:p w14:paraId="300BB19B" w14:textId="77777777" w:rsidR="008178AA" w:rsidRPr="00624EEA" w:rsidRDefault="008178AA" w:rsidP="008178AA">
      <w:pPr>
        <w:spacing w:line="240" w:lineRule="auto"/>
        <w:rPr>
          <w:rFonts w:ascii="Arial" w:hAnsi="Arial" w:cs="Arial"/>
          <w:sz w:val="20"/>
          <w:szCs w:val="20"/>
          <w:lang w:val="fr-FR"/>
        </w:rPr>
      </w:pPr>
      <w:r w:rsidRPr="00624EEA">
        <w:rPr>
          <w:rFonts w:ascii="Arial" w:hAnsi="Arial" w:cs="Arial"/>
          <w:sz w:val="20"/>
          <w:szCs w:val="20"/>
          <w:lang w:val="fr-FR"/>
        </w:rPr>
        <w:t>Ceci permet de comparer l'empreinte d'une entité par rapport à la surface bio productive locale ou planétaire estimée disponible ou de mesurer s’il augmente ou diminue si l’on dispose de séries de données de base.</w:t>
      </w:r>
    </w:p>
    <w:p w14:paraId="4BA95A7B" w14:textId="77777777" w:rsidR="008178AA" w:rsidRPr="00624EEA" w:rsidRDefault="008178AA" w:rsidP="008178AA">
      <w:pPr>
        <w:spacing w:line="240" w:lineRule="auto"/>
        <w:rPr>
          <w:rFonts w:ascii="Arial" w:hAnsi="Arial" w:cs="Arial"/>
          <w:sz w:val="20"/>
          <w:szCs w:val="20"/>
          <w:lang w:val="fr-FR"/>
        </w:rPr>
      </w:pPr>
      <w:r w:rsidRPr="00624EEA">
        <w:rPr>
          <w:rFonts w:ascii="Arial" w:hAnsi="Arial" w:cs="Arial"/>
          <w:sz w:val="20"/>
          <w:szCs w:val="20"/>
          <w:lang w:val="fr-FR"/>
        </w:rPr>
        <w:t xml:space="preserve">Plusieurs définitions de ce concept récent circulent, toutes basées sur la conversion en équivalent-surface (hectares) des besoins nécessaires à un individu ou à un groupe ou à la fabrication d’un objet ou à la production d’un service. Cette "surface" métaphorique est virtuelle, mais elle traduit une réalité très concrète. </w:t>
      </w:r>
      <w:r w:rsidRPr="00624EEA">
        <w:rPr>
          <w:rFonts w:ascii="Arial" w:hAnsi="Arial" w:cs="Arial"/>
          <w:sz w:val="20"/>
          <w:szCs w:val="20"/>
          <w:lang w:val="fr-FR"/>
        </w:rPr>
        <w:lastRenderedPageBreak/>
        <w:t>Chacun comprend intuitivement que dans un monde fini où la population croît, plus cette "empreinte" est large, plus on s’éloigne de l’idéal de soutenabilité et durabilité du développement. (Autrement dit, métaphoriquement, plus l'entité est "lourde", plus son empreinte sera profonde et moins réversible sur la planète, surtout si la surface dont elle dispose est petite).</w:t>
      </w:r>
    </w:p>
    <w:p w14:paraId="3B00EBFD" w14:textId="77777777" w:rsidR="008178AA" w:rsidRPr="00624EEA" w:rsidRDefault="008178AA" w:rsidP="008178AA">
      <w:pPr>
        <w:spacing w:line="240" w:lineRule="auto"/>
        <w:rPr>
          <w:rFonts w:ascii="Arial" w:hAnsi="Arial" w:cs="Arial"/>
          <w:sz w:val="20"/>
          <w:szCs w:val="20"/>
          <w:lang w:val="fr-FR"/>
        </w:rPr>
      </w:pPr>
      <w:r w:rsidRPr="00624EEA">
        <w:rPr>
          <w:rFonts w:ascii="Arial" w:hAnsi="Arial" w:cs="Arial"/>
          <w:sz w:val="20"/>
          <w:szCs w:val="20"/>
          <w:lang w:val="fr-FR"/>
        </w:rPr>
        <w:t>L’empreinte écologique donne à chacun et à tous une idée de la part de surface planétaire qu’on utilise pour vivre ou survivre. Elle traduit une analyse qualitative globale simplifiée des impacts, en un indice quantitatif cohérent avec son objectif et facilement compréhensible pour tous, quelle que soit la langue, l’âge ou la culture, ce qui lui confère un caractère assez universel. Chacun peut ainsi calculer son empreinte écologique et chercher à la diminuer</w:t>
      </w:r>
    </w:p>
    <w:p w14:paraId="2D6A1171" w14:textId="77777777" w:rsidR="008178AA" w:rsidRPr="00624EEA" w:rsidRDefault="008178AA" w:rsidP="008178AA">
      <w:pPr>
        <w:spacing w:line="240" w:lineRule="auto"/>
        <w:rPr>
          <w:rFonts w:ascii="Arial" w:hAnsi="Arial" w:cs="Arial"/>
          <w:sz w:val="20"/>
          <w:szCs w:val="20"/>
          <w:lang w:val="fr-FR"/>
        </w:rPr>
      </w:pPr>
      <w:r w:rsidRPr="00624EEA">
        <w:rPr>
          <w:rFonts w:ascii="Arial" w:hAnsi="Arial" w:cs="Arial"/>
          <w:sz w:val="20"/>
          <w:szCs w:val="20"/>
          <w:lang w:val="fr-FR"/>
        </w:rPr>
        <w:t>(Source : http://www.techno-science.net/?onglet=glossaire&amp;definition=3467)</w:t>
      </w:r>
    </w:p>
    <w:p w14:paraId="592BEF4B" w14:textId="77777777" w:rsidR="0095297E" w:rsidRPr="00624EEA" w:rsidRDefault="0095297E" w:rsidP="00600CC2">
      <w:pPr>
        <w:spacing w:after="0" w:line="240" w:lineRule="auto"/>
        <w:rPr>
          <w:rFonts w:ascii="Arial" w:eastAsia="Calibri" w:hAnsi="Arial" w:cs="Arial"/>
          <w:b/>
          <w:bCs/>
          <w:sz w:val="20"/>
          <w:szCs w:val="20"/>
          <w:lang w:val="fr-FR"/>
        </w:rPr>
        <w:sectPr w:rsidR="0095297E" w:rsidRPr="00624EEA" w:rsidSect="00715A3F">
          <w:pgSz w:w="11906" w:h="16838"/>
          <w:pgMar w:top="1134" w:right="1021" w:bottom="1134" w:left="1134" w:header="709" w:footer="709" w:gutter="0"/>
          <w:cols w:space="708"/>
          <w:docGrid w:linePitch="360"/>
        </w:sectPr>
      </w:pPr>
    </w:p>
    <w:p w14:paraId="058808E2" w14:textId="77777777" w:rsidR="00282133" w:rsidRPr="002205E1" w:rsidRDefault="00CC3712" w:rsidP="00500D2D">
      <w:pPr>
        <w:pStyle w:val="Titre1"/>
      </w:pPr>
      <w:bookmarkStart w:id="70" w:name="_Toc393900308"/>
      <w:bookmarkStart w:id="71" w:name="_Toc20505670"/>
      <w:r>
        <w:lastRenderedPageBreak/>
        <w:t>7</w:t>
      </w:r>
      <w:r w:rsidR="002205E1" w:rsidRPr="002205E1">
        <w:t xml:space="preserve">. </w:t>
      </w:r>
      <w:r w:rsidR="00282133" w:rsidRPr="002205E1">
        <w:t>Annexes techniques</w:t>
      </w:r>
      <w:bookmarkEnd w:id="70"/>
      <w:bookmarkEnd w:id="71"/>
      <w:r w:rsidR="000B2A2B" w:rsidRPr="002205E1">
        <w:t xml:space="preserve"> </w:t>
      </w:r>
    </w:p>
    <w:p w14:paraId="4EC98A83" w14:textId="77777777" w:rsidR="002205E1" w:rsidRDefault="002205E1" w:rsidP="00282133">
      <w:pPr>
        <w:spacing w:after="0" w:line="240" w:lineRule="auto"/>
        <w:rPr>
          <w:rFonts w:eastAsia="Calibri" w:cs="Arial"/>
          <w:lang w:val="fr-FR" w:eastAsia="fr-FR"/>
        </w:rPr>
      </w:pPr>
    </w:p>
    <w:p w14:paraId="24D39736" w14:textId="77777777" w:rsidR="00282133" w:rsidRPr="00E9332B" w:rsidRDefault="00CC3712" w:rsidP="00913A0C">
      <w:pPr>
        <w:pStyle w:val="Titre2"/>
        <w:rPr>
          <w:lang w:eastAsia="fr-FR"/>
        </w:rPr>
      </w:pPr>
      <w:bookmarkStart w:id="72" w:name="_Toc20505671"/>
      <w:bookmarkStart w:id="73" w:name="_Toc393900309"/>
      <w:r>
        <w:rPr>
          <w:lang w:eastAsia="fr-FR"/>
        </w:rPr>
        <w:t>7</w:t>
      </w:r>
      <w:r w:rsidR="00E9332B" w:rsidRPr="00E9332B">
        <w:rPr>
          <w:lang w:eastAsia="fr-FR"/>
        </w:rPr>
        <w:t xml:space="preserve">.1 </w:t>
      </w:r>
      <w:r w:rsidR="00282133" w:rsidRPr="00E9332B">
        <w:rPr>
          <w:lang w:eastAsia="fr-FR"/>
        </w:rPr>
        <w:t>Cartographie environnementale du Pays</w:t>
      </w:r>
      <w:bookmarkEnd w:id="72"/>
      <w:r w:rsidR="00282133" w:rsidRPr="00E9332B">
        <w:rPr>
          <w:lang w:eastAsia="fr-FR"/>
        </w:rPr>
        <w:t xml:space="preserve"> </w:t>
      </w:r>
      <w:bookmarkEnd w:id="73"/>
    </w:p>
    <w:p w14:paraId="645CC15D" w14:textId="77777777" w:rsidR="00420E98" w:rsidRDefault="00420E98" w:rsidP="00282133">
      <w:pPr>
        <w:spacing w:after="0" w:line="240" w:lineRule="auto"/>
        <w:rPr>
          <w:rFonts w:eastAsia="Calibri" w:cs="Arial"/>
          <w:lang w:val="fr-FR" w:eastAsia="fr-FR"/>
        </w:rPr>
      </w:pPr>
    </w:p>
    <w:p w14:paraId="55730951" w14:textId="77777777" w:rsidR="008138E1" w:rsidRDefault="000F006E" w:rsidP="008C66EC">
      <w:pPr>
        <w:spacing w:after="0" w:line="240" w:lineRule="auto"/>
        <w:jc w:val="center"/>
        <w:rPr>
          <w:rFonts w:eastAsia="Calibri" w:cs="Arial"/>
          <w:lang w:val="fr-FR" w:eastAsia="fr-FR"/>
        </w:rPr>
      </w:pPr>
      <w:r>
        <w:rPr>
          <w:rFonts w:eastAsia="Calibri" w:cs="Arial"/>
          <w:noProof/>
          <w:lang w:val="fr-FR" w:eastAsia="fr-FR"/>
        </w:rPr>
        <w:drawing>
          <wp:inline distT="0" distB="0" distL="0" distR="0" wp14:anchorId="0AE4ABB1" wp14:editId="019B48E5">
            <wp:extent cx="5731510" cy="3915868"/>
            <wp:effectExtent l="0" t="0" r="2540" b="8890"/>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1510" cy="3915868"/>
                    </a:xfrm>
                    <a:prstGeom prst="rect">
                      <a:avLst/>
                    </a:prstGeom>
                    <a:noFill/>
                    <a:ln>
                      <a:noFill/>
                    </a:ln>
                  </pic:spPr>
                </pic:pic>
              </a:graphicData>
            </a:graphic>
          </wp:inline>
        </w:drawing>
      </w:r>
    </w:p>
    <w:p w14:paraId="39393DEB" w14:textId="77777777" w:rsidR="00420E98" w:rsidRDefault="00CC3712" w:rsidP="00525222">
      <w:pPr>
        <w:pStyle w:val="Titre3"/>
      </w:pPr>
      <w:bookmarkStart w:id="74" w:name="_Toc20505672"/>
      <w:r w:rsidRPr="00AA0443">
        <w:t>Annexe 7</w:t>
      </w:r>
      <w:r w:rsidR="008138E1" w:rsidRPr="00AA0443">
        <w:t xml:space="preserve">.1.1 : Carte </w:t>
      </w:r>
      <w:r w:rsidR="000F006E" w:rsidRPr="00AA0443">
        <w:t>administrative</w:t>
      </w:r>
      <w:r w:rsidR="008138E1" w:rsidRPr="00AA0443">
        <w:t xml:space="preserve"> du Mali</w:t>
      </w:r>
      <w:bookmarkEnd w:id="74"/>
    </w:p>
    <w:p w14:paraId="640943E0" w14:textId="77777777" w:rsidR="0095297E" w:rsidRPr="008C66EC" w:rsidRDefault="003F0782" w:rsidP="000F006E">
      <w:pPr>
        <w:spacing w:after="0"/>
        <w:jc w:val="left"/>
        <w:rPr>
          <w:rFonts w:eastAsia="Calibri" w:cs="Arial"/>
          <w:i/>
          <w:lang w:val="fr-FR" w:eastAsia="fr-FR"/>
        </w:rPr>
        <w:sectPr w:rsidR="0095297E" w:rsidRPr="008C66EC" w:rsidSect="007F0BA4">
          <w:pgSz w:w="11906" w:h="16838"/>
          <w:pgMar w:top="1440" w:right="1440" w:bottom="1440" w:left="1440" w:header="709" w:footer="709" w:gutter="0"/>
          <w:cols w:space="708"/>
          <w:docGrid w:linePitch="360"/>
        </w:sectPr>
      </w:pPr>
      <w:r>
        <w:rPr>
          <w:rFonts w:eastAsia="Calibri" w:cs="Arial"/>
          <w:i/>
          <w:lang w:val="fr-FR" w:eastAsia="fr-FR"/>
        </w:rPr>
        <w:t>(</w:t>
      </w:r>
      <w:r w:rsidR="008138E1" w:rsidRPr="008C66EC">
        <w:rPr>
          <w:rFonts w:eastAsia="Calibri" w:cs="Arial"/>
          <w:i/>
          <w:lang w:val="fr-FR" w:eastAsia="fr-FR"/>
        </w:rPr>
        <w:t xml:space="preserve">Source : </w:t>
      </w:r>
      <w:r w:rsidR="000F006E">
        <w:rPr>
          <w:rFonts w:eastAsia="Calibri" w:cs="Arial"/>
          <w:i/>
          <w:lang w:val="fr-FR" w:eastAsia="fr-FR"/>
        </w:rPr>
        <w:t xml:space="preserve">Gouv. du Mali, </w:t>
      </w:r>
      <w:r w:rsidR="000F006E" w:rsidRPr="000F006E">
        <w:rPr>
          <w:rFonts w:eastAsia="Calibri" w:cs="Arial"/>
          <w:i/>
          <w:lang w:val="fr-FR" w:eastAsia="fr-FR"/>
        </w:rPr>
        <w:t xml:space="preserve">rapport national volontaire sur la mise en </w:t>
      </w:r>
      <w:r w:rsidR="000F006E">
        <w:rPr>
          <w:rFonts w:eastAsia="Calibri" w:cs="Arial"/>
          <w:i/>
          <w:lang w:val="fr-FR" w:eastAsia="fr-FR"/>
        </w:rPr>
        <w:t>œuvre des objectifs de dé</w:t>
      </w:r>
      <w:r w:rsidR="000F006E" w:rsidRPr="000F006E">
        <w:rPr>
          <w:rFonts w:eastAsia="Calibri" w:cs="Arial"/>
          <w:i/>
          <w:lang w:val="fr-FR" w:eastAsia="fr-FR"/>
        </w:rPr>
        <w:t>veloppement durable</w:t>
      </w:r>
      <w:r w:rsidR="000F006E">
        <w:rPr>
          <w:rFonts w:eastAsia="Calibri" w:cs="Arial"/>
          <w:i/>
          <w:lang w:val="fr-FR" w:eastAsia="fr-FR"/>
        </w:rPr>
        <w:t>, 2018</w:t>
      </w:r>
      <w:r>
        <w:rPr>
          <w:rFonts w:eastAsia="Calibri" w:cs="Arial"/>
          <w:i/>
          <w:lang w:val="fr-FR" w:eastAsia="fr-FR"/>
        </w:rPr>
        <w:t>)</w:t>
      </w:r>
    </w:p>
    <w:p w14:paraId="527DCA9B" w14:textId="77777777" w:rsidR="00EB3CBF" w:rsidRDefault="00EB3CBF" w:rsidP="00EB3CBF">
      <w:pPr>
        <w:spacing w:after="0"/>
        <w:ind w:left="-567"/>
        <w:jc w:val="center"/>
        <w:rPr>
          <w:rFonts w:cs="Arial"/>
          <w:b/>
          <w:bCs/>
          <w:lang w:val="fr-FR"/>
        </w:rPr>
      </w:pPr>
      <w:r>
        <w:rPr>
          <w:rFonts w:cs="Arial"/>
          <w:b/>
          <w:bCs/>
          <w:noProof/>
          <w:lang w:val="fr-FR" w:eastAsia="fr-FR"/>
        </w:rPr>
        <w:lastRenderedPageBreak/>
        <w:drawing>
          <wp:inline distT="0" distB="0" distL="0" distR="0" wp14:anchorId="3D483762" wp14:editId="16817B4E">
            <wp:extent cx="6481446" cy="59436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zone eco.png"/>
                    <pic:cNvPicPr/>
                  </pic:nvPicPr>
                  <pic:blipFill>
                    <a:blip r:embed="rId24">
                      <a:extLst>
                        <a:ext uri="{28A0092B-C50C-407E-A947-70E740481C1C}">
                          <a14:useLocalDpi xmlns:a14="http://schemas.microsoft.com/office/drawing/2010/main" val="0"/>
                        </a:ext>
                      </a:extLst>
                    </a:blip>
                    <a:stretch>
                      <a:fillRect/>
                    </a:stretch>
                  </pic:blipFill>
                  <pic:spPr>
                    <a:xfrm>
                      <a:off x="0" y="0"/>
                      <a:ext cx="6482081" cy="5944182"/>
                    </a:xfrm>
                    <a:prstGeom prst="rect">
                      <a:avLst/>
                    </a:prstGeom>
                  </pic:spPr>
                </pic:pic>
              </a:graphicData>
            </a:graphic>
          </wp:inline>
        </w:drawing>
      </w:r>
    </w:p>
    <w:p w14:paraId="3ED27B2B" w14:textId="77777777" w:rsidR="008138E1" w:rsidRDefault="008138E1" w:rsidP="00525222">
      <w:pPr>
        <w:pStyle w:val="Titre3"/>
      </w:pPr>
      <w:bookmarkStart w:id="75" w:name="_Toc20505673"/>
      <w:r w:rsidRPr="008138E1">
        <w:t xml:space="preserve">Annexe </w:t>
      </w:r>
      <w:r w:rsidR="00CC3712">
        <w:t>7</w:t>
      </w:r>
      <w:r w:rsidRPr="008138E1">
        <w:t>.1.</w:t>
      </w:r>
      <w:r>
        <w:t>2</w:t>
      </w:r>
      <w:r w:rsidRPr="008138E1">
        <w:t xml:space="preserve"> : Carte </w:t>
      </w:r>
      <w:r>
        <w:t>des principales unités éco-climatiques du Mali</w:t>
      </w:r>
      <w:bookmarkEnd w:id="75"/>
    </w:p>
    <w:p w14:paraId="2BCBF8D0" w14:textId="77777777" w:rsidR="0095297E" w:rsidRPr="008C66EC" w:rsidRDefault="003F0782" w:rsidP="0038103A">
      <w:pPr>
        <w:spacing w:after="0"/>
        <w:jc w:val="left"/>
        <w:rPr>
          <w:rFonts w:eastAsia="Calibri" w:cs="Arial"/>
          <w:i/>
          <w:lang w:val="fr-FR" w:eastAsia="fr-FR"/>
        </w:rPr>
        <w:sectPr w:rsidR="0095297E" w:rsidRPr="008C66EC" w:rsidSect="007F0BA4">
          <w:pgSz w:w="11906" w:h="16838"/>
          <w:pgMar w:top="1440" w:right="1440" w:bottom="1440" w:left="1440" w:header="709" w:footer="709" w:gutter="0"/>
          <w:cols w:space="708"/>
          <w:docGrid w:linePitch="360"/>
        </w:sectPr>
      </w:pPr>
      <w:r>
        <w:rPr>
          <w:rFonts w:eastAsia="Calibri" w:cs="Arial"/>
          <w:i/>
          <w:lang w:val="fr-FR" w:eastAsia="fr-FR"/>
        </w:rPr>
        <w:t>(</w:t>
      </w:r>
      <w:r w:rsidR="008138E1" w:rsidRPr="008C66EC">
        <w:rPr>
          <w:rFonts w:eastAsia="Calibri" w:cs="Arial"/>
          <w:i/>
          <w:lang w:val="fr-FR" w:eastAsia="fr-FR"/>
        </w:rPr>
        <w:t>Source : GIZ, 2012</w:t>
      </w:r>
      <w:r>
        <w:rPr>
          <w:rFonts w:eastAsia="Calibri" w:cs="Arial"/>
          <w:i/>
          <w:lang w:val="fr-FR" w:eastAsia="fr-FR"/>
        </w:rPr>
        <w:t>)</w:t>
      </w:r>
    </w:p>
    <w:p w14:paraId="4B151562" w14:textId="77777777" w:rsidR="00810ACE" w:rsidRDefault="000130F4" w:rsidP="000130F4">
      <w:pPr>
        <w:spacing w:after="200" w:line="276" w:lineRule="auto"/>
        <w:jc w:val="center"/>
        <w:rPr>
          <w:rFonts w:cs="Arial"/>
          <w:b/>
          <w:bCs/>
          <w:lang w:val="fr-FR"/>
        </w:rPr>
      </w:pPr>
      <w:r>
        <w:rPr>
          <w:rFonts w:cs="Arial"/>
          <w:b/>
          <w:bCs/>
          <w:noProof/>
          <w:lang w:val="fr-FR" w:eastAsia="fr-FR"/>
        </w:rPr>
        <w:lastRenderedPageBreak/>
        <w:drawing>
          <wp:inline distT="0" distB="0" distL="0" distR="0" wp14:anchorId="00640FF8" wp14:editId="19C54C27">
            <wp:extent cx="7307474" cy="5114260"/>
            <wp:effectExtent l="0" t="0" r="825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 occupation des sols.png"/>
                    <pic:cNvPicPr/>
                  </pic:nvPicPr>
                  <pic:blipFill>
                    <a:blip r:embed="rId25">
                      <a:extLst>
                        <a:ext uri="{28A0092B-C50C-407E-A947-70E740481C1C}">
                          <a14:useLocalDpi xmlns:a14="http://schemas.microsoft.com/office/drawing/2010/main" val="0"/>
                        </a:ext>
                      </a:extLst>
                    </a:blip>
                    <a:stretch>
                      <a:fillRect/>
                    </a:stretch>
                  </pic:blipFill>
                  <pic:spPr>
                    <a:xfrm>
                      <a:off x="0" y="0"/>
                      <a:ext cx="7318539" cy="5122004"/>
                    </a:xfrm>
                    <a:prstGeom prst="rect">
                      <a:avLst/>
                    </a:prstGeom>
                  </pic:spPr>
                </pic:pic>
              </a:graphicData>
            </a:graphic>
          </wp:inline>
        </w:drawing>
      </w:r>
    </w:p>
    <w:p w14:paraId="02E237EF" w14:textId="77777777" w:rsidR="008138E1" w:rsidRDefault="008138E1" w:rsidP="00525222">
      <w:pPr>
        <w:pStyle w:val="Titre3"/>
      </w:pPr>
      <w:bookmarkStart w:id="76" w:name="_Toc20505674"/>
      <w:r w:rsidRPr="008138E1">
        <w:t xml:space="preserve">Annexe </w:t>
      </w:r>
      <w:r w:rsidR="00CC3712">
        <w:t>7</w:t>
      </w:r>
      <w:r w:rsidRPr="008138E1">
        <w:t>.1.</w:t>
      </w:r>
      <w:r>
        <w:t>3</w:t>
      </w:r>
      <w:r w:rsidRPr="008138E1">
        <w:t xml:space="preserve"> : Carte </w:t>
      </w:r>
      <w:r>
        <w:t>de l’occupation des sols du Mali</w:t>
      </w:r>
      <w:bookmarkEnd w:id="76"/>
    </w:p>
    <w:p w14:paraId="3B886B72" w14:textId="77777777" w:rsidR="0095297E" w:rsidRPr="008C66EC" w:rsidRDefault="008138E1" w:rsidP="0038103A">
      <w:pPr>
        <w:spacing w:after="0"/>
        <w:jc w:val="left"/>
        <w:rPr>
          <w:rFonts w:eastAsia="Calibri" w:cs="Arial"/>
          <w:i/>
          <w:lang w:val="fr-FR" w:eastAsia="fr-FR"/>
        </w:rPr>
        <w:sectPr w:rsidR="0095297E" w:rsidRPr="008C66EC" w:rsidSect="000130F4">
          <w:pgSz w:w="16838" w:h="11906" w:orient="landscape"/>
          <w:pgMar w:top="1440" w:right="1440" w:bottom="1440" w:left="1440" w:header="709" w:footer="709" w:gutter="0"/>
          <w:cols w:space="708"/>
          <w:docGrid w:linePitch="360"/>
        </w:sectPr>
      </w:pPr>
      <w:r w:rsidRPr="008C66EC">
        <w:rPr>
          <w:rFonts w:eastAsia="Calibri" w:cs="Arial"/>
          <w:i/>
          <w:lang w:val="fr-FR" w:eastAsia="fr-FR"/>
        </w:rPr>
        <w:t>(Source :</w:t>
      </w:r>
      <w:r w:rsidR="00151251" w:rsidRPr="008C66EC">
        <w:rPr>
          <w:rFonts w:eastAsia="Calibri" w:cs="Arial"/>
          <w:i/>
          <w:lang w:val="fr-FR" w:eastAsia="fr-FR"/>
        </w:rPr>
        <w:t xml:space="preserve"> ILWAC, 2013</w:t>
      </w:r>
      <w:r w:rsidRPr="008C66EC">
        <w:rPr>
          <w:rFonts w:eastAsia="Calibri" w:cs="Arial"/>
          <w:i/>
          <w:lang w:val="fr-FR" w:eastAsia="fr-FR"/>
        </w:rPr>
        <w:t>)</w:t>
      </w:r>
    </w:p>
    <w:p w14:paraId="7B8EC0EA" w14:textId="77777777" w:rsidR="008138E1" w:rsidRDefault="00CC1808" w:rsidP="00371AF4">
      <w:pPr>
        <w:spacing w:after="0"/>
        <w:jc w:val="center"/>
        <w:rPr>
          <w:rFonts w:cs="Arial"/>
          <w:b/>
          <w:bCs/>
          <w:lang w:val="fr-FR"/>
        </w:rPr>
      </w:pPr>
      <w:r>
        <w:rPr>
          <w:rFonts w:cs="Arial"/>
          <w:b/>
          <w:bCs/>
          <w:noProof/>
          <w:lang w:val="fr-FR" w:eastAsia="fr-FR"/>
        </w:rPr>
        <w:lastRenderedPageBreak/>
        <w:drawing>
          <wp:inline distT="0" distB="0" distL="0" distR="0" wp14:anchorId="41072A58" wp14:editId="4AF04053">
            <wp:extent cx="7391400" cy="5169658"/>
            <wp:effectExtent l="0" t="0" r="0" b="0"/>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7391400" cy="5169658"/>
                    </a:xfrm>
                    <a:prstGeom prst="rect">
                      <a:avLst/>
                    </a:prstGeom>
                    <a:noFill/>
                    <a:ln>
                      <a:noFill/>
                    </a:ln>
                  </pic:spPr>
                </pic:pic>
              </a:graphicData>
            </a:graphic>
          </wp:inline>
        </w:drawing>
      </w:r>
    </w:p>
    <w:p w14:paraId="2E8BD34F" w14:textId="77777777" w:rsidR="008138E1" w:rsidRDefault="008138E1" w:rsidP="00525222">
      <w:pPr>
        <w:pStyle w:val="Titre3"/>
      </w:pPr>
      <w:bookmarkStart w:id="77" w:name="_Toc20505675"/>
      <w:r w:rsidRPr="00AA0443">
        <w:t xml:space="preserve">Annexe </w:t>
      </w:r>
      <w:r w:rsidR="00CC3712" w:rsidRPr="00AA0443">
        <w:t>7</w:t>
      </w:r>
      <w:r w:rsidRPr="00AA0443">
        <w:t xml:space="preserve">.1.4 : Carte de la répartition de la population </w:t>
      </w:r>
      <w:r w:rsidR="0014464A" w:rsidRPr="00AA0443">
        <w:t>par cercle</w:t>
      </w:r>
      <w:bookmarkEnd w:id="77"/>
    </w:p>
    <w:p w14:paraId="453652BE" w14:textId="77777777" w:rsidR="0095297E" w:rsidRPr="008C66EC" w:rsidRDefault="008138E1" w:rsidP="0038103A">
      <w:pPr>
        <w:spacing w:after="0"/>
        <w:jc w:val="left"/>
        <w:rPr>
          <w:rFonts w:eastAsia="Calibri" w:cs="Arial"/>
          <w:i/>
          <w:lang w:val="fr-FR" w:eastAsia="fr-FR"/>
        </w:rPr>
        <w:sectPr w:rsidR="0095297E" w:rsidRPr="008C66EC" w:rsidSect="00B563B1">
          <w:pgSz w:w="16838" w:h="11906" w:orient="landscape"/>
          <w:pgMar w:top="1440" w:right="1440" w:bottom="1440" w:left="1440" w:header="709" w:footer="709" w:gutter="0"/>
          <w:cols w:space="708"/>
          <w:docGrid w:linePitch="360"/>
        </w:sectPr>
      </w:pPr>
      <w:r w:rsidRPr="008C66EC">
        <w:rPr>
          <w:rFonts w:eastAsia="Calibri" w:cs="Arial"/>
          <w:i/>
          <w:lang w:val="fr-FR" w:eastAsia="fr-FR"/>
        </w:rPr>
        <w:t>(Source :</w:t>
      </w:r>
      <w:r w:rsidR="00151251" w:rsidRPr="008C66EC">
        <w:rPr>
          <w:rFonts w:eastAsia="Calibri" w:cs="Arial"/>
          <w:i/>
          <w:lang w:val="fr-FR" w:eastAsia="fr-FR"/>
        </w:rPr>
        <w:t xml:space="preserve"> </w:t>
      </w:r>
      <w:r w:rsidR="0014464A">
        <w:rPr>
          <w:rFonts w:eastAsia="Calibri" w:cs="Arial"/>
          <w:i/>
          <w:lang w:val="fr-FR" w:eastAsia="fr-FR"/>
        </w:rPr>
        <w:t>OCHA</w:t>
      </w:r>
      <w:r w:rsidR="00151251" w:rsidRPr="008C66EC">
        <w:rPr>
          <w:rFonts w:eastAsia="Calibri" w:cs="Arial"/>
          <w:i/>
          <w:lang w:val="fr-FR" w:eastAsia="fr-FR"/>
        </w:rPr>
        <w:t>, 20</w:t>
      </w:r>
      <w:r w:rsidR="0014464A">
        <w:rPr>
          <w:rFonts w:eastAsia="Calibri" w:cs="Arial"/>
          <w:i/>
          <w:lang w:val="fr-FR" w:eastAsia="fr-FR"/>
        </w:rPr>
        <w:t>1</w:t>
      </w:r>
      <w:r w:rsidR="00CC1808">
        <w:rPr>
          <w:rFonts w:eastAsia="Calibri" w:cs="Arial"/>
          <w:i/>
          <w:lang w:val="fr-FR" w:eastAsia="fr-FR"/>
        </w:rPr>
        <w:t>5</w:t>
      </w:r>
      <w:r w:rsidRPr="008C66EC">
        <w:rPr>
          <w:rFonts w:eastAsia="Calibri" w:cs="Arial"/>
          <w:i/>
          <w:lang w:val="fr-FR" w:eastAsia="fr-FR"/>
        </w:rPr>
        <w:t>)</w:t>
      </w:r>
    </w:p>
    <w:p w14:paraId="50112315" w14:textId="77777777" w:rsidR="008138E1" w:rsidRDefault="00510530" w:rsidP="00B563B1">
      <w:pPr>
        <w:spacing w:after="0"/>
        <w:ind w:left="-567"/>
        <w:jc w:val="center"/>
        <w:rPr>
          <w:rFonts w:cs="Arial"/>
          <w:b/>
          <w:bCs/>
          <w:lang w:val="fr-FR"/>
        </w:rPr>
      </w:pPr>
      <w:r>
        <w:rPr>
          <w:rFonts w:cs="Arial"/>
          <w:b/>
          <w:bCs/>
          <w:noProof/>
          <w:lang w:val="fr-FR" w:eastAsia="fr-FR"/>
        </w:rPr>
        <w:lastRenderedPageBreak/>
        <w:drawing>
          <wp:inline distT="0" distB="0" distL="0" distR="0" wp14:anchorId="7DE091B5" wp14:editId="2B42B9A0">
            <wp:extent cx="6587448" cy="6826102"/>
            <wp:effectExtent l="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relief.png"/>
                    <pic:cNvPicPr/>
                  </pic:nvPicPr>
                  <pic:blipFill>
                    <a:blip r:embed="rId27">
                      <a:extLst>
                        <a:ext uri="{28A0092B-C50C-407E-A947-70E740481C1C}">
                          <a14:useLocalDpi xmlns:a14="http://schemas.microsoft.com/office/drawing/2010/main" val="0"/>
                        </a:ext>
                      </a:extLst>
                    </a:blip>
                    <a:stretch>
                      <a:fillRect/>
                    </a:stretch>
                  </pic:blipFill>
                  <pic:spPr>
                    <a:xfrm>
                      <a:off x="0" y="0"/>
                      <a:ext cx="6591269" cy="6830061"/>
                    </a:xfrm>
                    <a:prstGeom prst="rect">
                      <a:avLst/>
                    </a:prstGeom>
                  </pic:spPr>
                </pic:pic>
              </a:graphicData>
            </a:graphic>
          </wp:inline>
        </w:drawing>
      </w:r>
    </w:p>
    <w:p w14:paraId="3C7BB139" w14:textId="77777777" w:rsidR="008138E1" w:rsidRDefault="00CC3712" w:rsidP="00525222">
      <w:pPr>
        <w:pStyle w:val="Titre3"/>
      </w:pPr>
      <w:bookmarkStart w:id="78" w:name="_Toc20505676"/>
      <w:r>
        <w:t>Annexe 7</w:t>
      </w:r>
      <w:r w:rsidR="008138E1" w:rsidRPr="008138E1">
        <w:t>.1.</w:t>
      </w:r>
      <w:r w:rsidR="008138E1">
        <w:t>5</w:t>
      </w:r>
      <w:r w:rsidR="008138E1" w:rsidRPr="008138E1">
        <w:t xml:space="preserve"> : Carte </w:t>
      </w:r>
      <w:r w:rsidR="00151251">
        <w:t>des r</w:t>
      </w:r>
      <w:r w:rsidR="00151251" w:rsidRPr="00151251">
        <w:t>elief</w:t>
      </w:r>
      <w:r w:rsidR="00151251">
        <w:t>s</w:t>
      </w:r>
      <w:r w:rsidR="00151251" w:rsidRPr="00151251">
        <w:t>, villes et communication</w:t>
      </w:r>
      <w:bookmarkEnd w:id="78"/>
    </w:p>
    <w:p w14:paraId="704AB451" w14:textId="77777777" w:rsidR="0095297E" w:rsidRPr="008C66EC" w:rsidRDefault="008138E1" w:rsidP="0038103A">
      <w:pPr>
        <w:spacing w:after="0"/>
        <w:jc w:val="left"/>
        <w:rPr>
          <w:rFonts w:eastAsia="Calibri" w:cs="Arial"/>
          <w:i/>
          <w:lang w:val="fr-FR" w:eastAsia="fr-FR"/>
        </w:rPr>
        <w:sectPr w:rsidR="0095297E" w:rsidRPr="008C66EC" w:rsidSect="007F0BA4">
          <w:pgSz w:w="11906" w:h="16838"/>
          <w:pgMar w:top="1440" w:right="1440" w:bottom="1440" w:left="1440" w:header="709" w:footer="709" w:gutter="0"/>
          <w:cols w:space="708"/>
          <w:docGrid w:linePitch="360"/>
        </w:sectPr>
      </w:pPr>
      <w:r w:rsidRPr="008C66EC">
        <w:rPr>
          <w:rFonts w:eastAsia="Calibri" w:cs="Arial"/>
          <w:i/>
          <w:lang w:val="fr-FR" w:eastAsia="fr-FR"/>
        </w:rPr>
        <w:t>(Source :</w:t>
      </w:r>
      <w:r w:rsidR="00151251" w:rsidRPr="008C66EC">
        <w:rPr>
          <w:rFonts w:eastAsia="Calibri" w:cs="Arial"/>
          <w:i/>
          <w:lang w:val="fr-FR" w:eastAsia="fr-FR"/>
        </w:rPr>
        <w:t xml:space="preserve"> Etude transport nationale, 2013</w:t>
      </w:r>
      <w:r w:rsidRPr="008C66EC">
        <w:rPr>
          <w:rFonts w:eastAsia="Calibri" w:cs="Arial"/>
          <w:i/>
          <w:lang w:val="fr-FR" w:eastAsia="fr-FR"/>
        </w:rPr>
        <w:t>)</w:t>
      </w:r>
    </w:p>
    <w:p w14:paraId="7CF474BE" w14:textId="77777777" w:rsidR="008138E1" w:rsidRDefault="00B563B1" w:rsidP="00B563B1">
      <w:pPr>
        <w:spacing w:after="0"/>
        <w:ind w:left="-567"/>
        <w:jc w:val="center"/>
        <w:rPr>
          <w:rFonts w:cs="Arial"/>
          <w:b/>
          <w:bCs/>
          <w:lang w:val="fr-FR"/>
        </w:rPr>
      </w:pPr>
      <w:r>
        <w:rPr>
          <w:rFonts w:cs="Arial"/>
          <w:b/>
          <w:bCs/>
          <w:noProof/>
          <w:lang w:val="fr-FR" w:eastAsia="fr-FR"/>
        </w:rPr>
        <w:lastRenderedPageBreak/>
        <w:drawing>
          <wp:inline distT="0" distB="0" distL="0" distR="0" wp14:anchorId="39D8061E" wp14:editId="2F6F8251">
            <wp:extent cx="6475228" cy="7478149"/>
            <wp:effectExtent l="0" t="0" r="1905"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 vegetation.png"/>
                    <pic:cNvPicPr/>
                  </pic:nvPicPr>
                  <pic:blipFill>
                    <a:blip r:embed="rId28">
                      <a:extLst>
                        <a:ext uri="{28A0092B-C50C-407E-A947-70E740481C1C}">
                          <a14:useLocalDpi xmlns:a14="http://schemas.microsoft.com/office/drawing/2010/main" val="0"/>
                        </a:ext>
                      </a:extLst>
                    </a:blip>
                    <a:stretch>
                      <a:fillRect/>
                    </a:stretch>
                  </pic:blipFill>
                  <pic:spPr>
                    <a:xfrm>
                      <a:off x="0" y="0"/>
                      <a:ext cx="6475862" cy="7478881"/>
                    </a:xfrm>
                    <a:prstGeom prst="rect">
                      <a:avLst/>
                    </a:prstGeom>
                  </pic:spPr>
                </pic:pic>
              </a:graphicData>
            </a:graphic>
          </wp:inline>
        </w:drawing>
      </w:r>
    </w:p>
    <w:p w14:paraId="492F9DD3" w14:textId="77777777" w:rsidR="008138E1" w:rsidRDefault="008138E1" w:rsidP="00525222">
      <w:pPr>
        <w:pStyle w:val="Titre3"/>
      </w:pPr>
      <w:bookmarkStart w:id="79" w:name="_Toc20505677"/>
      <w:r w:rsidRPr="008138E1">
        <w:t xml:space="preserve">Annexe </w:t>
      </w:r>
      <w:r w:rsidR="00CC3712">
        <w:t>7</w:t>
      </w:r>
      <w:r w:rsidRPr="008138E1">
        <w:t>.1.</w:t>
      </w:r>
      <w:r>
        <w:t>6</w:t>
      </w:r>
      <w:r w:rsidRPr="008138E1">
        <w:t xml:space="preserve"> : Carte </w:t>
      </w:r>
      <w:r>
        <w:t>de la végétation du Mali</w:t>
      </w:r>
      <w:bookmarkEnd w:id="79"/>
    </w:p>
    <w:p w14:paraId="42C68AC8" w14:textId="77777777" w:rsidR="0095297E" w:rsidRPr="008C66EC" w:rsidRDefault="008138E1" w:rsidP="0038103A">
      <w:pPr>
        <w:spacing w:after="0"/>
        <w:jc w:val="left"/>
        <w:rPr>
          <w:rFonts w:eastAsia="Calibri" w:cs="Arial"/>
          <w:i/>
          <w:lang w:val="fr-FR" w:eastAsia="fr-FR"/>
        </w:rPr>
        <w:sectPr w:rsidR="0095297E" w:rsidRPr="008C66EC" w:rsidSect="007F0BA4">
          <w:pgSz w:w="11906" w:h="16838"/>
          <w:pgMar w:top="1440" w:right="1440" w:bottom="1440" w:left="1440" w:header="709" w:footer="709" w:gutter="0"/>
          <w:cols w:space="708"/>
          <w:docGrid w:linePitch="360"/>
        </w:sectPr>
      </w:pPr>
      <w:r w:rsidRPr="008C66EC">
        <w:rPr>
          <w:rFonts w:eastAsia="Calibri" w:cs="Arial"/>
          <w:i/>
          <w:lang w:val="fr-FR" w:eastAsia="fr-FR"/>
        </w:rPr>
        <w:t>(Source : PEP, 2006)</w:t>
      </w:r>
    </w:p>
    <w:p w14:paraId="55C70068" w14:textId="77777777" w:rsidR="008138E1" w:rsidRDefault="00B563B1" w:rsidP="0095297E">
      <w:pPr>
        <w:spacing w:after="0"/>
        <w:jc w:val="center"/>
        <w:rPr>
          <w:rFonts w:cs="Arial"/>
          <w:b/>
          <w:bCs/>
          <w:lang w:val="fr-FR"/>
        </w:rPr>
      </w:pPr>
      <w:r>
        <w:rPr>
          <w:rFonts w:cs="Arial"/>
          <w:b/>
          <w:bCs/>
          <w:noProof/>
          <w:lang w:val="fr-FR" w:eastAsia="fr-FR"/>
        </w:rPr>
        <w:lastRenderedPageBreak/>
        <w:drawing>
          <wp:inline distT="0" distB="0" distL="0" distR="0" wp14:anchorId="63E739F6" wp14:editId="38A778B8">
            <wp:extent cx="7506586" cy="5187909"/>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 Bassins.png"/>
                    <pic:cNvPicPr/>
                  </pic:nvPicPr>
                  <pic:blipFill>
                    <a:blip r:embed="rId29">
                      <a:extLst>
                        <a:ext uri="{28A0092B-C50C-407E-A947-70E740481C1C}">
                          <a14:useLocalDpi xmlns:a14="http://schemas.microsoft.com/office/drawing/2010/main" val="0"/>
                        </a:ext>
                      </a:extLst>
                    </a:blip>
                    <a:stretch>
                      <a:fillRect/>
                    </a:stretch>
                  </pic:blipFill>
                  <pic:spPr>
                    <a:xfrm>
                      <a:off x="0" y="0"/>
                      <a:ext cx="7513387" cy="5192609"/>
                    </a:xfrm>
                    <a:prstGeom prst="rect">
                      <a:avLst/>
                    </a:prstGeom>
                  </pic:spPr>
                </pic:pic>
              </a:graphicData>
            </a:graphic>
          </wp:inline>
        </w:drawing>
      </w:r>
    </w:p>
    <w:p w14:paraId="4E67893F" w14:textId="77777777" w:rsidR="008138E1" w:rsidRDefault="00CC3712" w:rsidP="00525222">
      <w:pPr>
        <w:pStyle w:val="Titre3"/>
      </w:pPr>
      <w:bookmarkStart w:id="80" w:name="_Toc20505678"/>
      <w:r>
        <w:t>Annexe 7</w:t>
      </w:r>
      <w:r w:rsidR="008138E1" w:rsidRPr="008138E1">
        <w:t>.1.</w:t>
      </w:r>
      <w:r w:rsidR="008138E1">
        <w:t>7</w:t>
      </w:r>
      <w:r w:rsidR="008138E1" w:rsidRPr="008138E1">
        <w:t xml:space="preserve"> : Carte </w:t>
      </w:r>
      <w:r w:rsidR="008138E1">
        <w:t>des b</w:t>
      </w:r>
      <w:r w:rsidR="008138E1" w:rsidRPr="008138E1">
        <w:t>assins versants de l’Afrique de l’Ouest</w:t>
      </w:r>
      <w:bookmarkEnd w:id="80"/>
    </w:p>
    <w:p w14:paraId="75090C34" w14:textId="77777777" w:rsidR="00DD2348" w:rsidRDefault="008138E1" w:rsidP="0038103A">
      <w:pPr>
        <w:spacing w:after="0"/>
        <w:jc w:val="left"/>
        <w:rPr>
          <w:rFonts w:eastAsia="Calibri" w:cs="Arial"/>
          <w:i/>
          <w:lang w:val="fr-FR" w:eastAsia="fr-FR"/>
        </w:rPr>
      </w:pPr>
      <w:r w:rsidRPr="008C66EC">
        <w:rPr>
          <w:rFonts w:eastAsia="Calibri" w:cs="Arial"/>
          <w:i/>
          <w:lang w:val="fr-FR" w:eastAsia="fr-FR"/>
        </w:rPr>
        <w:t>(Source : FAO, UCRE/CEDEAO, 2007)</w:t>
      </w:r>
    </w:p>
    <w:p w14:paraId="77260A51" w14:textId="77777777" w:rsidR="0095297E" w:rsidRDefault="00DD2348" w:rsidP="006A6C0A">
      <w:pPr>
        <w:spacing w:after="200" w:line="276" w:lineRule="auto"/>
        <w:jc w:val="center"/>
        <w:rPr>
          <w:rFonts w:eastAsia="Calibri" w:cs="Arial"/>
          <w:i/>
          <w:lang w:val="fr-FR" w:eastAsia="fr-FR"/>
        </w:rPr>
      </w:pPr>
      <w:r w:rsidRPr="00075765">
        <w:rPr>
          <w:rFonts w:ascii="Verdana" w:eastAsia="Times New Roman" w:hAnsi="Verdana" w:cs="Times New Roman"/>
          <w:noProof/>
          <w:color w:val="FF5B00"/>
          <w:sz w:val="18"/>
          <w:szCs w:val="18"/>
          <w:shd w:val="clear" w:color="auto" w:fill="FFFFFF"/>
          <w:lang w:val="fr-FR" w:eastAsia="fr-FR"/>
        </w:rPr>
        <w:lastRenderedPageBreak/>
        <w:drawing>
          <wp:inline distT="0" distB="0" distL="0" distR="0" wp14:anchorId="0BCF0955" wp14:editId="20A5B73B">
            <wp:extent cx="7300596" cy="4821436"/>
            <wp:effectExtent l="0" t="0" r="0" b="0"/>
            <wp:docPr id="9" name="Bild 2" descr="Carte  : Carte de localisation du Niger supérieur guinéen et malien et des principaux barrages">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rte  : Carte de localisation du Niger supérieur guinéen et malien et des principaux barrages">
                      <a:hlinkClick r:id="rId30"/>
                    </pic:cNvPr>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305483" cy="4824664"/>
                    </a:xfrm>
                    <a:prstGeom prst="rect">
                      <a:avLst/>
                    </a:prstGeom>
                    <a:noFill/>
                    <a:ln>
                      <a:noFill/>
                    </a:ln>
                  </pic:spPr>
                </pic:pic>
              </a:graphicData>
            </a:graphic>
          </wp:inline>
        </w:drawing>
      </w:r>
    </w:p>
    <w:p w14:paraId="0966C721" w14:textId="77777777" w:rsidR="00DD2348" w:rsidRDefault="00DD2348" w:rsidP="00525222">
      <w:pPr>
        <w:pStyle w:val="Titre3"/>
      </w:pPr>
      <w:bookmarkStart w:id="81" w:name="_Toc20505679"/>
      <w:r w:rsidRPr="00AA0443">
        <w:t>Annexe 7.1.8 : Carte de localisation du Niger supérieur guinéen et malien et des principaux barrages</w:t>
      </w:r>
      <w:bookmarkEnd w:id="81"/>
    </w:p>
    <w:p w14:paraId="46F200A6" w14:textId="77777777" w:rsidR="00DD2348" w:rsidRPr="008C66EC" w:rsidRDefault="00DD2348" w:rsidP="006A6C0A">
      <w:pPr>
        <w:jc w:val="left"/>
        <w:rPr>
          <w:rFonts w:eastAsia="Calibri" w:cs="Arial"/>
          <w:i/>
          <w:lang w:val="fr-FR" w:eastAsia="fr-FR"/>
        </w:rPr>
        <w:sectPr w:rsidR="00DD2348" w:rsidRPr="008C66EC" w:rsidSect="00B563B1">
          <w:pgSz w:w="16838" w:h="11906" w:orient="landscape"/>
          <w:pgMar w:top="1440" w:right="1440" w:bottom="1440" w:left="1440" w:header="709" w:footer="709" w:gutter="0"/>
          <w:cols w:space="708"/>
          <w:docGrid w:linePitch="360"/>
        </w:sectPr>
      </w:pPr>
      <w:r>
        <w:rPr>
          <w:lang w:val="fr-FR" w:eastAsia="fr-FR"/>
        </w:rPr>
        <w:t>(Source :</w:t>
      </w:r>
      <w:r w:rsidR="008F6C37">
        <w:rPr>
          <w:lang w:val="fr-FR" w:eastAsia="fr-FR"/>
        </w:rPr>
        <w:t xml:space="preserve"> </w:t>
      </w:r>
      <w:r>
        <w:rPr>
          <w:rFonts w:eastAsia="Calibri" w:cs="Arial"/>
          <w:i/>
          <w:lang w:val="fr-FR" w:eastAsia="fr-FR"/>
        </w:rPr>
        <w:t>IRD,</w:t>
      </w:r>
      <w:r w:rsidR="006A6C0A">
        <w:rPr>
          <w:rFonts w:eastAsia="Calibri" w:cs="Arial"/>
          <w:i/>
          <w:lang w:val="fr-FR" w:eastAsia="fr-FR"/>
        </w:rPr>
        <w:t xml:space="preserve"> </w:t>
      </w:r>
      <w:r>
        <w:rPr>
          <w:rFonts w:eastAsia="Calibri" w:cs="Arial"/>
          <w:i/>
          <w:lang w:val="fr-FR" w:eastAsia="fr-FR"/>
        </w:rPr>
        <w:t>2013</w:t>
      </w:r>
      <w:r w:rsidR="006A6C0A">
        <w:rPr>
          <w:rFonts w:eastAsia="Calibri" w:cs="Arial"/>
          <w:i/>
          <w:lang w:val="fr-FR" w:eastAsia="fr-FR"/>
        </w:rPr>
        <w:t>)</w:t>
      </w:r>
    </w:p>
    <w:p w14:paraId="4D0FBAF8" w14:textId="77777777" w:rsidR="00151251" w:rsidRDefault="00EB3CBF" w:rsidP="0095297E">
      <w:pPr>
        <w:spacing w:after="0"/>
        <w:jc w:val="center"/>
        <w:rPr>
          <w:rFonts w:cs="Arial"/>
          <w:b/>
          <w:bCs/>
          <w:lang w:val="fr-FR"/>
        </w:rPr>
      </w:pPr>
      <w:r>
        <w:rPr>
          <w:rFonts w:cs="Arial"/>
          <w:b/>
          <w:bCs/>
          <w:noProof/>
          <w:lang w:val="fr-FR" w:eastAsia="fr-FR"/>
        </w:rPr>
        <w:lastRenderedPageBreak/>
        <w:drawing>
          <wp:inline distT="0" distB="0" distL="0" distR="0" wp14:anchorId="10731280" wp14:editId="29997797">
            <wp:extent cx="7240700" cy="5103628"/>
            <wp:effectExtent l="0" t="0" r="0" b="190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 eau.png"/>
                    <pic:cNvPicPr/>
                  </pic:nvPicPr>
                  <pic:blipFill>
                    <a:blip r:embed="rId32">
                      <a:extLst>
                        <a:ext uri="{28A0092B-C50C-407E-A947-70E740481C1C}">
                          <a14:useLocalDpi xmlns:a14="http://schemas.microsoft.com/office/drawing/2010/main" val="0"/>
                        </a:ext>
                      </a:extLst>
                    </a:blip>
                    <a:stretch>
                      <a:fillRect/>
                    </a:stretch>
                  </pic:blipFill>
                  <pic:spPr>
                    <a:xfrm>
                      <a:off x="0" y="0"/>
                      <a:ext cx="7246904" cy="5108001"/>
                    </a:xfrm>
                    <a:prstGeom prst="rect">
                      <a:avLst/>
                    </a:prstGeom>
                  </pic:spPr>
                </pic:pic>
              </a:graphicData>
            </a:graphic>
          </wp:inline>
        </w:drawing>
      </w:r>
    </w:p>
    <w:p w14:paraId="6F848DB0" w14:textId="77777777" w:rsidR="00151251" w:rsidRPr="00EB3CBF" w:rsidRDefault="00CC3712" w:rsidP="00525222">
      <w:pPr>
        <w:pStyle w:val="Titre3"/>
      </w:pPr>
      <w:bookmarkStart w:id="82" w:name="_Toc20505680"/>
      <w:r>
        <w:t>Annexe 7</w:t>
      </w:r>
      <w:r w:rsidR="00151251" w:rsidRPr="00EB3CBF">
        <w:t>.1.</w:t>
      </w:r>
      <w:r w:rsidR="006A6C0A">
        <w:t>9</w:t>
      </w:r>
      <w:r w:rsidR="00151251" w:rsidRPr="00EB3CBF">
        <w:t> : Carte de la répartition des villages selon leur taux d’équipement en points d’eau modernes par région au Mali</w:t>
      </w:r>
      <w:bookmarkEnd w:id="82"/>
    </w:p>
    <w:p w14:paraId="4B3C91B9" w14:textId="77777777" w:rsidR="0095297E" w:rsidRPr="008C66EC" w:rsidRDefault="00151251" w:rsidP="0038103A">
      <w:pPr>
        <w:spacing w:after="0"/>
        <w:jc w:val="left"/>
        <w:rPr>
          <w:rFonts w:eastAsia="Calibri" w:cs="Arial"/>
          <w:i/>
          <w:lang w:val="fr-FR" w:eastAsia="fr-FR"/>
        </w:rPr>
        <w:sectPr w:rsidR="0095297E" w:rsidRPr="008C66EC" w:rsidSect="00EB3CBF">
          <w:pgSz w:w="16838" w:h="11906" w:orient="landscape"/>
          <w:pgMar w:top="1440" w:right="1440" w:bottom="1440" w:left="1440" w:header="709" w:footer="709" w:gutter="0"/>
          <w:cols w:space="708"/>
          <w:docGrid w:linePitch="360"/>
        </w:sectPr>
      </w:pPr>
      <w:r w:rsidRPr="008C66EC">
        <w:rPr>
          <w:rFonts w:eastAsia="Calibri" w:cs="Arial"/>
          <w:i/>
          <w:lang w:val="fr-FR" w:eastAsia="fr-FR"/>
        </w:rPr>
        <w:t>(Source : DNH, communication le 6 mai 2014)</w:t>
      </w:r>
    </w:p>
    <w:p w14:paraId="6DAF388D" w14:textId="77777777" w:rsidR="00151251" w:rsidRDefault="005E6402" w:rsidP="005E6402">
      <w:pPr>
        <w:spacing w:after="0"/>
        <w:jc w:val="center"/>
        <w:rPr>
          <w:rFonts w:cs="Arial"/>
          <w:b/>
          <w:bCs/>
          <w:lang w:val="fr-FR"/>
        </w:rPr>
      </w:pPr>
      <w:r>
        <w:rPr>
          <w:rFonts w:cs="Arial"/>
          <w:b/>
          <w:bCs/>
          <w:noProof/>
          <w:lang w:val="fr-FR" w:eastAsia="fr-FR"/>
        </w:rPr>
        <w:lastRenderedPageBreak/>
        <w:drawing>
          <wp:inline distT="0" distB="0" distL="0" distR="0" wp14:anchorId="7F8DB371" wp14:editId="7A2A0336">
            <wp:extent cx="6858000" cy="4929790"/>
            <wp:effectExtent l="0" t="0" r="0" b="4445"/>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857001" cy="4929072"/>
                    </a:xfrm>
                    <a:prstGeom prst="rect">
                      <a:avLst/>
                    </a:prstGeom>
                    <a:noFill/>
                    <a:ln>
                      <a:noFill/>
                    </a:ln>
                  </pic:spPr>
                </pic:pic>
              </a:graphicData>
            </a:graphic>
          </wp:inline>
        </w:drawing>
      </w:r>
    </w:p>
    <w:p w14:paraId="76196AF6" w14:textId="77777777" w:rsidR="00151251" w:rsidRPr="000E5A3F" w:rsidRDefault="00CC3712" w:rsidP="00525222">
      <w:pPr>
        <w:pStyle w:val="Titre3"/>
      </w:pPr>
      <w:bookmarkStart w:id="83" w:name="_Toc20505681"/>
      <w:r>
        <w:t>Annexe 7</w:t>
      </w:r>
      <w:r w:rsidR="00151251" w:rsidRPr="000E5A3F">
        <w:t>.1.</w:t>
      </w:r>
      <w:r w:rsidR="006A6C0A">
        <w:t>10</w:t>
      </w:r>
      <w:r w:rsidR="00151251" w:rsidRPr="000E5A3F">
        <w:t> : Carte des mines d’or en exploitation</w:t>
      </w:r>
      <w:bookmarkEnd w:id="83"/>
      <w:r w:rsidR="00151251" w:rsidRPr="000E5A3F">
        <w:t xml:space="preserve"> </w:t>
      </w:r>
    </w:p>
    <w:p w14:paraId="48295561" w14:textId="77777777" w:rsidR="0095297E" w:rsidRPr="008C66EC" w:rsidRDefault="00151251" w:rsidP="0038103A">
      <w:pPr>
        <w:spacing w:after="0"/>
        <w:jc w:val="left"/>
        <w:rPr>
          <w:rFonts w:eastAsia="Calibri" w:cs="Arial"/>
          <w:i/>
          <w:lang w:val="fr-FR" w:eastAsia="fr-FR"/>
        </w:rPr>
        <w:sectPr w:rsidR="0095297E" w:rsidRPr="008C66EC" w:rsidSect="000E5A3F">
          <w:pgSz w:w="16838" w:h="11906" w:orient="landscape"/>
          <w:pgMar w:top="1440" w:right="1440" w:bottom="1440" w:left="1440" w:header="709" w:footer="709" w:gutter="0"/>
          <w:cols w:space="708"/>
          <w:docGrid w:linePitch="360"/>
        </w:sectPr>
      </w:pPr>
      <w:r w:rsidRPr="008C66EC">
        <w:rPr>
          <w:rFonts w:eastAsia="Calibri" w:cs="Arial"/>
          <w:i/>
          <w:lang w:val="fr-FR" w:eastAsia="fr-FR"/>
        </w:rPr>
        <w:t>(Source : D</w:t>
      </w:r>
      <w:r w:rsidR="007134C6" w:rsidRPr="008C66EC">
        <w:rPr>
          <w:rFonts w:eastAsia="Calibri" w:cs="Arial"/>
          <w:i/>
          <w:lang w:val="fr-FR" w:eastAsia="fr-FR"/>
        </w:rPr>
        <w:t>NGM, centre de documentation, 201</w:t>
      </w:r>
      <w:r w:rsidR="005E6402">
        <w:rPr>
          <w:rFonts w:eastAsia="Calibri" w:cs="Arial"/>
          <w:i/>
          <w:lang w:val="fr-FR" w:eastAsia="fr-FR"/>
        </w:rPr>
        <w:t>2</w:t>
      </w:r>
      <w:r w:rsidR="007134C6" w:rsidRPr="008C66EC">
        <w:rPr>
          <w:rFonts w:eastAsia="Calibri" w:cs="Arial"/>
          <w:i/>
          <w:lang w:val="fr-FR" w:eastAsia="fr-FR"/>
        </w:rPr>
        <w:t>)</w:t>
      </w:r>
    </w:p>
    <w:p w14:paraId="74BD475F" w14:textId="77777777" w:rsidR="00AA16BD" w:rsidRDefault="0016518C" w:rsidP="0095297E">
      <w:pPr>
        <w:spacing w:after="0"/>
        <w:jc w:val="center"/>
        <w:rPr>
          <w:rFonts w:eastAsia="Calibri" w:cs="Arial"/>
          <w:lang w:val="fr-FR" w:eastAsia="fr-FR"/>
        </w:rPr>
      </w:pPr>
      <w:r>
        <w:rPr>
          <w:rFonts w:eastAsia="Calibri" w:cs="Arial"/>
          <w:noProof/>
          <w:lang w:val="fr-FR" w:eastAsia="fr-FR"/>
        </w:rPr>
        <w:lastRenderedPageBreak/>
        <w:drawing>
          <wp:inline distT="0" distB="0" distL="0" distR="0" wp14:anchorId="38CA36EA" wp14:editId="40A97212">
            <wp:extent cx="7315200" cy="5190987"/>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 pression.png"/>
                    <pic:cNvPicPr/>
                  </pic:nvPicPr>
                  <pic:blipFill>
                    <a:blip r:embed="rId34">
                      <a:extLst>
                        <a:ext uri="{28A0092B-C50C-407E-A947-70E740481C1C}">
                          <a14:useLocalDpi xmlns:a14="http://schemas.microsoft.com/office/drawing/2010/main" val="0"/>
                        </a:ext>
                      </a:extLst>
                    </a:blip>
                    <a:stretch>
                      <a:fillRect/>
                    </a:stretch>
                  </pic:blipFill>
                  <pic:spPr>
                    <a:xfrm>
                      <a:off x="0" y="0"/>
                      <a:ext cx="7325175" cy="5198065"/>
                    </a:xfrm>
                    <a:prstGeom prst="rect">
                      <a:avLst/>
                    </a:prstGeom>
                  </pic:spPr>
                </pic:pic>
              </a:graphicData>
            </a:graphic>
          </wp:inline>
        </w:drawing>
      </w:r>
    </w:p>
    <w:p w14:paraId="1C67FF40" w14:textId="77777777" w:rsidR="00AA16BD" w:rsidRDefault="00CC3712" w:rsidP="00525222">
      <w:pPr>
        <w:pStyle w:val="Titre3"/>
      </w:pPr>
      <w:bookmarkStart w:id="84" w:name="_Toc20505682"/>
      <w:r>
        <w:t>Annexe 7</w:t>
      </w:r>
      <w:r w:rsidR="00AA16BD" w:rsidRPr="008138E1">
        <w:t>.1.</w:t>
      </w:r>
      <w:r w:rsidR="00AA16BD">
        <w:t>11</w:t>
      </w:r>
      <w:r w:rsidR="00AA16BD" w:rsidRPr="008138E1">
        <w:t xml:space="preserve"> : Carte </w:t>
      </w:r>
      <w:r w:rsidR="00AA16BD">
        <w:t>des d</w:t>
      </w:r>
      <w:r w:rsidR="00AA16BD" w:rsidRPr="00AA16BD">
        <w:t>iverses formes de pressions anthropiques dans les aires protégées et forêts de la zone Mali Ouest</w:t>
      </w:r>
      <w:bookmarkEnd w:id="84"/>
    </w:p>
    <w:p w14:paraId="5CB7F7EA" w14:textId="77777777" w:rsidR="0095297E" w:rsidRPr="008C66EC" w:rsidRDefault="00AA16BD" w:rsidP="0038103A">
      <w:pPr>
        <w:spacing w:after="0"/>
        <w:jc w:val="left"/>
        <w:rPr>
          <w:rFonts w:eastAsia="Calibri" w:cs="Arial"/>
          <w:i/>
          <w:lang w:val="fr-FR" w:eastAsia="fr-FR"/>
        </w:rPr>
        <w:sectPr w:rsidR="0095297E" w:rsidRPr="008C66EC" w:rsidSect="0016518C">
          <w:pgSz w:w="16838" w:h="11906" w:orient="landscape"/>
          <w:pgMar w:top="1440" w:right="1440" w:bottom="1440" w:left="1440" w:header="709" w:footer="709" w:gutter="0"/>
          <w:cols w:space="708"/>
          <w:docGrid w:linePitch="360"/>
        </w:sectPr>
      </w:pPr>
      <w:r w:rsidRPr="008C66EC">
        <w:rPr>
          <w:rFonts w:eastAsia="Calibri" w:cs="Arial"/>
          <w:i/>
          <w:lang w:val="fr-FR" w:eastAsia="fr-FR"/>
        </w:rPr>
        <w:t>(Source : ERSAP (PNUD/FEM), 5/2014)</w:t>
      </w:r>
    </w:p>
    <w:p w14:paraId="18AEB8A8" w14:textId="77777777" w:rsidR="00AA16BD" w:rsidRDefault="0099343E" w:rsidP="0099343E">
      <w:pPr>
        <w:spacing w:after="0"/>
        <w:jc w:val="center"/>
        <w:rPr>
          <w:rFonts w:cs="Arial"/>
          <w:b/>
          <w:bCs/>
          <w:lang w:val="fr-FR"/>
        </w:rPr>
      </w:pPr>
      <w:r>
        <w:rPr>
          <w:rFonts w:cs="Arial"/>
          <w:b/>
          <w:bCs/>
          <w:noProof/>
          <w:lang w:val="fr-FR" w:eastAsia="fr-FR"/>
        </w:rPr>
        <w:lastRenderedPageBreak/>
        <w:drawing>
          <wp:inline distT="0" distB="0" distL="0" distR="0" wp14:anchorId="3F89E5D2" wp14:editId="2842757E">
            <wp:extent cx="5858080" cy="5943600"/>
            <wp:effectExtent l="0" t="0" r="9525" b="0"/>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864757" cy="5950375"/>
                    </a:xfrm>
                    <a:prstGeom prst="rect">
                      <a:avLst/>
                    </a:prstGeom>
                    <a:noFill/>
                    <a:ln>
                      <a:noFill/>
                    </a:ln>
                  </pic:spPr>
                </pic:pic>
              </a:graphicData>
            </a:graphic>
          </wp:inline>
        </w:drawing>
      </w:r>
    </w:p>
    <w:p w14:paraId="01EEC70C" w14:textId="77777777" w:rsidR="00AA16BD" w:rsidRDefault="00CC3712" w:rsidP="00525222">
      <w:pPr>
        <w:pStyle w:val="Titre3"/>
      </w:pPr>
      <w:bookmarkStart w:id="85" w:name="_Toc20505683"/>
      <w:r w:rsidRPr="00AA0443">
        <w:t>Annexe 7</w:t>
      </w:r>
      <w:r w:rsidR="00AA16BD" w:rsidRPr="00AA0443">
        <w:t>.1.12 : Carte de risque et vulnérabilité liés à la sécheresse</w:t>
      </w:r>
      <w:bookmarkEnd w:id="85"/>
    </w:p>
    <w:p w14:paraId="4056CBCF" w14:textId="77777777" w:rsidR="0095297E" w:rsidRPr="008C66EC" w:rsidRDefault="00AA16BD" w:rsidP="0038103A">
      <w:pPr>
        <w:spacing w:after="0"/>
        <w:jc w:val="left"/>
        <w:rPr>
          <w:rFonts w:eastAsia="Calibri" w:cs="Arial"/>
          <w:i/>
          <w:lang w:val="fr-FR" w:eastAsia="fr-FR"/>
        </w:rPr>
        <w:sectPr w:rsidR="0095297E" w:rsidRPr="008C66EC" w:rsidSect="004949BD">
          <w:pgSz w:w="11906" w:h="16838"/>
          <w:pgMar w:top="1440" w:right="1440" w:bottom="1440" w:left="1440" w:header="709" w:footer="709" w:gutter="0"/>
          <w:cols w:space="708"/>
          <w:docGrid w:linePitch="360"/>
        </w:sectPr>
      </w:pPr>
      <w:r w:rsidRPr="008C66EC">
        <w:rPr>
          <w:rFonts w:eastAsia="Calibri" w:cs="Arial"/>
          <w:i/>
          <w:lang w:val="fr-FR" w:eastAsia="fr-FR"/>
        </w:rPr>
        <w:t>(Source : ILWAC, 201</w:t>
      </w:r>
      <w:r w:rsidR="0099343E">
        <w:rPr>
          <w:rFonts w:eastAsia="Calibri" w:cs="Arial"/>
          <w:i/>
          <w:lang w:val="fr-FR" w:eastAsia="fr-FR"/>
        </w:rPr>
        <w:t>4</w:t>
      </w:r>
      <w:r w:rsidRPr="008C66EC">
        <w:rPr>
          <w:rFonts w:eastAsia="Calibri" w:cs="Arial"/>
          <w:i/>
          <w:lang w:val="fr-FR" w:eastAsia="fr-FR"/>
        </w:rPr>
        <w:t>)</w:t>
      </w:r>
    </w:p>
    <w:p w14:paraId="5CD5A3BC" w14:textId="77777777" w:rsidR="00AA16BD" w:rsidRDefault="0099343E" w:rsidP="0095297E">
      <w:pPr>
        <w:spacing w:after="0"/>
        <w:jc w:val="center"/>
        <w:rPr>
          <w:rFonts w:cs="Arial"/>
          <w:b/>
          <w:bCs/>
          <w:lang w:val="fr-FR"/>
        </w:rPr>
      </w:pPr>
      <w:r>
        <w:rPr>
          <w:rFonts w:cs="Arial"/>
          <w:b/>
          <w:bCs/>
          <w:noProof/>
          <w:lang w:val="fr-FR" w:eastAsia="fr-FR"/>
        </w:rPr>
        <w:lastRenderedPageBreak/>
        <w:drawing>
          <wp:inline distT="0" distB="0" distL="0" distR="0" wp14:anchorId="18A23233" wp14:editId="216C96AF">
            <wp:extent cx="5782626" cy="6035040"/>
            <wp:effectExtent l="0" t="0" r="8890" b="3810"/>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96130" cy="6049133"/>
                    </a:xfrm>
                    <a:prstGeom prst="rect">
                      <a:avLst/>
                    </a:prstGeom>
                    <a:noFill/>
                    <a:ln>
                      <a:noFill/>
                    </a:ln>
                  </pic:spPr>
                </pic:pic>
              </a:graphicData>
            </a:graphic>
          </wp:inline>
        </w:drawing>
      </w:r>
    </w:p>
    <w:p w14:paraId="0AF7447C" w14:textId="77777777" w:rsidR="00AA16BD" w:rsidRDefault="00CC3712" w:rsidP="00525222">
      <w:pPr>
        <w:pStyle w:val="Titre3"/>
      </w:pPr>
      <w:bookmarkStart w:id="86" w:name="_Toc20505684"/>
      <w:r w:rsidRPr="00AA0443">
        <w:t>Annexe 7</w:t>
      </w:r>
      <w:r w:rsidR="00AA16BD" w:rsidRPr="00AA0443">
        <w:t>.1.13 : Carte de risque et vulnérabilité liés aux feux de brousse</w:t>
      </w:r>
      <w:bookmarkEnd w:id="86"/>
    </w:p>
    <w:p w14:paraId="4B0AECB6" w14:textId="77777777" w:rsidR="0095297E" w:rsidRPr="008C66EC" w:rsidRDefault="00AA16BD" w:rsidP="0038103A">
      <w:pPr>
        <w:spacing w:after="0"/>
        <w:jc w:val="left"/>
        <w:rPr>
          <w:rFonts w:eastAsia="Calibri" w:cs="Arial"/>
          <w:i/>
          <w:lang w:val="fr-FR" w:eastAsia="fr-FR"/>
        </w:rPr>
        <w:sectPr w:rsidR="0095297E" w:rsidRPr="008C66EC" w:rsidSect="004949BD">
          <w:pgSz w:w="11906" w:h="16838"/>
          <w:pgMar w:top="1440" w:right="1440" w:bottom="1440" w:left="1440" w:header="709" w:footer="709" w:gutter="0"/>
          <w:cols w:space="708"/>
          <w:docGrid w:linePitch="360"/>
        </w:sectPr>
      </w:pPr>
      <w:r w:rsidRPr="008C66EC">
        <w:rPr>
          <w:rFonts w:eastAsia="Calibri" w:cs="Arial"/>
          <w:i/>
          <w:lang w:val="fr-FR" w:eastAsia="fr-FR"/>
        </w:rPr>
        <w:t>(Source : ILWAC, 201</w:t>
      </w:r>
      <w:r w:rsidR="0099343E">
        <w:rPr>
          <w:rFonts w:eastAsia="Calibri" w:cs="Arial"/>
          <w:i/>
          <w:lang w:val="fr-FR" w:eastAsia="fr-FR"/>
        </w:rPr>
        <w:t>4</w:t>
      </w:r>
      <w:r w:rsidRPr="008C66EC">
        <w:rPr>
          <w:rFonts w:eastAsia="Calibri" w:cs="Arial"/>
          <w:i/>
          <w:lang w:val="fr-FR" w:eastAsia="fr-FR"/>
        </w:rPr>
        <w:t>)</w:t>
      </w:r>
    </w:p>
    <w:p w14:paraId="7D27EDA3" w14:textId="77777777" w:rsidR="000130F4" w:rsidRDefault="000130F4" w:rsidP="0095297E">
      <w:pPr>
        <w:spacing w:after="0"/>
        <w:jc w:val="center"/>
        <w:rPr>
          <w:rFonts w:eastAsia="Calibri" w:cs="Arial"/>
          <w:b/>
          <w:lang w:val="fr-FR" w:eastAsia="fr-FR"/>
        </w:rPr>
      </w:pPr>
      <w:r>
        <w:rPr>
          <w:rFonts w:eastAsia="Calibri" w:cs="Arial"/>
          <w:b/>
          <w:noProof/>
          <w:lang w:val="fr-FR" w:eastAsia="fr-FR"/>
        </w:rPr>
        <w:lastRenderedPageBreak/>
        <w:drawing>
          <wp:inline distT="0" distB="0" distL="0" distR="0" wp14:anchorId="5DDD8E57" wp14:editId="17AA867C">
            <wp:extent cx="7543384" cy="5092995"/>
            <wp:effectExtent l="0" t="0" r="63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 innondation.png"/>
                    <pic:cNvPicPr/>
                  </pic:nvPicPr>
                  <pic:blipFill>
                    <a:blip r:embed="rId37">
                      <a:extLst>
                        <a:ext uri="{28A0092B-C50C-407E-A947-70E740481C1C}">
                          <a14:useLocalDpi xmlns:a14="http://schemas.microsoft.com/office/drawing/2010/main" val="0"/>
                        </a:ext>
                      </a:extLst>
                    </a:blip>
                    <a:stretch>
                      <a:fillRect/>
                    </a:stretch>
                  </pic:blipFill>
                  <pic:spPr>
                    <a:xfrm>
                      <a:off x="0" y="0"/>
                      <a:ext cx="7544205" cy="5093549"/>
                    </a:xfrm>
                    <a:prstGeom prst="rect">
                      <a:avLst/>
                    </a:prstGeom>
                  </pic:spPr>
                </pic:pic>
              </a:graphicData>
            </a:graphic>
          </wp:inline>
        </w:drawing>
      </w:r>
    </w:p>
    <w:p w14:paraId="7FD47927" w14:textId="77777777" w:rsidR="00AA16BD" w:rsidRDefault="00CC3712" w:rsidP="00525222">
      <w:pPr>
        <w:pStyle w:val="Titre3"/>
      </w:pPr>
      <w:bookmarkStart w:id="87" w:name="_Toc20505685"/>
      <w:r>
        <w:t>Annexe 7</w:t>
      </w:r>
      <w:r w:rsidR="00AA16BD" w:rsidRPr="008138E1">
        <w:t>.1.</w:t>
      </w:r>
      <w:r w:rsidR="00AA16BD">
        <w:t>14</w:t>
      </w:r>
      <w:r w:rsidR="00AA16BD" w:rsidRPr="008138E1">
        <w:t xml:space="preserve"> : Carte </w:t>
      </w:r>
      <w:r w:rsidR="00AA16BD">
        <w:t>de r</w:t>
      </w:r>
      <w:r w:rsidR="00AA16BD" w:rsidRPr="00AA16BD">
        <w:t>isque et vulnérabilité liés à l’inondation</w:t>
      </w:r>
      <w:bookmarkEnd w:id="87"/>
    </w:p>
    <w:p w14:paraId="1538BF96" w14:textId="77777777" w:rsidR="00371AF4" w:rsidRDefault="00AA16BD" w:rsidP="0038103A">
      <w:pPr>
        <w:spacing w:after="0"/>
        <w:jc w:val="left"/>
        <w:rPr>
          <w:rFonts w:eastAsia="Calibri" w:cs="Arial"/>
          <w:i/>
          <w:lang w:val="fr-FR" w:eastAsia="fr-FR"/>
        </w:rPr>
        <w:sectPr w:rsidR="00371AF4" w:rsidSect="000130F4">
          <w:pgSz w:w="16838" w:h="11906" w:orient="landscape"/>
          <w:pgMar w:top="1440" w:right="1440" w:bottom="1440" w:left="1440" w:header="709" w:footer="709" w:gutter="0"/>
          <w:cols w:space="708"/>
          <w:docGrid w:linePitch="360"/>
        </w:sectPr>
      </w:pPr>
      <w:r w:rsidRPr="008C66EC">
        <w:rPr>
          <w:rFonts w:eastAsia="Calibri" w:cs="Arial"/>
          <w:i/>
          <w:lang w:val="fr-FR" w:eastAsia="fr-FR"/>
        </w:rPr>
        <w:t>(Source : ILWAC, 2013)</w:t>
      </w:r>
    </w:p>
    <w:p w14:paraId="3D1A9F0E" w14:textId="77777777" w:rsidR="009C4286" w:rsidRDefault="009C4286" w:rsidP="0038103A">
      <w:pPr>
        <w:spacing w:after="0"/>
        <w:jc w:val="left"/>
        <w:rPr>
          <w:rFonts w:eastAsia="Calibri" w:cs="Arial"/>
          <w:i/>
          <w:lang w:val="fr-FR" w:eastAsia="fr-FR"/>
        </w:rPr>
      </w:pPr>
    </w:p>
    <w:p w14:paraId="4154B374" w14:textId="77777777" w:rsidR="00371AF4" w:rsidRDefault="00371AF4" w:rsidP="00371AF4">
      <w:pPr>
        <w:spacing w:after="0"/>
        <w:jc w:val="center"/>
        <w:rPr>
          <w:rFonts w:eastAsia="Calibri" w:cs="Arial"/>
          <w:i/>
          <w:lang w:val="fr-FR" w:eastAsia="fr-FR"/>
        </w:rPr>
      </w:pPr>
      <w:r>
        <w:rPr>
          <w:rFonts w:eastAsia="Calibri" w:cs="Arial"/>
          <w:i/>
          <w:noProof/>
          <w:lang w:val="fr-FR" w:eastAsia="fr-FR"/>
        </w:rPr>
        <w:drawing>
          <wp:inline distT="0" distB="0" distL="0" distR="0" wp14:anchorId="03F60596" wp14:editId="10410A5C">
            <wp:extent cx="6703044" cy="4597220"/>
            <wp:effectExtent l="0" t="0" r="3175"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712904" cy="4603982"/>
                    </a:xfrm>
                    <a:prstGeom prst="rect">
                      <a:avLst/>
                    </a:prstGeom>
                    <a:noFill/>
                    <a:ln>
                      <a:noFill/>
                    </a:ln>
                  </pic:spPr>
                </pic:pic>
              </a:graphicData>
            </a:graphic>
          </wp:inline>
        </w:drawing>
      </w:r>
    </w:p>
    <w:p w14:paraId="69753B09" w14:textId="77777777" w:rsidR="00371AF4" w:rsidRDefault="00371AF4" w:rsidP="00371AF4">
      <w:pPr>
        <w:spacing w:after="0"/>
        <w:jc w:val="center"/>
        <w:rPr>
          <w:rFonts w:eastAsia="Calibri" w:cs="Arial"/>
          <w:i/>
          <w:lang w:val="fr-FR" w:eastAsia="fr-FR"/>
        </w:rPr>
      </w:pPr>
    </w:p>
    <w:p w14:paraId="5166B690" w14:textId="77777777" w:rsidR="00371AF4" w:rsidRDefault="00371AF4" w:rsidP="00525222">
      <w:pPr>
        <w:pStyle w:val="Titre3"/>
      </w:pPr>
      <w:bookmarkStart w:id="88" w:name="_Toc20505686"/>
      <w:r w:rsidRPr="00AA0443">
        <w:t>Annexe 7.1.15: Carte de pourcentage de la population en insécurité alimentaire 2013 – 2017</w:t>
      </w:r>
      <w:bookmarkEnd w:id="88"/>
    </w:p>
    <w:p w14:paraId="6C769A89" w14:textId="77777777" w:rsidR="00371AF4" w:rsidRDefault="00371AF4" w:rsidP="00371AF4">
      <w:pPr>
        <w:rPr>
          <w:rFonts w:eastAsia="Calibri"/>
          <w:lang w:eastAsia="fr-FR"/>
        </w:rPr>
      </w:pPr>
      <w:r>
        <w:rPr>
          <w:rFonts w:eastAsia="Calibri"/>
          <w:lang w:eastAsia="fr-FR"/>
        </w:rPr>
        <w:t>(Source : WFP, 2018)</w:t>
      </w:r>
    </w:p>
    <w:p w14:paraId="1D136D03" w14:textId="77777777" w:rsidR="00371AF4" w:rsidRDefault="00371AF4" w:rsidP="00371AF4">
      <w:pPr>
        <w:rPr>
          <w:rFonts w:eastAsia="Calibri" w:cs="Arial"/>
          <w:i/>
          <w:lang w:val="fr-FR" w:eastAsia="fr-FR"/>
        </w:rPr>
        <w:sectPr w:rsidR="00371AF4" w:rsidSect="000130F4">
          <w:pgSz w:w="16838" w:h="11906" w:orient="landscape"/>
          <w:pgMar w:top="1440" w:right="1440" w:bottom="1440" w:left="1440" w:header="709" w:footer="709" w:gutter="0"/>
          <w:cols w:space="708"/>
          <w:docGrid w:linePitch="360"/>
        </w:sectPr>
      </w:pPr>
    </w:p>
    <w:p w14:paraId="0D49CDA8" w14:textId="77777777" w:rsidR="00AA16BD" w:rsidRDefault="00115835" w:rsidP="0095297E">
      <w:pPr>
        <w:spacing w:after="0"/>
        <w:jc w:val="center"/>
        <w:rPr>
          <w:rFonts w:eastAsia="Calibri" w:cs="Arial"/>
          <w:lang w:val="fr-FR" w:eastAsia="fr-FR"/>
        </w:rPr>
      </w:pPr>
      <w:r>
        <w:rPr>
          <w:rFonts w:eastAsia="Calibri" w:cs="Arial"/>
          <w:noProof/>
          <w:lang w:val="fr-FR" w:eastAsia="fr-FR"/>
        </w:rPr>
        <w:lastRenderedPageBreak/>
        <w:drawing>
          <wp:inline distT="0" distB="0" distL="0" distR="0" wp14:anchorId="2A372E1C" wp14:editId="21F0B4FA">
            <wp:extent cx="5105513" cy="750628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rot="16200000">
                      <a:off x="0" y="0"/>
                      <a:ext cx="5103926" cy="7503954"/>
                    </a:xfrm>
                    <a:prstGeom prst="rect">
                      <a:avLst/>
                    </a:prstGeom>
                    <a:noFill/>
                    <a:ln>
                      <a:noFill/>
                    </a:ln>
                  </pic:spPr>
                </pic:pic>
              </a:graphicData>
            </a:graphic>
          </wp:inline>
        </w:drawing>
      </w:r>
    </w:p>
    <w:p w14:paraId="63635708" w14:textId="77777777" w:rsidR="00AA16BD" w:rsidRDefault="00AA16BD" w:rsidP="00525222">
      <w:pPr>
        <w:pStyle w:val="Titre3"/>
      </w:pPr>
      <w:bookmarkStart w:id="89" w:name="_Toc20505687"/>
      <w:r w:rsidRPr="008138E1">
        <w:t xml:space="preserve">Annexe </w:t>
      </w:r>
      <w:r w:rsidR="00CC3712">
        <w:t>7</w:t>
      </w:r>
      <w:r w:rsidRPr="008138E1">
        <w:t>.1.</w:t>
      </w:r>
      <w:r>
        <w:t>1</w:t>
      </w:r>
      <w:r w:rsidR="00371AF4">
        <w:t>6</w:t>
      </w:r>
      <w:r w:rsidRPr="008138E1">
        <w:t xml:space="preserve"> : Carte </w:t>
      </w:r>
      <w:r>
        <w:t>de n</w:t>
      </w:r>
      <w:r w:rsidRPr="00AA16BD">
        <w:t>iveau de risque aux inondations à l’échelle d</w:t>
      </w:r>
      <w:r w:rsidR="00330E27">
        <w:t>u</w:t>
      </w:r>
      <w:r w:rsidRPr="00AA16BD">
        <w:t xml:space="preserve"> cercle</w:t>
      </w:r>
      <w:bookmarkEnd w:id="89"/>
    </w:p>
    <w:p w14:paraId="750EC62A" w14:textId="77777777" w:rsidR="0095297E" w:rsidRPr="008C66EC" w:rsidRDefault="00AA16BD" w:rsidP="0038103A">
      <w:pPr>
        <w:spacing w:after="0"/>
        <w:jc w:val="left"/>
        <w:rPr>
          <w:rFonts w:eastAsia="Calibri" w:cs="Arial"/>
          <w:i/>
          <w:lang w:val="fr-FR" w:eastAsia="fr-FR"/>
        </w:rPr>
        <w:sectPr w:rsidR="0095297E" w:rsidRPr="008C66EC" w:rsidSect="00115835">
          <w:pgSz w:w="16838" w:h="11906" w:orient="landscape"/>
          <w:pgMar w:top="1440" w:right="1440" w:bottom="1440" w:left="1440" w:header="709" w:footer="709" w:gutter="0"/>
          <w:cols w:space="708"/>
          <w:docGrid w:linePitch="360"/>
        </w:sectPr>
      </w:pPr>
      <w:r w:rsidRPr="008C66EC">
        <w:rPr>
          <w:rFonts w:eastAsia="Calibri" w:cs="Arial"/>
          <w:i/>
          <w:lang w:val="fr-FR" w:eastAsia="fr-FR"/>
        </w:rPr>
        <w:t xml:space="preserve">(Source : </w:t>
      </w:r>
      <w:r w:rsidR="001B4B51" w:rsidRPr="008C66EC">
        <w:rPr>
          <w:rFonts w:eastAsia="Calibri" w:cs="Arial"/>
          <w:i/>
          <w:lang w:val="fr-FR" w:eastAsia="fr-FR"/>
        </w:rPr>
        <w:t>DGPC/UNICEF/REACH, 2014</w:t>
      </w:r>
      <w:r w:rsidRPr="008C66EC">
        <w:rPr>
          <w:rFonts w:eastAsia="Calibri" w:cs="Arial"/>
          <w:i/>
          <w:lang w:val="fr-FR" w:eastAsia="fr-FR"/>
        </w:rPr>
        <w:t>)</w:t>
      </w:r>
    </w:p>
    <w:p w14:paraId="52D5278D" w14:textId="77777777" w:rsidR="001B4B51" w:rsidRDefault="001B4B51" w:rsidP="0095297E">
      <w:pPr>
        <w:spacing w:after="0"/>
        <w:jc w:val="center"/>
        <w:rPr>
          <w:rFonts w:eastAsia="Calibri" w:cs="Arial"/>
          <w:lang w:val="fr-FR" w:eastAsia="fr-FR"/>
        </w:rPr>
      </w:pPr>
    </w:p>
    <w:p w14:paraId="565B3472" w14:textId="77777777" w:rsidR="001B4B51" w:rsidRDefault="0099343E" w:rsidP="0099343E">
      <w:pPr>
        <w:spacing w:after="0"/>
        <w:rPr>
          <w:rFonts w:eastAsia="Calibri" w:cs="Arial"/>
          <w:lang w:val="fr-FR" w:eastAsia="fr-FR"/>
        </w:rPr>
      </w:pPr>
      <w:r>
        <w:rPr>
          <w:rFonts w:eastAsia="Calibri" w:cs="Arial"/>
          <w:noProof/>
          <w:lang w:val="fr-FR" w:eastAsia="fr-FR"/>
        </w:rPr>
        <w:drawing>
          <wp:inline distT="0" distB="0" distL="0" distR="0" wp14:anchorId="2A5B9544" wp14:editId="167A1F42">
            <wp:extent cx="5705073" cy="6233160"/>
            <wp:effectExtent l="0" t="0" r="0" b="0"/>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05073" cy="6233160"/>
                    </a:xfrm>
                    <a:prstGeom prst="rect">
                      <a:avLst/>
                    </a:prstGeom>
                    <a:noFill/>
                    <a:ln>
                      <a:noFill/>
                    </a:ln>
                  </pic:spPr>
                </pic:pic>
              </a:graphicData>
            </a:graphic>
          </wp:inline>
        </w:drawing>
      </w:r>
    </w:p>
    <w:p w14:paraId="03F7ECA8" w14:textId="77777777" w:rsidR="001B4B51" w:rsidRDefault="001B4B51" w:rsidP="00525222">
      <w:pPr>
        <w:pStyle w:val="Titre3"/>
      </w:pPr>
      <w:bookmarkStart w:id="90" w:name="_Toc20505688"/>
      <w:r w:rsidRPr="00AA0443">
        <w:t xml:space="preserve">Annexe </w:t>
      </w:r>
      <w:r w:rsidR="00CC3712" w:rsidRPr="00AA0443">
        <w:t>7</w:t>
      </w:r>
      <w:r w:rsidRPr="00AA0443">
        <w:t>.1.17 : Carte de potentiel de séquestration du carbone du Mali</w:t>
      </w:r>
      <w:bookmarkEnd w:id="90"/>
    </w:p>
    <w:p w14:paraId="593EAA71" w14:textId="77777777" w:rsidR="001B4B51" w:rsidRPr="008C66EC" w:rsidRDefault="001B4B51" w:rsidP="0038103A">
      <w:pPr>
        <w:spacing w:after="0"/>
        <w:jc w:val="left"/>
        <w:rPr>
          <w:rFonts w:eastAsia="Calibri" w:cs="Arial"/>
          <w:i/>
          <w:lang w:val="fr-FR" w:eastAsia="fr-FR"/>
        </w:rPr>
      </w:pPr>
      <w:r w:rsidRPr="008C66EC">
        <w:rPr>
          <w:rFonts w:eastAsia="Calibri" w:cs="Arial"/>
          <w:i/>
          <w:lang w:val="fr-FR" w:eastAsia="fr-FR"/>
        </w:rPr>
        <w:t>(Source : ILWAC, 201</w:t>
      </w:r>
      <w:r w:rsidR="0099343E">
        <w:rPr>
          <w:rFonts w:eastAsia="Calibri" w:cs="Arial"/>
          <w:i/>
          <w:lang w:val="fr-FR" w:eastAsia="fr-FR"/>
        </w:rPr>
        <w:t>4</w:t>
      </w:r>
      <w:r w:rsidRPr="008C66EC">
        <w:rPr>
          <w:rFonts w:eastAsia="Calibri" w:cs="Arial"/>
          <w:i/>
          <w:lang w:val="fr-FR" w:eastAsia="fr-FR"/>
        </w:rPr>
        <w:t>)</w:t>
      </w:r>
    </w:p>
    <w:p w14:paraId="541DA0D8" w14:textId="77777777" w:rsidR="001B4B51" w:rsidRDefault="001B4B51">
      <w:pPr>
        <w:spacing w:after="200" w:line="276" w:lineRule="auto"/>
        <w:jc w:val="left"/>
        <w:rPr>
          <w:rFonts w:eastAsia="Calibri" w:cs="Arial"/>
          <w:lang w:val="fr-FR" w:eastAsia="fr-FR"/>
        </w:rPr>
        <w:sectPr w:rsidR="001B4B51" w:rsidSect="0099343E">
          <w:pgSz w:w="11906" w:h="16838"/>
          <w:pgMar w:top="1440" w:right="1440" w:bottom="1440" w:left="1440" w:header="709" w:footer="709" w:gutter="0"/>
          <w:cols w:space="708"/>
          <w:docGrid w:linePitch="360"/>
        </w:sectPr>
      </w:pPr>
    </w:p>
    <w:p w14:paraId="0FB0589C" w14:textId="77777777" w:rsidR="001B4B51" w:rsidRDefault="001B4B51" w:rsidP="001B4B51">
      <w:pPr>
        <w:jc w:val="center"/>
        <w:rPr>
          <w:rFonts w:eastAsia="Calibri" w:cs="Arial"/>
          <w:b/>
          <w:lang w:val="fr-FR" w:eastAsia="fr-FR"/>
        </w:rPr>
      </w:pPr>
      <w:r>
        <w:rPr>
          <w:rFonts w:eastAsia="Calibri" w:cs="Arial"/>
          <w:b/>
          <w:noProof/>
          <w:lang w:val="fr-FR" w:eastAsia="fr-FR"/>
        </w:rPr>
        <w:lastRenderedPageBreak/>
        <w:drawing>
          <wp:inline distT="0" distB="0" distL="0" distR="0" wp14:anchorId="660DDA60" wp14:editId="3C7F85F1">
            <wp:extent cx="8076392" cy="5167423"/>
            <wp:effectExtent l="0" t="0" r="127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cc.png"/>
                    <pic:cNvPicPr/>
                  </pic:nvPicPr>
                  <pic:blipFill>
                    <a:blip r:embed="rId41">
                      <a:extLst>
                        <a:ext uri="{28A0092B-C50C-407E-A947-70E740481C1C}">
                          <a14:useLocalDpi xmlns:a14="http://schemas.microsoft.com/office/drawing/2010/main" val="0"/>
                        </a:ext>
                      </a:extLst>
                    </a:blip>
                    <a:stretch>
                      <a:fillRect/>
                    </a:stretch>
                  </pic:blipFill>
                  <pic:spPr>
                    <a:xfrm>
                      <a:off x="0" y="0"/>
                      <a:ext cx="8077182" cy="5167929"/>
                    </a:xfrm>
                    <a:prstGeom prst="rect">
                      <a:avLst/>
                    </a:prstGeom>
                  </pic:spPr>
                </pic:pic>
              </a:graphicData>
            </a:graphic>
          </wp:inline>
        </w:drawing>
      </w:r>
    </w:p>
    <w:p w14:paraId="7B441FDA" w14:textId="77777777" w:rsidR="001B4B51" w:rsidRDefault="00CC3712" w:rsidP="00525222">
      <w:pPr>
        <w:pStyle w:val="Titre3"/>
      </w:pPr>
      <w:bookmarkStart w:id="91" w:name="_Toc20505689"/>
      <w:r>
        <w:t>Annexe 7</w:t>
      </w:r>
      <w:r w:rsidR="001B4B51" w:rsidRPr="008138E1">
        <w:t>.1.</w:t>
      </w:r>
      <w:r w:rsidR="001B4B51">
        <w:t>18</w:t>
      </w:r>
      <w:r w:rsidR="001B4B51" w:rsidRPr="008138E1">
        <w:t xml:space="preserve"> : Carte </w:t>
      </w:r>
      <w:r w:rsidR="001B4B51">
        <w:t>des z</w:t>
      </w:r>
      <w:r w:rsidR="001B4B51" w:rsidRPr="001B4B51">
        <w:t>ones de moyens d'existence, les caractéristiques de production et les risques aux changements climatiques</w:t>
      </w:r>
      <w:bookmarkEnd w:id="91"/>
      <w:r w:rsidR="001B4B51" w:rsidRPr="001B4B51">
        <w:t xml:space="preserve"> </w:t>
      </w:r>
    </w:p>
    <w:p w14:paraId="7F86DD76" w14:textId="77777777" w:rsidR="001B4B51" w:rsidRPr="008C66EC" w:rsidRDefault="001B4B51" w:rsidP="0038103A">
      <w:pPr>
        <w:spacing w:after="0"/>
        <w:jc w:val="left"/>
        <w:rPr>
          <w:rFonts w:eastAsia="Calibri" w:cs="Arial"/>
          <w:i/>
          <w:lang w:val="fr-FR" w:eastAsia="fr-FR"/>
        </w:rPr>
      </w:pPr>
      <w:r w:rsidRPr="008C66EC">
        <w:rPr>
          <w:rFonts w:eastAsia="Calibri" w:cs="Arial"/>
          <w:i/>
          <w:lang w:val="fr-FR" w:eastAsia="fr-FR"/>
        </w:rPr>
        <w:t xml:space="preserve">(Source : </w:t>
      </w:r>
      <w:r w:rsidR="0095297E" w:rsidRPr="008C66EC">
        <w:rPr>
          <w:rFonts w:eastAsia="Calibri" w:cs="Arial"/>
          <w:i/>
          <w:lang w:val="fr-FR" w:eastAsia="fr-FR"/>
        </w:rPr>
        <w:t>Source: Projet ACCCA</w:t>
      </w:r>
      <w:r w:rsidRPr="008C66EC">
        <w:rPr>
          <w:rFonts w:eastAsia="Calibri" w:cs="Arial"/>
          <w:i/>
          <w:lang w:val="fr-FR" w:eastAsia="fr-FR"/>
        </w:rPr>
        <w:t>)</w:t>
      </w:r>
    </w:p>
    <w:p w14:paraId="73EAEE07" w14:textId="77777777" w:rsidR="00371AF4" w:rsidRDefault="00371AF4" w:rsidP="00371AF4">
      <w:pPr>
        <w:spacing w:after="0"/>
        <w:jc w:val="center"/>
        <w:rPr>
          <w:rFonts w:eastAsia="Calibri" w:cs="Arial"/>
          <w:i/>
          <w:lang w:val="fr-FR" w:eastAsia="fr-FR"/>
        </w:rPr>
      </w:pPr>
      <w:r>
        <w:rPr>
          <w:rFonts w:eastAsia="Calibri" w:cs="Arial"/>
          <w:i/>
          <w:noProof/>
          <w:lang w:val="fr-FR" w:eastAsia="fr-FR"/>
        </w:rPr>
        <w:lastRenderedPageBreak/>
        <mc:AlternateContent>
          <mc:Choice Requires="wps">
            <w:drawing>
              <wp:anchor distT="0" distB="0" distL="114300" distR="114300" simplePos="0" relativeHeight="251663360" behindDoc="0" locked="0" layoutInCell="1" allowOverlap="1" wp14:anchorId="03424C11" wp14:editId="216CCFAA">
                <wp:simplePos x="0" y="0"/>
                <wp:positionH relativeFrom="column">
                  <wp:posOffset>3489960</wp:posOffset>
                </wp:positionH>
                <wp:positionV relativeFrom="paragraph">
                  <wp:posOffset>259080</wp:posOffset>
                </wp:positionV>
                <wp:extent cx="167640" cy="289560"/>
                <wp:effectExtent l="0" t="0" r="3810" b="0"/>
                <wp:wrapNone/>
                <wp:docPr id="41" name="Rechteck 41"/>
                <wp:cNvGraphicFramePr/>
                <a:graphic xmlns:a="http://schemas.openxmlformats.org/drawingml/2006/main">
                  <a:graphicData uri="http://schemas.microsoft.com/office/word/2010/wordprocessingShape">
                    <wps:wsp>
                      <wps:cNvSpPr/>
                      <wps:spPr>
                        <a:xfrm>
                          <a:off x="0" y="0"/>
                          <a:ext cx="167640" cy="289560"/>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6BDFC553" id="Rechteck 41" o:spid="_x0000_s1026" style="position:absolute;margin-left:274.8pt;margin-top:20.4pt;width:13.2pt;height:22.8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" fillcolor="window" stroked="f" strokeweight="2pt"/>
            </w:pict>
          </mc:Fallback>
        </mc:AlternateContent>
      </w:r>
      <w:r>
        <w:rPr>
          <w:rFonts w:eastAsia="Calibri" w:cs="Arial"/>
          <w:i/>
          <w:noProof/>
          <w:lang w:val="fr-FR" w:eastAsia="fr-FR"/>
        </w:rPr>
        <mc:AlternateContent>
          <mc:Choice Requires="wps">
            <w:drawing>
              <wp:anchor distT="0" distB="0" distL="114300" distR="114300" simplePos="0" relativeHeight="251662336" behindDoc="0" locked="0" layoutInCell="1" allowOverlap="1" wp14:anchorId="66677C08" wp14:editId="2B0E367E">
                <wp:simplePos x="0" y="0"/>
                <wp:positionH relativeFrom="column">
                  <wp:posOffset>6477000</wp:posOffset>
                </wp:positionH>
                <wp:positionV relativeFrom="paragraph">
                  <wp:posOffset>0</wp:posOffset>
                </wp:positionV>
                <wp:extent cx="944880" cy="411480"/>
                <wp:effectExtent l="0" t="0" r="7620" b="7620"/>
                <wp:wrapNone/>
                <wp:docPr id="40" name="Rechteck 40"/>
                <wp:cNvGraphicFramePr/>
                <a:graphic xmlns:a="http://schemas.openxmlformats.org/drawingml/2006/main">
                  <a:graphicData uri="http://schemas.microsoft.com/office/word/2010/wordprocessingShape">
                    <wps:wsp>
                      <wps:cNvSpPr/>
                      <wps:spPr>
                        <a:xfrm>
                          <a:off x="0" y="0"/>
                          <a:ext cx="944880" cy="411480"/>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2A63910B" id="Rechteck 40" o:spid="_x0000_s1026" style="position:absolute;margin-left:510pt;margin-top:0;width:74.4pt;height:32.4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" fillcolor="window" stroked="f" strokeweight="2pt"/>
            </w:pict>
          </mc:Fallback>
        </mc:AlternateContent>
      </w:r>
      <w:r>
        <w:rPr>
          <w:rFonts w:eastAsia="Calibri" w:cs="Arial"/>
          <w:i/>
          <w:noProof/>
          <w:lang w:val="fr-FR" w:eastAsia="fr-FR"/>
        </w:rPr>
        <w:drawing>
          <wp:inline distT="0" distB="0" distL="0" distR="0" wp14:anchorId="5B4D55B7" wp14:editId="40DE346F">
            <wp:extent cx="5984270" cy="4815840"/>
            <wp:effectExtent l="0" t="0" r="0" b="3810"/>
            <wp:docPr id="49"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2">
                      <a:extLst>
                        <a:ext uri="{28A0092B-C50C-407E-A947-70E740481C1C}">
                          <a14:useLocalDpi xmlns:a14="http://schemas.microsoft.com/office/drawing/2010/main" val="0"/>
                        </a:ext>
                      </a:extLst>
                    </a:blip>
                    <a:srcRect t="6702" b="-728"/>
                    <a:stretch/>
                  </pic:blipFill>
                  <pic:spPr bwMode="auto">
                    <a:xfrm>
                      <a:off x="0" y="0"/>
                      <a:ext cx="5984270" cy="4815840"/>
                    </a:xfrm>
                    <a:prstGeom prst="rect">
                      <a:avLst/>
                    </a:prstGeom>
                    <a:noFill/>
                    <a:ln>
                      <a:noFill/>
                    </a:ln>
                    <a:extLst>
                      <a:ext uri="{53640926-AAD7-44D8-BBD7-CCE9431645EC}">
                        <a14:shadowObscured xmlns:a14="http://schemas.microsoft.com/office/drawing/2010/main"/>
                      </a:ext>
                    </a:extLst>
                  </pic:spPr>
                </pic:pic>
              </a:graphicData>
            </a:graphic>
          </wp:inline>
        </w:drawing>
      </w:r>
    </w:p>
    <w:p w14:paraId="16BA6D9E" w14:textId="77777777" w:rsidR="00371AF4" w:rsidRDefault="00371AF4" w:rsidP="00371AF4">
      <w:pPr>
        <w:spacing w:after="0"/>
        <w:jc w:val="left"/>
        <w:rPr>
          <w:rFonts w:eastAsia="Calibri" w:cs="Arial"/>
          <w:i/>
          <w:lang w:val="fr-FR" w:eastAsia="fr-FR"/>
        </w:rPr>
      </w:pPr>
    </w:p>
    <w:p w14:paraId="090C0F9B" w14:textId="77777777" w:rsidR="00371AF4" w:rsidRDefault="00371AF4" w:rsidP="00525222">
      <w:pPr>
        <w:pStyle w:val="Titre3"/>
      </w:pPr>
      <w:bookmarkStart w:id="92" w:name="_Toc20505690"/>
      <w:r w:rsidRPr="00AA0443">
        <w:t>Annexe 7.1.19 : Carte de l’agglomération de Bamako</w:t>
      </w:r>
      <w:bookmarkEnd w:id="92"/>
    </w:p>
    <w:p w14:paraId="2EBF728B" w14:textId="77777777" w:rsidR="00371AF4" w:rsidRDefault="00371AF4" w:rsidP="00371AF4">
      <w:pPr>
        <w:spacing w:after="0"/>
        <w:jc w:val="left"/>
        <w:rPr>
          <w:rFonts w:eastAsia="Calibri" w:cs="Arial"/>
          <w:i/>
          <w:lang w:val="fr-FR" w:eastAsia="fr-FR"/>
        </w:rPr>
        <w:sectPr w:rsidR="00371AF4" w:rsidSect="000130F4">
          <w:pgSz w:w="16838" w:h="11906" w:orient="landscape"/>
          <w:pgMar w:top="1440" w:right="1440" w:bottom="1440" w:left="1440" w:header="709" w:footer="709" w:gutter="0"/>
          <w:cols w:space="708"/>
          <w:docGrid w:linePitch="360"/>
        </w:sectPr>
      </w:pPr>
      <w:r>
        <w:rPr>
          <w:rFonts w:eastAsia="Calibri" w:cs="Arial"/>
          <w:i/>
          <w:lang w:val="fr-FR" w:eastAsia="fr-FR"/>
        </w:rPr>
        <w:t>(Source : Gouv. Mali/district de Bamako, AFD, 2014)</w:t>
      </w:r>
    </w:p>
    <w:p w14:paraId="019A120C" w14:textId="77777777" w:rsidR="001B4B51" w:rsidRDefault="00944684" w:rsidP="001B4B51">
      <w:pPr>
        <w:jc w:val="center"/>
        <w:rPr>
          <w:rFonts w:eastAsia="Calibri" w:cs="Arial"/>
          <w:b/>
          <w:lang w:val="fr-FR" w:eastAsia="fr-FR"/>
        </w:rPr>
      </w:pPr>
      <w:r w:rsidRPr="00DC3AE0">
        <w:rPr>
          <w:rFonts w:ascii="Georgia" w:eastAsia="Times New Roman" w:hAnsi="Georgia" w:cs="Times New Roman"/>
          <w:noProof/>
          <w:color w:val="333333"/>
          <w:sz w:val="31"/>
          <w:szCs w:val="31"/>
          <w:lang w:val="fr-FR" w:eastAsia="fr-FR"/>
        </w:rPr>
        <w:lastRenderedPageBreak/>
        <w:drawing>
          <wp:inline distT="0" distB="0" distL="0" distR="0" wp14:anchorId="278E4FD5" wp14:editId="19995920">
            <wp:extent cx="5621944" cy="6038850"/>
            <wp:effectExtent l="0" t="0" r="0" b="0"/>
            <wp:docPr id="18" name="Bild 1" descr="Regain d'insécurité au Ma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gain d'insécurité au Mali"/>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625760" cy="6042949"/>
                    </a:xfrm>
                    <a:prstGeom prst="rect">
                      <a:avLst/>
                    </a:prstGeom>
                    <a:noFill/>
                    <a:ln>
                      <a:noFill/>
                    </a:ln>
                  </pic:spPr>
                </pic:pic>
              </a:graphicData>
            </a:graphic>
          </wp:inline>
        </w:drawing>
      </w:r>
    </w:p>
    <w:p w14:paraId="0EB2F7C8" w14:textId="77777777" w:rsidR="001B4B51" w:rsidRDefault="00CC3712" w:rsidP="00525222">
      <w:pPr>
        <w:pStyle w:val="Titre3"/>
      </w:pPr>
      <w:bookmarkStart w:id="93" w:name="_Toc20505691"/>
      <w:r w:rsidRPr="00AA0443">
        <w:t>Annexe 7</w:t>
      </w:r>
      <w:r w:rsidR="001B4B51" w:rsidRPr="00AA0443">
        <w:t>.1.</w:t>
      </w:r>
      <w:r w:rsidR="00944684" w:rsidRPr="00AA0443">
        <w:t>20</w:t>
      </w:r>
      <w:r w:rsidR="001B4B51" w:rsidRPr="00AA0443">
        <w:t xml:space="preserve"> : Carte de zone </w:t>
      </w:r>
      <w:r w:rsidR="00E40614" w:rsidRPr="00AA0443">
        <w:t>de forte</w:t>
      </w:r>
      <w:r w:rsidR="001B4B51" w:rsidRPr="00AA0443">
        <w:t xml:space="preserve"> </w:t>
      </w:r>
      <w:r w:rsidR="00F9069D" w:rsidRPr="00AA0443">
        <w:t>insécurité</w:t>
      </w:r>
      <w:bookmarkEnd w:id="93"/>
      <w:r w:rsidR="001B4B51" w:rsidRPr="001B4B51">
        <w:t xml:space="preserve"> </w:t>
      </w:r>
    </w:p>
    <w:p w14:paraId="02D86796" w14:textId="77777777" w:rsidR="001B4B51" w:rsidRPr="008C66EC" w:rsidRDefault="001B4B51" w:rsidP="0038103A">
      <w:pPr>
        <w:spacing w:after="0"/>
        <w:jc w:val="left"/>
        <w:rPr>
          <w:rFonts w:eastAsia="Calibri" w:cs="Arial"/>
          <w:i/>
          <w:lang w:val="fr-FR" w:eastAsia="fr-FR"/>
        </w:rPr>
      </w:pPr>
      <w:r w:rsidRPr="008C66EC">
        <w:rPr>
          <w:rFonts w:eastAsia="Calibri" w:cs="Arial"/>
          <w:i/>
          <w:lang w:val="fr-FR" w:eastAsia="fr-FR"/>
        </w:rPr>
        <w:t xml:space="preserve">(Source : </w:t>
      </w:r>
      <w:r w:rsidR="00944684">
        <w:rPr>
          <w:rFonts w:eastAsia="Calibri" w:cs="Arial"/>
          <w:i/>
          <w:lang w:val="fr-FR" w:eastAsia="fr-FR"/>
        </w:rPr>
        <w:t>Le monde diplomatique, juillet 2018</w:t>
      </w:r>
      <w:r w:rsidR="00F9069D">
        <w:rPr>
          <w:rFonts w:eastAsia="Calibri" w:cs="Arial"/>
          <w:i/>
          <w:lang w:val="fr-FR" w:eastAsia="fr-FR"/>
        </w:rPr>
        <w:t xml:space="preserve"> : </w:t>
      </w:r>
      <w:r w:rsidR="00F9069D" w:rsidRPr="00F9069D">
        <w:rPr>
          <w:rFonts w:eastAsia="Calibri" w:cs="Arial"/>
          <w:i/>
          <w:lang w:val="fr-FR" w:eastAsia="fr-FR"/>
        </w:rPr>
        <w:t>Au Mali, la guerre n’a rien réglé</w:t>
      </w:r>
      <w:r w:rsidRPr="008C66EC">
        <w:rPr>
          <w:rFonts w:eastAsia="Calibri" w:cs="Arial"/>
          <w:i/>
          <w:lang w:val="fr-FR" w:eastAsia="fr-FR"/>
        </w:rPr>
        <w:t>)</w:t>
      </w:r>
    </w:p>
    <w:p w14:paraId="430A9FC0" w14:textId="77777777" w:rsidR="0095297E" w:rsidRDefault="0095297E" w:rsidP="0095297E">
      <w:pPr>
        <w:rPr>
          <w:rFonts w:eastAsia="Calibri" w:cs="Arial"/>
          <w:lang w:val="fr-FR" w:eastAsia="fr-FR"/>
        </w:rPr>
        <w:sectPr w:rsidR="0095297E" w:rsidSect="00944684">
          <w:pgSz w:w="11906" w:h="16838"/>
          <w:pgMar w:top="1440" w:right="1440" w:bottom="1440" w:left="1440" w:header="709" w:footer="709" w:gutter="0"/>
          <w:cols w:space="708"/>
          <w:docGrid w:linePitch="360"/>
        </w:sectPr>
      </w:pPr>
    </w:p>
    <w:p w14:paraId="099F5811" w14:textId="77777777" w:rsidR="00643D65" w:rsidRDefault="00CC3712" w:rsidP="00913A0C">
      <w:pPr>
        <w:pStyle w:val="Titre2"/>
      </w:pPr>
      <w:bookmarkStart w:id="94" w:name="_Toc393900310"/>
      <w:bookmarkStart w:id="95" w:name="_Toc20505692"/>
      <w:r>
        <w:lastRenderedPageBreak/>
        <w:t>7</w:t>
      </w:r>
      <w:r w:rsidR="00E9332B" w:rsidRPr="00E9332B">
        <w:t>.2 L</w:t>
      </w:r>
      <w:r w:rsidR="00643D65" w:rsidRPr="00E9332B">
        <w:t>iste de référence des documents de politique environnementale, autres documents de bases ou plans d’action</w:t>
      </w:r>
      <w:bookmarkEnd w:id="94"/>
      <w:bookmarkEnd w:id="95"/>
    </w:p>
    <w:p w14:paraId="410245AA" w14:textId="77777777" w:rsidR="00883224" w:rsidRPr="00E9332B" w:rsidRDefault="00883224" w:rsidP="00883224">
      <w:pPr>
        <w:spacing w:after="0" w:line="240" w:lineRule="auto"/>
        <w:rPr>
          <w:rFonts w:cs="Arial"/>
          <w:sz w:val="20"/>
          <w:szCs w:val="20"/>
          <w:lang w:val="fr-FR"/>
        </w:rPr>
      </w:pPr>
    </w:p>
    <w:p w14:paraId="0F375B29" w14:textId="77777777" w:rsidR="00883224" w:rsidRPr="00E5468C" w:rsidRDefault="00883224" w:rsidP="00525222">
      <w:pPr>
        <w:pStyle w:val="Titre3"/>
      </w:pPr>
      <w:bookmarkStart w:id="96" w:name="_Toc525930964"/>
      <w:bookmarkStart w:id="97" w:name="_Toc20505693"/>
      <w:r>
        <w:t>7</w:t>
      </w:r>
      <w:r w:rsidRPr="00E5468C">
        <w:t>.2.1 Politiques, plans et stratégies en matière d’environnement</w:t>
      </w:r>
      <w:bookmarkEnd w:id="96"/>
      <w:bookmarkEnd w:id="97"/>
      <w:r w:rsidRPr="00E5468C">
        <w:t xml:space="preserve"> </w:t>
      </w:r>
    </w:p>
    <w:p w14:paraId="59B0E38C" w14:textId="77777777" w:rsidR="00883224" w:rsidRDefault="00883224" w:rsidP="00883224">
      <w:pPr>
        <w:tabs>
          <w:tab w:val="num" w:pos="180"/>
        </w:tabs>
        <w:spacing w:after="0" w:line="240" w:lineRule="auto"/>
        <w:rPr>
          <w:rFonts w:cs="Arial"/>
          <w:color w:val="FF0000"/>
          <w:sz w:val="20"/>
          <w:szCs w:val="20"/>
          <w:lang w:val="fr-FR"/>
        </w:rPr>
      </w:pPr>
    </w:p>
    <w:tbl>
      <w:tblPr>
        <w:tblStyle w:val="Tabellenraster2"/>
        <w:tblW w:w="0" w:type="auto"/>
        <w:tblLook w:val="04A0" w:firstRow="1" w:lastRow="0" w:firstColumn="1" w:lastColumn="0" w:noHBand="0" w:noVBand="1"/>
      </w:tblPr>
      <w:tblGrid>
        <w:gridCol w:w="7788"/>
        <w:gridCol w:w="1454"/>
      </w:tblGrid>
      <w:tr w:rsidR="00883224" w:rsidRPr="00E5468C" w14:paraId="4A7CFE44" w14:textId="77777777" w:rsidTr="00883224">
        <w:tc>
          <w:tcPr>
            <w:tcW w:w="7788" w:type="dxa"/>
            <w:tcBorders>
              <w:top w:val="single" w:sz="4" w:space="0" w:color="auto"/>
              <w:left w:val="single" w:sz="4" w:space="0" w:color="auto"/>
              <w:bottom w:val="single" w:sz="4" w:space="0" w:color="auto"/>
              <w:right w:val="single" w:sz="4" w:space="0" w:color="auto"/>
            </w:tcBorders>
            <w:shd w:val="pct5" w:color="auto" w:fill="auto"/>
            <w:hideMark/>
          </w:tcPr>
          <w:p w14:paraId="72165FC7" w14:textId="77777777" w:rsidR="00883224" w:rsidRPr="00572A93" w:rsidRDefault="00883224" w:rsidP="00883224">
            <w:pPr>
              <w:spacing w:after="0" w:line="240" w:lineRule="auto"/>
              <w:rPr>
                <w:rFonts w:eastAsia="Calibri" w:cs="Arial"/>
                <w:b/>
                <w:spacing w:val="-2"/>
                <w:lang w:val="it-IT" w:eastAsia="fr-FR"/>
              </w:rPr>
            </w:pPr>
            <w:r w:rsidRPr="00572A93">
              <w:rPr>
                <w:rFonts w:eastAsia="Calibri" w:cs="Arial"/>
                <w:b/>
                <w:spacing w:val="-2"/>
                <w:lang w:val="fr-FR" w:eastAsia="fr-FR"/>
              </w:rPr>
              <w:t>Politiques, P</w:t>
            </w:r>
            <w:r w:rsidRPr="00572A93">
              <w:rPr>
                <w:rFonts w:eastAsia="Calibri" w:cs="Arial"/>
                <w:b/>
                <w:spacing w:val="-2"/>
                <w:lang w:val="it-IT" w:eastAsia="fr-FR"/>
              </w:rPr>
              <w:t>lans et Lois</w:t>
            </w:r>
          </w:p>
        </w:tc>
        <w:tc>
          <w:tcPr>
            <w:tcW w:w="1454" w:type="dxa"/>
            <w:tcBorders>
              <w:top w:val="single" w:sz="4" w:space="0" w:color="auto"/>
              <w:left w:val="single" w:sz="4" w:space="0" w:color="auto"/>
              <w:bottom w:val="single" w:sz="4" w:space="0" w:color="auto"/>
              <w:right w:val="single" w:sz="4" w:space="0" w:color="auto"/>
            </w:tcBorders>
            <w:shd w:val="pct5" w:color="auto" w:fill="auto"/>
            <w:hideMark/>
          </w:tcPr>
          <w:p w14:paraId="5F65410A" w14:textId="77777777" w:rsidR="00883224" w:rsidRPr="00E5468C" w:rsidRDefault="00883224" w:rsidP="00883224">
            <w:pPr>
              <w:spacing w:after="0" w:line="240" w:lineRule="auto"/>
              <w:rPr>
                <w:rFonts w:eastAsia="Calibri" w:cs="Arial"/>
                <w:b/>
                <w:spacing w:val="-2"/>
                <w:lang w:val="it-IT" w:eastAsia="fr-FR"/>
              </w:rPr>
            </w:pPr>
            <w:r w:rsidRPr="00572A93">
              <w:rPr>
                <w:rFonts w:eastAsia="Calibri" w:cs="Arial"/>
                <w:b/>
                <w:spacing w:val="-2"/>
                <w:lang w:val="it-IT" w:eastAsia="fr-FR"/>
              </w:rPr>
              <w:t>Année</w:t>
            </w:r>
          </w:p>
        </w:tc>
      </w:tr>
      <w:tr w:rsidR="00883224" w:rsidRPr="00CE03E2" w14:paraId="13E8290E" w14:textId="77777777" w:rsidTr="00883224">
        <w:tc>
          <w:tcPr>
            <w:tcW w:w="7788" w:type="dxa"/>
            <w:tcBorders>
              <w:top w:val="single" w:sz="4" w:space="0" w:color="auto"/>
              <w:left w:val="single" w:sz="4" w:space="0" w:color="auto"/>
              <w:bottom w:val="single" w:sz="4" w:space="0" w:color="auto"/>
              <w:right w:val="single" w:sz="4" w:space="0" w:color="auto"/>
            </w:tcBorders>
            <w:shd w:val="pct5" w:color="auto" w:fill="auto"/>
            <w:hideMark/>
          </w:tcPr>
          <w:p w14:paraId="3833442E" w14:textId="77777777" w:rsidR="00883224" w:rsidRPr="00CE03E2" w:rsidRDefault="00883224" w:rsidP="00883224">
            <w:pPr>
              <w:spacing w:after="0" w:line="240" w:lineRule="auto"/>
              <w:rPr>
                <w:rFonts w:eastAsia="Calibri" w:cs="Arial"/>
                <w:b/>
                <w:i/>
                <w:spacing w:val="-2"/>
                <w:lang w:val="it-IT" w:eastAsia="fr-FR"/>
              </w:rPr>
            </w:pPr>
            <w:r w:rsidRPr="00CE03E2">
              <w:rPr>
                <w:rFonts w:eastAsia="Calibri" w:cs="Arial"/>
                <w:b/>
                <w:i/>
                <w:spacing w:val="-2"/>
                <w:lang w:val="it-IT" w:eastAsia="fr-FR"/>
              </w:rPr>
              <w:t>Politiques Générales</w:t>
            </w:r>
          </w:p>
        </w:tc>
        <w:tc>
          <w:tcPr>
            <w:tcW w:w="1454" w:type="dxa"/>
            <w:tcBorders>
              <w:top w:val="single" w:sz="4" w:space="0" w:color="auto"/>
              <w:left w:val="single" w:sz="4" w:space="0" w:color="auto"/>
              <w:bottom w:val="single" w:sz="4" w:space="0" w:color="auto"/>
              <w:right w:val="single" w:sz="4" w:space="0" w:color="auto"/>
            </w:tcBorders>
            <w:shd w:val="pct5" w:color="auto" w:fill="auto"/>
          </w:tcPr>
          <w:p w14:paraId="21CB6B82" w14:textId="77777777" w:rsidR="00883224" w:rsidRPr="00CE03E2" w:rsidRDefault="00883224" w:rsidP="00883224">
            <w:pPr>
              <w:spacing w:after="0" w:line="240" w:lineRule="auto"/>
              <w:rPr>
                <w:rFonts w:eastAsia="Calibri" w:cs="Arial"/>
                <w:b/>
                <w:i/>
                <w:spacing w:val="-2"/>
                <w:lang w:val="it-IT" w:eastAsia="fr-FR"/>
              </w:rPr>
            </w:pPr>
          </w:p>
        </w:tc>
      </w:tr>
      <w:tr w:rsidR="005F0316" w:rsidRPr="00A02048" w14:paraId="73947A1F" w14:textId="77777777" w:rsidTr="008A7B23">
        <w:tc>
          <w:tcPr>
            <w:tcW w:w="7788" w:type="dxa"/>
            <w:tcBorders>
              <w:top w:val="single" w:sz="4" w:space="0" w:color="auto"/>
              <w:left w:val="single" w:sz="4" w:space="0" w:color="auto"/>
              <w:bottom w:val="single" w:sz="4" w:space="0" w:color="auto"/>
              <w:right w:val="single" w:sz="4" w:space="0" w:color="auto"/>
            </w:tcBorders>
          </w:tcPr>
          <w:p w14:paraId="4C7BB4DC" w14:textId="77777777" w:rsidR="005F0316" w:rsidRPr="00A02048" w:rsidRDefault="005F0316" w:rsidP="008A7B23">
            <w:pPr>
              <w:spacing w:after="0" w:line="240" w:lineRule="auto"/>
              <w:rPr>
                <w:rFonts w:eastAsia="Calibri" w:cs="Arial"/>
                <w:spacing w:val="-2"/>
                <w:lang w:val="fr-FR" w:eastAsia="fr-FR"/>
              </w:rPr>
            </w:pPr>
            <w:r w:rsidRPr="00A02048">
              <w:rPr>
                <w:rFonts w:eastAsia="Calibri" w:cs="Arial"/>
                <w:spacing w:val="-2"/>
                <w:lang w:val="fr-FR" w:eastAsia="fr-FR"/>
              </w:rPr>
              <w:t>Cadre stratégique pour la Relance Economique et le Développement Durable (CREDD) 2019 - 2023</w:t>
            </w:r>
          </w:p>
        </w:tc>
        <w:tc>
          <w:tcPr>
            <w:tcW w:w="1454" w:type="dxa"/>
            <w:tcBorders>
              <w:top w:val="single" w:sz="4" w:space="0" w:color="auto"/>
              <w:left w:val="single" w:sz="4" w:space="0" w:color="auto"/>
              <w:bottom w:val="single" w:sz="4" w:space="0" w:color="auto"/>
              <w:right w:val="single" w:sz="4" w:space="0" w:color="auto"/>
            </w:tcBorders>
          </w:tcPr>
          <w:p w14:paraId="40D62D4B" w14:textId="77777777" w:rsidR="005F0316" w:rsidRPr="00A02048" w:rsidRDefault="005F0316" w:rsidP="008A7B23">
            <w:pPr>
              <w:spacing w:after="0" w:line="240" w:lineRule="auto"/>
              <w:rPr>
                <w:rFonts w:eastAsia="Calibri" w:cs="Arial"/>
                <w:spacing w:val="-2"/>
                <w:lang w:val="it-IT" w:eastAsia="fr-FR"/>
              </w:rPr>
            </w:pPr>
            <w:r w:rsidRPr="00A02048">
              <w:rPr>
                <w:rFonts w:eastAsia="Calibri" w:cs="Arial"/>
                <w:spacing w:val="-2"/>
                <w:lang w:val="fr-FR" w:eastAsia="fr-FR"/>
              </w:rPr>
              <w:t xml:space="preserve">05 / </w:t>
            </w:r>
            <w:r w:rsidRPr="00A02048">
              <w:rPr>
                <w:rFonts w:eastAsia="Calibri" w:cs="Arial"/>
                <w:spacing w:val="-2"/>
                <w:lang w:val="it-IT" w:eastAsia="fr-FR"/>
              </w:rPr>
              <w:t>2019</w:t>
            </w:r>
          </w:p>
        </w:tc>
      </w:tr>
      <w:tr w:rsidR="00883224" w:rsidRPr="00A02048" w14:paraId="33B89734" w14:textId="77777777" w:rsidTr="00883224">
        <w:tc>
          <w:tcPr>
            <w:tcW w:w="7788" w:type="dxa"/>
            <w:tcBorders>
              <w:top w:val="single" w:sz="4" w:space="0" w:color="auto"/>
              <w:left w:val="single" w:sz="4" w:space="0" w:color="auto"/>
              <w:bottom w:val="single" w:sz="4" w:space="0" w:color="auto"/>
              <w:right w:val="single" w:sz="4" w:space="0" w:color="auto"/>
            </w:tcBorders>
          </w:tcPr>
          <w:p w14:paraId="221DFC56" w14:textId="77777777" w:rsidR="00883224" w:rsidRPr="00A02048" w:rsidRDefault="00883224" w:rsidP="00883224">
            <w:pPr>
              <w:spacing w:after="0" w:line="240" w:lineRule="auto"/>
              <w:rPr>
                <w:rFonts w:eastAsia="Calibri" w:cs="Arial"/>
                <w:spacing w:val="-2"/>
                <w:lang w:val="fr-FR" w:eastAsia="fr-FR"/>
              </w:rPr>
            </w:pPr>
            <w:r w:rsidRPr="00A02048">
              <w:rPr>
                <w:rFonts w:eastAsia="Calibri" w:cs="Arial"/>
                <w:spacing w:val="-2"/>
                <w:lang w:val="fr-FR" w:eastAsia="fr-FR"/>
              </w:rPr>
              <w:t>Cadre stratégique pour la Relance Economique et le Développement Durable (CREDD)</w:t>
            </w:r>
            <w:r w:rsidR="005F0316" w:rsidRPr="00A02048">
              <w:rPr>
                <w:rFonts w:eastAsia="Calibri" w:cs="Arial"/>
                <w:spacing w:val="-2"/>
                <w:lang w:val="fr-FR" w:eastAsia="fr-FR"/>
              </w:rPr>
              <w:t xml:space="preserve"> 2016 - 2018</w:t>
            </w:r>
          </w:p>
        </w:tc>
        <w:tc>
          <w:tcPr>
            <w:tcW w:w="1454" w:type="dxa"/>
            <w:tcBorders>
              <w:top w:val="single" w:sz="4" w:space="0" w:color="auto"/>
              <w:left w:val="single" w:sz="4" w:space="0" w:color="auto"/>
              <w:bottom w:val="single" w:sz="4" w:space="0" w:color="auto"/>
              <w:right w:val="single" w:sz="4" w:space="0" w:color="auto"/>
            </w:tcBorders>
          </w:tcPr>
          <w:p w14:paraId="7366397E" w14:textId="77777777" w:rsidR="00883224" w:rsidRPr="00A02048" w:rsidRDefault="00883224" w:rsidP="00883224">
            <w:pPr>
              <w:spacing w:after="0" w:line="240" w:lineRule="auto"/>
              <w:rPr>
                <w:rFonts w:eastAsia="Calibri" w:cs="Arial"/>
                <w:spacing w:val="-2"/>
                <w:lang w:val="it-IT" w:eastAsia="fr-FR"/>
              </w:rPr>
            </w:pPr>
            <w:r w:rsidRPr="00A02048">
              <w:rPr>
                <w:rFonts w:eastAsia="Calibri" w:cs="Arial"/>
                <w:spacing w:val="-2"/>
                <w:lang w:val="fr-FR" w:eastAsia="fr-FR"/>
              </w:rPr>
              <w:t xml:space="preserve">04 / </w:t>
            </w:r>
            <w:r w:rsidRPr="00A02048">
              <w:rPr>
                <w:rFonts w:eastAsia="Calibri" w:cs="Arial"/>
                <w:spacing w:val="-2"/>
                <w:lang w:val="it-IT" w:eastAsia="fr-FR"/>
              </w:rPr>
              <w:t>2016</w:t>
            </w:r>
          </w:p>
        </w:tc>
      </w:tr>
      <w:tr w:rsidR="00883224" w:rsidRPr="00A02048" w14:paraId="1D3B42E0" w14:textId="77777777" w:rsidTr="00883224">
        <w:tc>
          <w:tcPr>
            <w:tcW w:w="7788" w:type="dxa"/>
            <w:tcBorders>
              <w:top w:val="single" w:sz="4" w:space="0" w:color="auto"/>
              <w:left w:val="single" w:sz="4" w:space="0" w:color="auto"/>
              <w:bottom w:val="single" w:sz="4" w:space="0" w:color="auto"/>
              <w:right w:val="single" w:sz="4" w:space="0" w:color="auto"/>
            </w:tcBorders>
            <w:hideMark/>
          </w:tcPr>
          <w:p w14:paraId="4B8D6641" w14:textId="77777777" w:rsidR="00883224" w:rsidRPr="00A02048" w:rsidRDefault="00883224" w:rsidP="00883224">
            <w:pPr>
              <w:spacing w:after="0" w:line="240" w:lineRule="auto"/>
              <w:rPr>
                <w:rFonts w:eastAsia="Calibri" w:cs="Arial"/>
                <w:spacing w:val="-2"/>
                <w:lang w:val="fr-FR" w:eastAsia="fr-FR"/>
              </w:rPr>
            </w:pPr>
            <w:r w:rsidRPr="00A02048">
              <w:rPr>
                <w:rFonts w:eastAsia="Calibri" w:cs="Arial"/>
                <w:spacing w:val="-2"/>
                <w:lang w:val="fr-FR" w:eastAsia="fr-FR"/>
              </w:rPr>
              <w:t>Cadre Stratégique Croissance et la Réduction de la Pauvreté, CSCRP III 2012-2017</w:t>
            </w:r>
          </w:p>
        </w:tc>
        <w:tc>
          <w:tcPr>
            <w:tcW w:w="1454" w:type="dxa"/>
            <w:tcBorders>
              <w:top w:val="single" w:sz="4" w:space="0" w:color="auto"/>
              <w:left w:val="single" w:sz="4" w:space="0" w:color="auto"/>
              <w:bottom w:val="single" w:sz="4" w:space="0" w:color="auto"/>
              <w:right w:val="single" w:sz="4" w:space="0" w:color="auto"/>
            </w:tcBorders>
            <w:hideMark/>
          </w:tcPr>
          <w:p w14:paraId="0A98A694" w14:textId="77777777" w:rsidR="00883224" w:rsidRPr="00A02048" w:rsidRDefault="00883224" w:rsidP="00883224">
            <w:pPr>
              <w:spacing w:after="0" w:line="240" w:lineRule="auto"/>
              <w:rPr>
                <w:rFonts w:eastAsia="Calibri" w:cs="Arial"/>
                <w:spacing w:val="-2"/>
                <w:lang w:val="it-IT" w:eastAsia="fr-FR"/>
              </w:rPr>
            </w:pPr>
            <w:r w:rsidRPr="00A02048">
              <w:rPr>
                <w:rFonts w:eastAsia="Calibri" w:cs="Arial"/>
                <w:spacing w:val="-2"/>
                <w:lang w:val="it-IT" w:eastAsia="fr-FR"/>
              </w:rPr>
              <w:t>2011</w:t>
            </w:r>
          </w:p>
        </w:tc>
      </w:tr>
      <w:tr w:rsidR="00883224" w:rsidRPr="00A02048" w14:paraId="5D71ACEF" w14:textId="77777777" w:rsidTr="00883224">
        <w:tc>
          <w:tcPr>
            <w:tcW w:w="7788" w:type="dxa"/>
            <w:tcBorders>
              <w:top w:val="single" w:sz="4" w:space="0" w:color="auto"/>
              <w:left w:val="single" w:sz="4" w:space="0" w:color="auto"/>
              <w:bottom w:val="single" w:sz="4" w:space="0" w:color="auto"/>
              <w:right w:val="single" w:sz="4" w:space="0" w:color="auto"/>
            </w:tcBorders>
          </w:tcPr>
          <w:p w14:paraId="05814D51" w14:textId="77777777" w:rsidR="00883224" w:rsidRPr="00A02048" w:rsidRDefault="00883224" w:rsidP="00883224">
            <w:pPr>
              <w:spacing w:after="0" w:line="240" w:lineRule="auto"/>
              <w:rPr>
                <w:rFonts w:eastAsia="Calibri" w:cs="Arial"/>
                <w:spacing w:val="-2"/>
                <w:lang w:val="fr-FR" w:eastAsia="fr-FR"/>
              </w:rPr>
            </w:pPr>
            <w:r w:rsidRPr="00A02048">
              <w:rPr>
                <w:rFonts w:eastAsia="Calibri" w:cs="Arial"/>
                <w:spacing w:val="-2"/>
                <w:lang w:val="fr-FR" w:eastAsia="fr-FR"/>
              </w:rPr>
              <w:t>Programme d’Actions du Gouvernement (PAG) 2013-2018</w:t>
            </w:r>
          </w:p>
        </w:tc>
        <w:tc>
          <w:tcPr>
            <w:tcW w:w="1454" w:type="dxa"/>
            <w:tcBorders>
              <w:top w:val="single" w:sz="4" w:space="0" w:color="auto"/>
              <w:left w:val="single" w:sz="4" w:space="0" w:color="auto"/>
              <w:bottom w:val="single" w:sz="4" w:space="0" w:color="auto"/>
              <w:right w:val="single" w:sz="4" w:space="0" w:color="auto"/>
            </w:tcBorders>
          </w:tcPr>
          <w:p w14:paraId="4C7FC9E8" w14:textId="77777777" w:rsidR="00883224" w:rsidRPr="00A02048" w:rsidRDefault="00883224" w:rsidP="00883224">
            <w:pPr>
              <w:spacing w:after="0" w:line="240" w:lineRule="auto"/>
              <w:rPr>
                <w:rFonts w:eastAsia="Calibri" w:cs="Arial"/>
                <w:spacing w:val="-2"/>
                <w:lang w:val="it-IT" w:eastAsia="fr-FR"/>
              </w:rPr>
            </w:pPr>
            <w:r w:rsidRPr="00A02048">
              <w:rPr>
                <w:rFonts w:eastAsia="Calibri" w:cs="Arial"/>
                <w:spacing w:val="-2"/>
                <w:lang w:val="it-IT" w:eastAsia="fr-FR"/>
              </w:rPr>
              <w:t>2013</w:t>
            </w:r>
          </w:p>
        </w:tc>
      </w:tr>
      <w:tr w:rsidR="00883224" w:rsidRPr="00A02048" w14:paraId="076FADC6" w14:textId="77777777" w:rsidTr="00883224">
        <w:tc>
          <w:tcPr>
            <w:tcW w:w="7788" w:type="dxa"/>
            <w:tcBorders>
              <w:top w:val="single" w:sz="4" w:space="0" w:color="auto"/>
              <w:left w:val="single" w:sz="4" w:space="0" w:color="auto"/>
              <w:bottom w:val="single" w:sz="4" w:space="0" w:color="auto"/>
              <w:right w:val="single" w:sz="4" w:space="0" w:color="auto"/>
            </w:tcBorders>
          </w:tcPr>
          <w:p w14:paraId="6D043CFD" w14:textId="77777777" w:rsidR="00883224" w:rsidRPr="00A02048" w:rsidRDefault="00883224" w:rsidP="00883224">
            <w:pPr>
              <w:spacing w:after="0" w:line="240" w:lineRule="auto"/>
              <w:rPr>
                <w:rFonts w:eastAsia="Calibri" w:cs="Arial"/>
                <w:spacing w:val="-2"/>
                <w:lang w:eastAsia="fr-FR"/>
              </w:rPr>
            </w:pPr>
            <w:r w:rsidRPr="00A02048">
              <w:rPr>
                <w:rFonts w:eastAsia="Calibri" w:cs="Arial"/>
                <w:spacing w:val="-2"/>
                <w:lang w:eastAsia="fr-FR"/>
              </w:rPr>
              <w:t>Politique de Population</w:t>
            </w:r>
          </w:p>
        </w:tc>
        <w:tc>
          <w:tcPr>
            <w:tcW w:w="1454" w:type="dxa"/>
            <w:tcBorders>
              <w:top w:val="single" w:sz="4" w:space="0" w:color="auto"/>
              <w:left w:val="single" w:sz="4" w:space="0" w:color="auto"/>
              <w:bottom w:val="single" w:sz="4" w:space="0" w:color="auto"/>
              <w:right w:val="single" w:sz="4" w:space="0" w:color="auto"/>
            </w:tcBorders>
          </w:tcPr>
          <w:p w14:paraId="56A4B2E4" w14:textId="77777777" w:rsidR="00883224" w:rsidRPr="00A02048" w:rsidRDefault="00883224" w:rsidP="00883224">
            <w:pPr>
              <w:spacing w:after="0" w:line="240" w:lineRule="auto"/>
              <w:rPr>
                <w:rFonts w:eastAsia="Calibri" w:cs="Arial"/>
                <w:spacing w:val="-2"/>
                <w:lang w:val="it-IT" w:eastAsia="fr-FR"/>
              </w:rPr>
            </w:pPr>
            <w:r w:rsidRPr="00A02048">
              <w:rPr>
                <w:rFonts w:eastAsia="Calibri" w:cs="Arial"/>
                <w:spacing w:val="-2"/>
                <w:lang w:val="it-IT" w:eastAsia="fr-FR"/>
              </w:rPr>
              <w:t>2003</w:t>
            </w:r>
          </w:p>
        </w:tc>
      </w:tr>
      <w:tr w:rsidR="00883224" w:rsidRPr="00A02048" w14:paraId="0F2E7A83" w14:textId="77777777" w:rsidTr="00883224">
        <w:tc>
          <w:tcPr>
            <w:tcW w:w="7788" w:type="dxa"/>
            <w:tcBorders>
              <w:top w:val="single" w:sz="4" w:space="0" w:color="auto"/>
              <w:left w:val="single" w:sz="4" w:space="0" w:color="auto"/>
              <w:bottom w:val="single" w:sz="4" w:space="0" w:color="auto"/>
              <w:right w:val="single" w:sz="4" w:space="0" w:color="auto"/>
            </w:tcBorders>
          </w:tcPr>
          <w:p w14:paraId="626A2958" w14:textId="77777777" w:rsidR="00883224" w:rsidRPr="00A02048" w:rsidRDefault="00883224" w:rsidP="00883224">
            <w:pPr>
              <w:spacing w:after="0" w:line="240" w:lineRule="auto"/>
            </w:pPr>
            <w:r w:rsidRPr="00A02048">
              <w:t>Etude Nationale Prospective (ENP) Mali 2025</w:t>
            </w:r>
          </w:p>
        </w:tc>
        <w:tc>
          <w:tcPr>
            <w:tcW w:w="1454" w:type="dxa"/>
            <w:tcBorders>
              <w:top w:val="single" w:sz="4" w:space="0" w:color="auto"/>
              <w:left w:val="single" w:sz="4" w:space="0" w:color="auto"/>
              <w:bottom w:val="single" w:sz="4" w:space="0" w:color="auto"/>
              <w:right w:val="single" w:sz="4" w:space="0" w:color="auto"/>
            </w:tcBorders>
          </w:tcPr>
          <w:p w14:paraId="1DC0F973" w14:textId="77777777" w:rsidR="00883224" w:rsidRPr="00A02048" w:rsidRDefault="00883224" w:rsidP="00883224">
            <w:pPr>
              <w:spacing w:after="0" w:line="240" w:lineRule="auto"/>
            </w:pPr>
            <w:r w:rsidRPr="00A02048">
              <w:t>1999</w:t>
            </w:r>
          </w:p>
        </w:tc>
      </w:tr>
      <w:tr w:rsidR="00883224" w:rsidRPr="00A02048" w14:paraId="61840517" w14:textId="77777777" w:rsidTr="00883224">
        <w:tc>
          <w:tcPr>
            <w:tcW w:w="7788" w:type="dxa"/>
            <w:tcBorders>
              <w:top w:val="single" w:sz="4" w:space="0" w:color="auto"/>
              <w:left w:val="single" w:sz="4" w:space="0" w:color="auto"/>
              <w:bottom w:val="single" w:sz="4" w:space="0" w:color="auto"/>
              <w:right w:val="single" w:sz="4" w:space="0" w:color="auto"/>
            </w:tcBorders>
            <w:shd w:val="pct5" w:color="auto" w:fill="auto"/>
            <w:hideMark/>
          </w:tcPr>
          <w:p w14:paraId="051E9CE1" w14:textId="77777777" w:rsidR="00883224" w:rsidRPr="00A02048" w:rsidRDefault="00883224" w:rsidP="00883224">
            <w:pPr>
              <w:spacing w:after="0" w:line="240" w:lineRule="auto"/>
              <w:rPr>
                <w:rFonts w:eastAsia="Calibri" w:cs="Arial"/>
                <w:b/>
                <w:i/>
                <w:spacing w:val="-2"/>
                <w:lang w:val="fr-FR" w:eastAsia="fr-FR"/>
              </w:rPr>
            </w:pPr>
            <w:r w:rsidRPr="00A02048">
              <w:rPr>
                <w:rFonts w:eastAsia="Calibri" w:cs="Arial"/>
                <w:b/>
                <w:i/>
                <w:spacing w:val="-2"/>
                <w:lang w:val="fr-FR" w:eastAsia="fr-FR"/>
              </w:rPr>
              <w:t>Gestion de l’environnement et Changements Climatiques</w:t>
            </w:r>
          </w:p>
        </w:tc>
        <w:tc>
          <w:tcPr>
            <w:tcW w:w="1454" w:type="dxa"/>
            <w:tcBorders>
              <w:top w:val="single" w:sz="4" w:space="0" w:color="auto"/>
              <w:left w:val="single" w:sz="4" w:space="0" w:color="auto"/>
              <w:bottom w:val="single" w:sz="4" w:space="0" w:color="auto"/>
              <w:right w:val="single" w:sz="4" w:space="0" w:color="auto"/>
            </w:tcBorders>
            <w:shd w:val="pct5" w:color="auto" w:fill="auto"/>
          </w:tcPr>
          <w:p w14:paraId="02751A71" w14:textId="77777777" w:rsidR="00883224" w:rsidRPr="00A02048" w:rsidRDefault="00883224" w:rsidP="00883224">
            <w:pPr>
              <w:spacing w:after="0" w:line="240" w:lineRule="auto"/>
              <w:rPr>
                <w:rFonts w:eastAsia="Calibri" w:cs="Arial"/>
                <w:spacing w:val="-2"/>
                <w:lang w:val="fr-FR" w:eastAsia="fr-FR"/>
              </w:rPr>
            </w:pPr>
          </w:p>
        </w:tc>
      </w:tr>
      <w:tr w:rsidR="00883224" w:rsidRPr="00A02048" w14:paraId="091A08C5" w14:textId="77777777" w:rsidTr="00883224">
        <w:tc>
          <w:tcPr>
            <w:tcW w:w="7788" w:type="dxa"/>
            <w:tcBorders>
              <w:top w:val="single" w:sz="4" w:space="0" w:color="auto"/>
              <w:left w:val="single" w:sz="4" w:space="0" w:color="auto"/>
              <w:bottom w:val="single" w:sz="4" w:space="0" w:color="auto"/>
              <w:right w:val="single" w:sz="4" w:space="0" w:color="auto"/>
            </w:tcBorders>
          </w:tcPr>
          <w:p w14:paraId="20C42B5C" w14:textId="77777777" w:rsidR="00883224" w:rsidRPr="00A02048" w:rsidRDefault="00883224" w:rsidP="00883224">
            <w:pPr>
              <w:spacing w:after="0" w:line="240" w:lineRule="auto"/>
              <w:rPr>
                <w:rFonts w:eastAsia="Calibri" w:cs="Arial"/>
                <w:spacing w:val="-2"/>
                <w:lang w:val="fr-FR" w:eastAsia="fr-FR"/>
              </w:rPr>
            </w:pPr>
            <w:r w:rsidRPr="00A02048">
              <w:rPr>
                <w:rFonts w:eastAsia="Calibri" w:cs="Arial"/>
                <w:spacing w:val="-2"/>
                <w:lang w:val="fr-FR" w:eastAsia="fr-FR"/>
              </w:rPr>
              <w:t>Plan national multirisques de préparation et de réponses aux catastrophes</w:t>
            </w:r>
          </w:p>
        </w:tc>
        <w:tc>
          <w:tcPr>
            <w:tcW w:w="1454" w:type="dxa"/>
            <w:tcBorders>
              <w:top w:val="single" w:sz="4" w:space="0" w:color="auto"/>
              <w:left w:val="single" w:sz="4" w:space="0" w:color="auto"/>
              <w:bottom w:val="single" w:sz="4" w:space="0" w:color="auto"/>
              <w:right w:val="single" w:sz="4" w:space="0" w:color="auto"/>
            </w:tcBorders>
          </w:tcPr>
          <w:p w14:paraId="20C03766" w14:textId="77777777" w:rsidR="00883224" w:rsidRPr="00A02048" w:rsidRDefault="00883224" w:rsidP="00883224">
            <w:pPr>
              <w:spacing w:after="0" w:line="240" w:lineRule="auto"/>
              <w:rPr>
                <w:rFonts w:eastAsia="Calibri" w:cs="Arial"/>
                <w:spacing w:val="-2"/>
                <w:lang w:val="fr-FR" w:eastAsia="fr-FR"/>
              </w:rPr>
            </w:pPr>
            <w:r w:rsidRPr="00A02048">
              <w:rPr>
                <w:rFonts w:eastAsia="Calibri" w:cs="Arial"/>
                <w:spacing w:val="-2"/>
                <w:lang w:val="fr-FR" w:eastAsia="fr-FR"/>
              </w:rPr>
              <w:t>2016</w:t>
            </w:r>
          </w:p>
        </w:tc>
      </w:tr>
      <w:tr w:rsidR="00FC2D47" w:rsidRPr="00CE03E2" w14:paraId="28B95FE5" w14:textId="77777777" w:rsidTr="00883224">
        <w:tc>
          <w:tcPr>
            <w:tcW w:w="7788" w:type="dxa"/>
            <w:tcBorders>
              <w:top w:val="single" w:sz="4" w:space="0" w:color="auto"/>
              <w:left w:val="single" w:sz="4" w:space="0" w:color="auto"/>
              <w:bottom w:val="single" w:sz="4" w:space="0" w:color="auto"/>
              <w:right w:val="single" w:sz="4" w:space="0" w:color="auto"/>
            </w:tcBorders>
          </w:tcPr>
          <w:p w14:paraId="46CF1055" w14:textId="77777777" w:rsidR="00FC2D47" w:rsidRPr="00A02048" w:rsidRDefault="00FC2D47" w:rsidP="00883224">
            <w:pPr>
              <w:spacing w:after="0" w:line="240" w:lineRule="auto"/>
              <w:rPr>
                <w:rFonts w:eastAsia="Calibri" w:cs="Arial"/>
                <w:spacing w:val="-2"/>
                <w:lang w:val="fr-FR" w:eastAsia="fr-FR"/>
              </w:rPr>
            </w:pPr>
            <w:r w:rsidRPr="00A02048">
              <w:rPr>
                <w:rFonts w:eastAsia="Calibri" w:cs="Arial"/>
                <w:spacing w:val="-2"/>
                <w:lang w:val="fr-FR" w:eastAsia="fr-FR"/>
              </w:rPr>
              <w:t>Cadre National pour les Services Climatiques au Mali</w:t>
            </w:r>
          </w:p>
        </w:tc>
        <w:tc>
          <w:tcPr>
            <w:tcW w:w="1454" w:type="dxa"/>
            <w:tcBorders>
              <w:top w:val="single" w:sz="4" w:space="0" w:color="auto"/>
              <w:left w:val="single" w:sz="4" w:space="0" w:color="auto"/>
              <w:bottom w:val="single" w:sz="4" w:space="0" w:color="auto"/>
              <w:right w:val="single" w:sz="4" w:space="0" w:color="auto"/>
            </w:tcBorders>
          </w:tcPr>
          <w:p w14:paraId="10B27183" w14:textId="77777777" w:rsidR="00FC2D47" w:rsidRPr="00CE03E2" w:rsidRDefault="00FC2D47" w:rsidP="00883224">
            <w:pPr>
              <w:spacing w:after="0" w:line="240" w:lineRule="auto"/>
              <w:rPr>
                <w:rFonts w:eastAsia="Calibri" w:cs="Arial"/>
                <w:spacing w:val="-2"/>
                <w:lang w:val="fr-FR" w:eastAsia="fr-FR"/>
              </w:rPr>
            </w:pPr>
            <w:r w:rsidRPr="00A02048">
              <w:rPr>
                <w:rFonts w:eastAsia="Calibri" w:cs="Arial"/>
                <w:spacing w:val="-2"/>
                <w:lang w:val="fr-FR" w:eastAsia="fr-FR"/>
              </w:rPr>
              <w:t>2016</w:t>
            </w:r>
          </w:p>
        </w:tc>
      </w:tr>
      <w:tr w:rsidR="00883224" w:rsidRPr="00CE03E2" w14:paraId="36C7580E" w14:textId="77777777" w:rsidTr="00883224">
        <w:tc>
          <w:tcPr>
            <w:tcW w:w="7788" w:type="dxa"/>
            <w:tcBorders>
              <w:top w:val="single" w:sz="4" w:space="0" w:color="auto"/>
              <w:left w:val="single" w:sz="4" w:space="0" w:color="auto"/>
              <w:bottom w:val="single" w:sz="4" w:space="0" w:color="auto"/>
              <w:right w:val="single" w:sz="4" w:space="0" w:color="auto"/>
            </w:tcBorders>
          </w:tcPr>
          <w:p w14:paraId="6AA09B99"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Contribution Déterminée au niveau National (CDN)</w:t>
            </w:r>
          </w:p>
        </w:tc>
        <w:tc>
          <w:tcPr>
            <w:tcW w:w="1454" w:type="dxa"/>
            <w:tcBorders>
              <w:top w:val="single" w:sz="4" w:space="0" w:color="auto"/>
              <w:left w:val="single" w:sz="4" w:space="0" w:color="auto"/>
              <w:bottom w:val="single" w:sz="4" w:space="0" w:color="auto"/>
              <w:right w:val="single" w:sz="4" w:space="0" w:color="auto"/>
            </w:tcBorders>
          </w:tcPr>
          <w:p w14:paraId="2E7E1A65"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12/2015</w:t>
            </w:r>
          </w:p>
        </w:tc>
      </w:tr>
      <w:tr w:rsidR="00883224" w:rsidRPr="00CE03E2" w14:paraId="5316A76D" w14:textId="77777777" w:rsidTr="00883224">
        <w:tc>
          <w:tcPr>
            <w:tcW w:w="7788" w:type="dxa"/>
            <w:tcBorders>
              <w:top w:val="single" w:sz="4" w:space="0" w:color="auto"/>
              <w:left w:val="single" w:sz="4" w:space="0" w:color="auto"/>
              <w:bottom w:val="single" w:sz="4" w:space="0" w:color="auto"/>
              <w:right w:val="single" w:sz="4" w:space="0" w:color="auto"/>
            </w:tcBorders>
          </w:tcPr>
          <w:p w14:paraId="1889CFE1"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Politique Nationale sur les Changements Climatiques, stratégie et plan d’action</w:t>
            </w:r>
          </w:p>
        </w:tc>
        <w:tc>
          <w:tcPr>
            <w:tcW w:w="1454" w:type="dxa"/>
            <w:tcBorders>
              <w:top w:val="single" w:sz="4" w:space="0" w:color="auto"/>
              <w:left w:val="single" w:sz="4" w:space="0" w:color="auto"/>
              <w:bottom w:val="single" w:sz="4" w:space="0" w:color="auto"/>
              <w:right w:val="single" w:sz="4" w:space="0" w:color="auto"/>
            </w:tcBorders>
          </w:tcPr>
          <w:p w14:paraId="79F8A674"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07/2011</w:t>
            </w:r>
          </w:p>
        </w:tc>
      </w:tr>
      <w:tr w:rsidR="00883224" w:rsidRPr="00CE03E2" w14:paraId="1F722531" w14:textId="77777777" w:rsidTr="00883224">
        <w:tc>
          <w:tcPr>
            <w:tcW w:w="7788" w:type="dxa"/>
            <w:tcBorders>
              <w:top w:val="single" w:sz="4" w:space="0" w:color="auto"/>
              <w:left w:val="single" w:sz="4" w:space="0" w:color="auto"/>
              <w:bottom w:val="single" w:sz="4" w:space="0" w:color="auto"/>
              <w:right w:val="single" w:sz="4" w:space="0" w:color="auto"/>
            </w:tcBorders>
          </w:tcPr>
          <w:p w14:paraId="2721E108"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Stratégie Nationale Changements Climatiques – Mali</w:t>
            </w:r>
          </w:p>
        </w:tc>
        <w:tc>
          <w:tcPr>
            <w:tcW w:w="1454" w:type="dxa"/>
            <w:tcBorders>
              <w:top w:val="single" w:sz="4" w:space="0" w:color="auto"/>
              <w:left w:val="single" w:sz="4" w:space="0" w:color="auto"/>
              <w:bottom w:val="single" w:sz="4" w:space="0" w:color="auto"/>
              <w:right w:val="single" w:sz="4" w:space="0" w:color="auto"/>
            </w:tcBorders>
          </w:tcPr>
          <w:p w14:paraId="59C2C0FA"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7/2011</w:t>
            </w:r>
          </w:p>
        </w:tc>
      </w:tr>
      <w:tr w:rsidR="00883224" w:rsidRPr="00CE03E2" w14:paraId="3F646E89" w14:textId="77777777" w:rsidTr="00883224">
        <w:tc>
          <w:tcPr>
            <w:tcW w:w="7788" w:type="dxa"/>
            <w:tcBorders>
              <w:top w:val="single" w:sz="4" w:space="0" w:color="auto"/>
              <w:left w:val="single" w:sz="4" w:space="0" w:color="auto"/>
              <w:bottom w:val="single" w:sz="4" w:space="0" w:color="auto"/>
              <w:right w:val="single" w:sz="4" w:space="0" w:color="auto"/>
            </w:tcBorders>
          </w:tcPr>
          <w:p w14:paraId="790991A1"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Plan d`Action National Climat (PANC) 2012 – 2017</w:t>
            </w:r>
          </w:p>
        </w:tc>
        <w:tc>
          <w:tcPr>
            <w:tcW w:w="1454" w:type="dxa"/>
            <w:tcBorders>
              <w:top w:val="single" w:sz="4" w:space="0" w:color="auto"/>
              <w:left w:val="single" w:sz="4" w:space="0" w:color="auto"/>
              <w:bottom w:val="single" w:sz="4" w:space="0" w:color="auto"/>
              <w:right w:val="single" w:sz="4" w:space="0" w:color="auto"/>
            </w:tcBorders>
          </w:tcPr>
          <w:p w14:paraId="7F24BC9A"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2011</w:t>
            </w:r>
          </w:p>
        </w:tc>
      </w:tr>
      <w:tr w:rsidR="00883224" w:rsidRPr="00CE03E2" w14:paraId="6D155D29" w14:textId="77777777" w:rsidTr="00883224">
        <w:tc>
          <w:tcPr>
            <w:tcW w:w="7788" w:type="dxa"/>
            <w:tcBorders>
              <w:top w:val="single" w:sz="4" w:space="0" w:color="auto"/>
              <w:left w:val="single" w:sz="4" w:space="0" w:color="auto"/>
              <w:bottom w:val="single" w:sz="4" w:space="0" w:color="auto"/>
              <w:right w:val="single" w:sz="4" w:space="0" w:color="auto"/>
            </w:tcBorders>
          </w:tcPr>
          <w:p w14:paraId="0AF14AB9"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Programme d’Action National d’Adaptation aux changements climatiques (PANA)</w:t>
            </w:r>
          </w:p>
        </w:tc>
        <w:tc>
          <w:tcPr>
            <w:tcW w:w="1454" w:type="dxa"/>
            <w:tcBorders>
              <w:top w:val="single" w:sz="4" w:space="0" w:color="auto"/>
              <w:left w:val="single" w:sz="4" w:space="0" w:color="auto"/>
              <w:bottom w:val="single" w:sz="4" w:space="0" w:color="auto"/>
              <w:right w:val="single" w:sz="4" w:space="0" w:color="auto"/>
            </w:tcBorders>
          </w:tcPr>
          <w:p w14:paraId="65CC6396"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2007</w:t>
            </w:r>
          </w:p>
        </w:tc>
      </w:tr>
      <w:tr w:rsidR="00883224" w:rsidRPr="00CE03E2" w14:paraId="3E73AC85" w14:textId="77777777" w:rsidTr="00883224">
        <w:tc>
          <w:tcPr>
            <w:tcW w:w="7788" w:type="dxa"/>
            <w:tcBorders>
              <w:top w:val="single" w:sz="4" w:space="0" w:color="auto"/>
              <w:left w:val="single" w:sz="4" w:space="0" w:color="auto"/>
              <w:bottom w:val="single" w:sz="4" w:space="0" w:color="auto"/>
              <w:right w:val="single" w:sz="4" w:space="0" w:color="auto"/>
            </w:tcBorders>
          </w:tcPr>
          <w:p w14:paraId="67A3EEC5"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Politique nationale de protection de l’environnement (PNPE)</w:t>
            </w:r>
          </w:p>
        </w:tc>
        <w:tc>
          <w:tcPr>
            <w:tcW w:w="1454" w:type="dxa"/>
            <w:tcBorders>
              <w:top w:val="single" w:sz="4" w:space="0" w:color="auto"/>
              <w:left w:val="single" w:sz="4" w:space="0" w:color="auto"/>
              <w:bottom w:val="single" w:sz="4" w:space="0" w:color="auto"/>
              <w:right w:val="single" w:sz="4" w:space="0" w:color="auto"/>
            </w:tcBorders>
          </w:tcPr>
          <w:p w14:paraId="170BE598" w14:textId="77777777" w:rsidR="00883224" w:rsidRPr="00CE03E2" w:rsidRDefault="00883224" w:rsidP="00883224">
            <w:pPr>
              <w:spacing w:after="0" w:line="240" w:lineRule="auto"/>
              <w:jc w:val="left"/>
              <w:rPr>
                <w:rFonts w:eastAsia="Calibri" w:cs="Arial"/>
                <w:spacing w:val="-2"/>
                <w:lang w:val="it-IT" w:eastAsia="fr-FR"/>
              </w:rPr>
            </w:pPr>
            <w:r w:rsidRPr="00CE03E2">
              <w:rPr>
                <w:rFonts w:eastAsia="Calibri" w:cs="Arial"/>
                <w:spacing w:val="-2"/>
                <w:lang w:val="it-IT" w:eastAsia="fr-FR"/>
              </w:rPr>
              <w:t xml:space="preserve">1998 </w:t>
            </w:r>
            <w:r w:rsidRPr="00CE03E2">
              <w:rPr>
                <w:rFonts w:eastAsia="Calibri" w:cs="Arial"/>
                <w:spacing w:val="-2"/>
                <w:sz w:val="17"/>
                <w:szCs w:val="17"/>
                <w:lang w:val="it-IT" w:eastAsia="fr-FR"/>
              </w:rPr>
              <w:t>(en cours  d’</w:t>
            </w:r>
            <w:r w:rsidRPr="00CE03E2">
              <w:rPr>
                <w:rFonts w:eastAsia="Calibri" w:cs="Arial"/>
                <w:spacing w:val="-2"/>
                <w:sz w:val="17"/>
                <w:szCs w:val="17"/>
                <w:lang w:val="fr-FR" w:eastAsia="fr-FR"/>
              </w:rPr>
              <w:t>actualisation)</w:t>
            </w:r>
          </w:p>
        </w:tc>
      </w:tr>
      <w:tr w:rsidR="00883224" w:rsidRPr="00CE03E2" w14:paraId="2F46CE3C" w14:textId="77777777" w:rsidTr="00883224">
        <w:tc>
          <w:tcPr>
            <w:tcW w:w="7788" w:type="dxa"/>
          </w:tcPr>
          <w:p w14:paraId="76AE3BE9" w14:textId="77777777" w:rsidR="00883224" w:rsidRPr="00CE03E2" w:rsidRDefault="00883224" w:rsidP="00883224">
            <w:pPr>
              <w:spacing w:after="0" w:line="240" w:lineRule="auto"/>
              <w:rPr>
                <w:rFonts w:cs="Arial"/>
                <w:lang w:val="fr-FR"/>
              </w:rPr>
            </w:pPr>
            <w:r w:rsidRPr="00CE03E2">
              <w:rPr>
                <w:rFonts w:cs="Arial"/>
                <w:lang w:val="fr-FR"/>
              </w:rPr>
              <w:t xml:space="preserve">Plan National d’Action Environnementale et les 9 Programmes d’Actions Nationaux (PAN) : </w:t>
            </w:r>
          </w:p>
          <w:p w14:paraId="153D526F" w14:textId="77777777" w:rsidR="00883224" w:rsidRPr="00CE03E2" w:rsidRDefault="00883224" w:rsidP="00883224">
            <w:pPr>
              <w:numPr>
                <w:ilvl w:val="1"/>
                <w:numId w:val="1"/>
              </w:numPr>
              <w:spacing w:after="0" w:line="240" w:lineRule="auto"/>
              <w:rPr>
                <w:rFonts w:cs="Arial"/>
                <w:sz w:val="18"/>
                <w:szCs w:val="18"/>
              </w:rPr>
            </w:pPr>
            <w:r w:rsidRPr="00CE03E2">
              <w:rPr>
                <w:rFonts w:cs="Arial"/>
                <w:sz w:val="18"/>
                <w:szCs w:val="18"/>
              </w:rPr>
              <w:t>Programme d‘aménagement du territoire</w:t>
            </w:r>
          </w:p>
          <w:p w14:paraId="6C90184E" w14:textId="77777777" w:rsidR="00883224" w:rsidRPr="00CE03E2" w:rsidRDefault="00883224" w:rsidP="00883224">
            <w:pPr>
              <w:numPr>
                <w:ilvl w:val="1"/>
                <w:numId w:val="1"/>
              </w:numPr>
              <w:spacing w:after="0" w:line="240" w:lineRule="auto"/>
              <w:rPr>
                <w:rFonts w:cs="Arial"/>
                <w:sz w:val="18"/>
                <w:szCs w:val="18"/>
                <w:lang w:val="fr-FR"/>
              </w:rPr>
            </w:pPr>
            <w:r w:rsidRPr="00CE03E2">
              <w:rPr>
                <w:rFonts w:cs="Arial"/>
                <w:sz w:val="18"/>
                <w:szCs w:val="18"/>
                <w:lang w:val="fr-FR"/>
              </w:rPr>
              <w:t>Programme de gestion des ressources naturelles</w:t>
            </w:r>
          </w:p>
          <w:p w14:paraId="6F015A13" w14:textId="77777777" w:rsidR="00883224" w:rsidRPr="00CE03E2" w:rsidRDefault="00883224" w:rsidP="00883224">
            <w:pPr>
              <w:numPr>
                <w:ilvl w:val="1"/>
                <w:numId w:val="1"/>
              </w:numPr>
              <w:spacing w:after="0" w:line="240" w:lineRule="auto"/>
              <w:rPr>
                <w:rFonts w:cs="Arial"/>
                <w:sz w:val="18"/>
                <w:szCs w:val="18"/>
                <w:lang w:val="fr-FR"/>
              </w:rPr>
            </w:pPr>
            <w:r w:rsidRPr="00CE03E2">
              <w:rPr>
                <w:rFonts w:cs="Arial"/>
                <w:sz w:val="18"/>
                <w:szCs w:val="18"/>
                <w:lang w:val="fr-FR"/>
              </w:rPr>
              <w:t>Programme de maîtrise des ressources en eau</w:t>
            </w:r>
          </w:p>
          <w:p w14:paraId="21E980EB" w14:textId="77777777" w:rsidR="00883224" w:rsidRPr="00CE03E2" w:rsidRDefault="00883224" w:rsidP="00883224">
            <w:pPr>
              <w:numPr>
                <w:ilvl w:val="1"/>
                <w:numId w:val="1"/>
              </w:numPr>
              <w:spacing w:after="0" w:line="240" w:lineRule="auto"/>
              <w:rPr>
                <w:rFonts w:cs="Arial"/>
                <w:sz w:val="18"/>
                <w:szCs w:val="18"/>
                <w:lang w:val="fr-FR"/>
              </w:rPr>
            </w:pPr>
            <w:r w:rsidRPr="00CE03E2">
              <w:rPr>
                <w:rFonts w:cs="Arial"/>
                <w:sz w:val="18"/>
                <w:szCs w:val="18"/>
                <w:lang w:val="fr-FR"/>
              </w:rPr>
              <w:t>Programme d’amélioration du cadre de vie</w:t>
            </w:r>
          </w:p>
          <w:p w14:paraId="16036E26" w14:textId="77777777" w:rsidR="00883224" w:rsidRPr="00CE03E2" w:rsidRDefault="00883224" w:rsidP="00883224">
            <w:pPr>
              <w:numPr>
                <w:ilvl w:val="1"/>
                <w:numId w:val="1"/>
              </w:numPr>
              <w:spacing w:after="0" w:line="240" w:lineRule="auto"/>
              <w:rPr>
                <w:rFonts w:cs="Arial"/>
                <w:sz w:val="18"/>
                <w:szCs w:val="18"/>
                <w:lang w:val="fr-FR"/>
              </w:rPr>
            </w:pPr>
            <w:r w:rsidRPr="00CE03E2">
              <w:rPr>
                <w:rFonts w:cs="Arial"/>
                <w:sz w:val="18"/>
                <w:szCs w:val="18"/>
                <w:lang w:val="fr-FR"/>
              </w:rPr>
              <w:t>Programme de développement des ressources en énergie nouvelles et renouvelables</w:t>
            </w:r>
          </w:p>
          <w:p w14:paraId="1CA552D1" w14:textId="77777777" w:rsidR="00883224" w:rsidRPr="00CE03E2" w:rsidRDefault="00883224" w:rsidP="00883224">
            <w:pPr>
              <w:numPr>
                <w:ilvl w:val="1"/>
                <w:numId w:val="1"/>
              </w:numPr>
              <w:spacing w:after="0" w:line="240" w:lineRule="auto"/>
              <w:rPr>
                <w:rFonts w:cs="Arial"/>
                <w:sz w:val="18"/>
                <w:szCs w:val="18"/>
                <w:lang w:val="fr-FR"/>
              </w:rPr>
            </w:pPr>
            <w:r w:rsidRPr="00CE03E2">
              <w:rPr>
                <w:rFonts w:cs="Arial"/>
                <w:sz w:val="18"/>
                <w:szCs w:val="18"/>
                <w:lang w:val="fr-FR"/>
              </w:rPr>
              <w:t>Programme de gestion de l’information sur l’environnement</w:t>
            </w:r>
          </w:p>
          <w:p w14:paraId="0D66D972" w14:textId="77777777" w:rsidR="00883224" w:rsidRPr="00CE03E2" w:rsidRDefault="00883224" w:rsidP="00883224">
            <w:pPr>
              <w:numPr>
                <w:ilvl w:val="1"/>
                <w:numId w:val="1"/>
              </w:numPr>
              <w:spacing w:after="0" w:line="240" w:lineRule="auto"/>
              <w:rPr>
                <w:rFonts w:cs="Arial"/>
                <w:sz w:val="18"/>
                <w:szCs w:val="18"/>
                <w:lang w:val="fr-FR"/>
              </w:rPr>
            </w:pPr>
            <w:r w:rsidRPr="00CE03E2">
              <w:rPr>
                <w:rFonts w:cs="Arial"/>
                <w:sz w:val="18"/>
                <w:szCs w:val="18"/>
                <w:lang w:val="fr-FR"/>
              </w:rPr>
              <w:t>Programme d’information, d’éducation et de communication en environnement</w:t>
            </w:r>
          </w:p>
          <w:p w14:paraId="3DB0A2C3" w14:textId="77777777" w:rsidR="00883224" w:rsidRPr="00CE03E2" w:rsidRDefault="00883224" w:rsidP="00883224">
            <w:pPr>
              <w:numPr>
                <w:ilvl w:val="1"/>
                <w:numId w:val="1"/>
              </w:numPr>
              <w:spacing w:after="0" w:line="240" w:lineRule="auto"/>
              <w:rPr>
                <w:rFonts w:cs="Arial"/>
                <w:sz w:val="18"/>
                <w:szCs w:val="18"/>
                <w:lang w:val="fr-FR"/>
              </w:rPr>
            </w:pPr>
            <w:r w:rsidRPr="00CE03E2">
              <w:rPr>
                <w:rFonts w:cs="Arial"/>
                <w:sz w:val="18"/>
                <w:szCs w:val="18"/>
                <w:lang w:val="fr-FR"/>
              </w:rPr>
              <w:t>Programme de suivi de la mise en œuvre des conventions</w:t>
            </w:r>
          </w:p>
          <w:p w14:paraId="3C60DD18" w14:textId="77777777" w:rsidR="00883224" w:rsidRPr="00CE03E2" w:rsidRDefault="00883224" w:rsidP="00883224">
            <w:pPr>
              <w:numPr>
                <w:ilvl w:val="1"/>
                <w:numId w:val="1"/>
              </w:numPr>
              <w:spacing w:after="0" w:line="240" w:lineRule="auto"/>
              <w:rPr>
                <w:rFonts w:cs="Arial"/>
                <w:sz w:val="18"/>
                <w:szCs w:val="18"/>
                <w:lang w:val="fr-FR"/>
              </w:rPr>
            </w:pPr>
            <w:r w:rsidRPr="00CE03E2">
              <w:rPr>
                <w:rFonts w:cs="Arial"/>
                <w:sz w:val="18"/>
                <w:szCs w:val="18"/>
                <w:lang w:val="fr-FR"/>
              </w:rPr>
              <w:t>Programme de recherche sur la lutte contre la désertification et la protection de l’environnement.</w:t>
            </w:r>
          </w:p>
        </w:tc>
        <w:tc>
          <w:tcPr>
            <w:tcW w:w="1454" w:type="dxa"/>
          </w:tcPr>
          <w:p w14:paraId="6B0EBBC8"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1998</w:t>
            </w:r>
          </w:p>
        </w:tc>
      </w:tr>
      <w:tr w:rsidR="00883224" w:rsidRPr="00CE03E2" w14:paraId="185AE772" w14:textId="77777777" w:rsidTr="00883224">
        <w:tc>
          <w:tcPr>
            <w:tcW w:w="7788" w:type="dxa"/>
            <w:tcBorders>
              <w:top w:val="single" w:sz="4" w:space="0" w:color="auto"/>
              <w:left w:val="single" w:sz="4" w:space="0" w:color="auto"/>
              <w:bottom w:val="single" w:sz="4" w:space="0" w:color="auto"/>
              <w:right w:val="single" w:sz="4" w:space="0" w:color="auto"/>
            </w:tcBorders>
            <w:hideMark/>
          </w:tcPr>
          <w:p w14:paraId="4A62A0E6"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Stratégie Nationale de Développement Durable</w:t>
            </w:r>
          </w:p>
        </w:tc>
        <w:tc>
          <w:tcPr>
            <w:tcW w:w="1454" w:type="dxa"/>
            <w:tcBorders>
              <w:top w:val="single" w:sz="4" w:space="0" w:color="auto"/>
              <w:left w:val="single" w:sz="4" w:space="0" w:color="auto"/>
              <w:bottom w:val="single" w:sz="4" w:space="0" w:color="auto"/>
              <w:right w:val="single" w:sz="4" w:space="0" w:color="auto"/>
            </w:tcBorders>
            <w:hideMark/>
          </w:tcPr>
          <w:p w14:paraId="44C36DDF"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draft</w:t>
            </w:r>
          </w:p>
        </w:tc>
      </w:tr>
      <w:tr w:rsidR="00883224" w:rsidRPr="00CE03E2" w14:paraId="061BFAE4" w14:textId="77777777" w:rsidTr="00883224">
        <w:tc>
          <w:tcPr>
            <w:tcW w:w="7788" w:type="dxa"/>
            <w:tcBorders>
              <w:top w:val="single" w:sz="4" w:space="0" w:color="auto"/>
              <w:left w:val="single" w:sz="4" w:space="0" w:color="auto"/>
              <w:bottom w:val="single" w:sz="4" w:space="0" w:color="auto"/>
              <w:right w:val="single" w:sz="4" w:space="0" w:color="auto"/>
            </w:tcBorders>
          </w:tcPr>
          <w:p w14:paraId="726DB550"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Stratégie Nationale de recherche pour l’environnement</w:t>
            </w:r>
          </w:p>
        </w:tc>
        <w:tc>
          <w:tcPr>
            <w:tcW w:w="1454" w:type="dxa"/>
            <w:tcBorders>
              <w:top w:val="single" w:sz="4" w:space="0" w:color="auto"/>
              <w:left w:val="single" w:sz="4" w:space="0" w:color="auto"/>
              <w:bottom w:val="single" w:sz="4" w:space="0" w:color="auto"/>
              <w:right w:val="single" w:sz="4" w:space="0" w:color="auto"/>
            </w:tcBorders>
          </w:tcPr>
          <w:p w14:paraId="75D1A10A"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2009</w:t>
            </w:r>
          </w:p>
        </w:tc>
      </w:tr>
      <w:tr w:rsidR="00883224" w:rsidRPr="00CE03E2" w14:paraId="5728A066" w14:textId="77777777" w:rsidTr="00883224">
        <w:tc>
          <w:tcPr>
            <w:tcW w:w="7788" w:type="dxa"/>
            <w:tcBorders>
              <w:top w:val="single" w:sz="4" w:space="0" w:color="auto"/>
              <w:left w:val="single" w:sz="4" w:space="0" w:color="auto"/>
              <w:bottom w:val="single" w:sz="4" w:space="0" w:color="auto"/>
              <w:right w:val="single" w:sz="4" w:space="0" w:color="auto"/>
            </w:tcBorders>
          </w:tcPr>
          <w:p w14:paraId="7A74B2D9"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Stratégie Nationale d’éducation environnementale</w:t>
            </w:r>
          </w:p>
        </w:tc>
        <w:tc>
          <w:tcPr>
            <w:tcW w:w="1454" w:type="dxa"/>
            <w:tcBorders>
              <w:top w:val="single" w:sz="4" w:space="0" w:color="auto"/>
              <w:left w:val="single" w:sz="4" w:space="0" w:color="auto"/>
              <w:bottom w:val="single" w:sz="4" w:space="0" w:color="auto"/>
              <w:right w:val="single" w:sz="4" w:space="0" w:color="auto"/>
            </w:tcBorders>
          </w:tcPr>
          <w:p w14:paraId="69FE2D9C"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2009</w:t>
            </w:r>
          </w:p>
        </w:tc>
      </w:tr>
      <w:tr w:rsidR="00883224" w:rsidRPr="00CE03E2" w14:paraId="2D755809" w14:textId="77777777" w:rsidTr="00883224">
        <w:tc>
          <w:tcPr>
            <w:tcW w:w="7788" w:type="dxa"/>
            <w:tcBorders>
              <w:top w:val="single" w:sz="4" w:space="0" w:color="auto"/>
              <w:left w:val="single" w:sz="4" w:space="0" w:color="auto"/>
              <w:bottom w:val="single" w:sz="4" w:space="0" w:color="auto"/>
              <w:right w:val="single" w:sz="4" w:space="0" w:color="auto"/>
            </w:tcBorders>
          </w:tcPr>
          <w:p w14:paraId="4C9E4404"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Stratégie Nationale de communication en environnement</w:t>
            </w:r>
          </w:p>
        </w:tc>
        <w:tc>
          <w:tcPr>
            <w:tcW w:w="1454" w:type="dxa"/>
            <w:tcBorders>
              <w:top w:val="single" w:sz="4" w:space="0" w:color="auto"/>
              <w:left w:val="single" w:sz="4" w:space="0" w:color="auto"/>
              <w:bottom w:val="single" w:sz="4" w:space="0" w:color="auto"/>
              <w:right w:val="single" w:sz="4" w:space="0" w:color="auto"/>
            </w:tcBorders>
          </w:tcPr>
          <w:p w14:paraId="6EA43AEC"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2009</w:t>
            </w:r>
          </w:p>
        </w:tc>
      </w:tr>
      <w:tr w:rsidR="00883224" w:rsidRPr="00CE03E2" w14:paraId="5FA3FA9B" w14:textId="77777777" w:rsidTr="00883224">
        <w:tc>
          <w:tcPr>
            <w:tcW w:w="7788" w:type="dxa"/>
            <w:tcBorders>
              <w:top w:val="single" w:sz="4" w:space="0" w:color="auto"/>
              <w:left w:val="single" w:sz="4" w:space="0" w:color="auto"/>
              <w:bottom w:val="single" w:sz="4" w:space="0" w:color="auto"/>
              <w:right w:val="single" w:sz="4" w:space="0" w:color="auto"/>
            </w:tcBorders>
          </w:tcPr>
          <w:p w14:paraId="09BF251E"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Programme National Information, Education et Communication en Environnement (IEC)</w:t>
            </w:r>
          </w:p>
        </w:tc>
        <w:tc>
          <w:tcPr>
            <w:tcW w:w="1454" w:type="dxa"/>
            <w:tcBorders>
              <w:top w:val="single" w:sz="4" w:space="0" w:color="auto"/>
              <w:left w:val="single" w:sz="4" w:space="0" w:color="auto"/>
              <w:bottom w:val="single" w:sz="4" w:space="0" w:color="auto"/>
              <w:right w:val="single" w:sz="4" w:space="0" w:color="auto"/>
            </w:tcBorders>
          </w:tcPr>
          <w:p w14:paraId="04FFAD32" w14:textId="77777777" w:rsidR="00883224" w:rsidRPr="00CE03E2" w:rsidRDefault="00883224" w:rsidP="00883224">
            <w:pPr>
              <w:spacing w:after="0" w:line="240" w:lineRule="auto"/>
              <w:rPr>
                <w:rFonts w:eastAsia="Calibri" w:cs="Arial"/>
                <w:spacing w:val="-2"/>
                <w:lang w:val="fr-FR" w:eastAsia="fr-FR"/>
              </w:rPr>
            </w:pPr>
          </w:p>
        </w:tc>
      </w:tr>
      <w:tr w:rsidR="00883224" w:rsidRPr="00CE03E2" w14:paraId="1012856A" w14:textId="77777777" w:rsidTr="00883224">
        <w:tc>
          <w:tcPr>
            <w:tcW w:w="7788" w:type="dxa"/>
            <w:tcBorders>
              <w:top w:val="single" w:sz="4" w:space="0" w:color="auto"/>
              <w:left w:val="single" w:sz="4" w:space="0" w:color="auto"/>
              <w:bottom w:val="single" w:sz="4" w:space="0" w:color="auto"/>
              <w:right w:val="single" w:sz="4" w:space="0" w:color="auto"/>
            </w:tcBorders>
          </w:tcPr>
          <w:p w14:paraId="30D1E2ED"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Problématique du droit de l’environnement</w:t>
            </w:r>
          </w:p>
        </w:tc>
        <w:tc>
          <w:tcPr>
            <w:tcW w:w="1454" w:type="dxa"/>
            <w:tcBorders>
              <w:top w:val="single" w:sz="4" w:space="0" w:color="auto"/>
              <w:left w:val="single" w:sz="4" w:space="0" w:color="auto"/>
              <w:bottom w:val="single" w:sz="4" w:space="0" w:color="auto"/>
              <w:right w:val="single" w:sz="4" w:space="0" w:color="auto"/>
            </w:tcBorders>
          </w:tcPr>
          <w:p w14:paraId="7EFB7709"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envisagé</w:t>
            </w:r>
          </w:p>
        </w:tc>
      </w:tr>
      <w:tr w:rsidR="00883224" w:rsidRPr="00CE03E2" w14:paraId="7BE584FC" w14:textId="77777777" w:rsidTr="00883224">
        <w:tc>
          <w:tcPr>
            <w:tcW w:w="7788" w:type="dxa"/>
            <w:tcBorders>
              <w:top w:val="single" w:sz="4" w:space="0" w:color="auto"/>
              <w:left w:val="single" w:sz="4" w:space="0" w:color="auto"/>
              <w:bottom w:val="single" w:sz="4" w:space="0" w:color="auto"/>
              <w:right w:val="single" w:sz="4" w:space="0" w:color="auto"/>
            </w:tcBorders>
          </w:tcPr>
          <w:p w14:paraId="3194F1C6"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Stratégie de financement de l’environnement</w:t>
            </w:r>
          </w:p>
        </w:tc>
        <w:tc>
          <w:tcPr>
            <w:tcW w:w="1454" w:type="dxa"/>
            <w:tcBorders>
              <w:top w:val="single" w:sz="4" w:space="0" w:color="auto"/>
              <w:left w:val="single" w:sz="4" w:space="0" w:color="auto"/>
              <w:bottom w:val="single" w:sz="4" w:space="0" w:color="auto"/>
              <w:right w:val="single" w:sz="4" w:space="0" w:color="auto"/>
            </w:tcBorders>
          </w:tcPr>
          <w:p w14:paraId="3A0C1099"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2009</w:t>
            </w:r>
          </w:p>
        </w:tc>
      </w:tr>
      <w:tr w:rsidR="00883224" w:rsidRPr="00CE03E2" w14:paraId="52A47ED4" w14:textId="77777777" w:rsidTr="00883224">
        <w:tc>
          <w:tcPr>
            <w:tcW w:w="7788" w:type="dxa"/>
            <w:tcBorders>
              <w:top w:val="single" w:sz="4" w:space="0" w:color="auto"/>
              <w:left w:val="single" w:sz="4" w:space="0" w:color="auto"/>
              <w:bottom w:val="single" w:sz="4" w:space="0" w:color="auto"/>
              <w:right w:val="single" w:sz="4" w:space="0" w:color="auto"/>
            </w:tcBorders>
          </w:tcPr>
          <w:p w14:paraId="2F2BBBB9"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Loi n° 08-042 sur la sécurité en biotechnologie au Mali</w:t>
            </w:r>
          </w:p>
        </w:tc>
        <w:tc>
          <w:tcPr>
            <w:tcW w:w="1454" w:type="dxa"/>
            <w:tcBorders>
              <w:top w:val="single" w:sz="4" w:space="0" w:color="auto"/>
              <w:left w:val="single" w:sz="4" w:space="0" w:color="auto"/>
              <w:bottom w:val="single" w:sz="4" w:space="0" w:color="auto"/>
              <w:right w:val="single" w:sz="4" w:space="0" w:color="auto"/>
            </w:tcBorders>
          </w:tcPr>
          <w:p w14:paraId="3BCD6B91"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2008</w:t>
            </w:r>
          </w:p>
        </w:tc>
      </w:tr>
      <w:tr w:rsidR="00883224" w:rsidRPr="00CE03E2" w14:paraId="4571EBCC" w14:textId="77777777" w:rsidTr="00883224">
        <w:tc>
          <w:tcPr>
            <w:tcW w:w="7788" w:type="dxa"/>
          </w:tcPr>
          <w:p w14:paraId="0BA26D1A"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Cadre National de biosécurité</w:t>
            </w:r>
          </w:p>
        </w:tc>
        <w:tc>
          <w:tcPr>
            <w:tcW w:w="1454" w:type="dxa"/>
          </w:tcPr>
          <w:p w14:paraId="71402900"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2007</w:t>
            </w:r>
          </w:p>
        </w:tc>
      </w:tr>
      <w:tr w:rsidR="00883224" w:rsidRPr="00CE03E2" w14:paraId="16D5515A" w14:textId="77777777" w:rsidTr="00883224">
        <w:tc>
          <w:tcPr>
            <w:tcW w:w="7788" w:type="dxa"/>
            <w:tcBorders>
              <w:top w:val="single" w:sz="4" w:space="0" w:color="auto"/>
              <w:left w:val="single" w:sz="4" w:space="0" w:color="auto"/>
              <w:bottom w:val="single" w:sz="4" w:space="0" w:color="auto"/>
              <w:right w:val="single" w:sz="4" w:space="0" w:color="auto"/>
            </w:tcBorders>
          </w:tcPr>
          <w:p w14:paraId="3E6FC242"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Loi n° 01-020 du 30 mai 2001 relative aux pollutions et aux nuisances</w:t>
            </w:r>
          </w:p>
        </w:tc>
        <w:tc>
          <w:tcPr>
            <w:tcW w:w="1454" w:type="dxa"/>
            <w:tcBorders>
              <w:top w:val="single" w:sz="4" w:space="0" w:color="auto"/>
              <w:left w:val="single" w:sz="4" w:space="0" w:color="auto"/>
              <w:bottom w:val="single" w:sz="4" w:space="0" w:color="auto"/>
              <w:right w:val="single" w:sz="4" w:space="0" w:color="auto"/>
            </w:tcBorders>
          </w:tcPr>
          <w:p w14:paraId="607C2CF3"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05/2001</w:t>
            </w:r>
          </w:p>
        </w:tc>
      </w:tr>
      <w:tr w:rsidR="00883224" w:rsidRPr="00CE03E2" w14:paraId="19B8FAD3" w14:textId="77777777" w:rsidTr="00883224">
        <w:tc>
          <w:tcPr>
            <w:tcW w:w="7788" w:type="dxa"/>
            <w:tcBorders>
              <w:top w:val="single" w:sz="4" w:space="0" w:color="auto"/>
              <w:left w:val="single" w:sz="4" w:space="0" w:color="auto"/>
              <w:bottom w:val="single" w:sz="4" w:space="0" w:color="auto"/>
              <w:right w:val="single" w:sz="4" w:space="0" w:color="auto"/>
            </w:tcBorders>
            <w:shd w:val="pct5" w:color="auto" w:fill="auto"/>
            <w:hideMark/>
          </w:tcPr>
          <w:p w14:paraId="109EB2D4" w14:textId="77777777" w:rsidR="00883224" w:rsidRPr="00CE03E2" w:rsidRDefault="00883224" w:rsidP="00883224">
            <w:pPr>
              <w:spacing w:after="0" w:line="240" w:lineRule="auto"/>
              <w:rPr>
                <w:rFonts w:eastAsia="Calibri" w:cs="Arial"/>
                <w:b/>
                <w:i/>
                <w:spacing w:val="-2"/>
                <w:lang w:val="it-IT" w:eastAsia="fr-FR"/>
              </w:rPr>
            </w:pPr>
            <w:r w:rsidRPr="00CE03E2">
              <w:rPr>
                <w:rFonts w:eastAsia="Calibri" w:cs="Arial"/>
                <w:b/>
                <w:i/>
                <w:spacing w:val="-2"/>
                <w:lang w:val="it-IT" w:eastAsia="fr-FR"/>
              </w:rPr>
              <w:t>Décentralisation, Aménagement du territoire</w:t>
            </w:r>
          </w:p>
        </w:tc>
        <w:tc>
          <w:tcPr>
            <w:tcW w:w="1454" w:type="dxa"/>
            <w:tcBorders>
              <w:top w:val="single" w:sz="4" w:space="0" w:color="auto"/>
              <w:left w:val="single" w:sz="4" w:space="0" w:color="auto"/>
              <w:bottom w:val="single" w:sz="4" w:space="0" w:color="auto"/>
              <w:right w:val="single" w:sz="4" w:space="0" w:color="auto"/>
            </w:tcBorders>
            <w:shd w:val="pct5" w:color="auto" w:fill="auto"/>
          </w:tcPr>
          <w:p w14:paraId="333F2D48" w14:textId="77777777" w:rsidR="00883224" w:rsidRPr="00CE03E2" w:rsidRDefault="00883224" w:rsidP="00883224">
            <w:pPr>
              <w:spacing w:after="0" w:line="240" w:lineRule="auto"/>
              <w:rPr>
                <w:rFonts w:eastAsia="Calibri" w:cs="Arial"/>
                <w:spacing w:val="-2"/>
                <w:lang w:val="it-IT" w:eastAsia="fr-FR"/>
              </w:rPr>
            </w:pPr>
          </w:p>
        </w:tc>
      </w:tr>
      <w:tr w:rsidR="00883224" w:rsidRPr="00CE03E2" w14:paraId="76F94EB3" w14:textId="77777777" w:rsidTr="00883224">
        <w:tc>
          <w:tcPr>
            <w:tcW w:w="7788" w:type="dxa"/>
            <w:tcBorders>
              <w:top w:val="single" w:sz="4" w:space="0" w:color="auto"/>
              <w:left w:val="single" w:sz="4" w:space="0" w:color="auto"/>
              <w:bottom w:val="single" w:sz="4" w:space="0" w:color="auto"/>
              <w:right w:val="single" w:sz="4" w:space="0" w:color="auto"/>
            </w:tcBorders>
          </w:tcPr>
          <w:p w14:paraId="687B380F" w14:textId="77777777" w:rsidR="00883224" w:rsidRPr="00983A2A" w:rsidRDefault="00883224" w:rsidP="00883224">
            <w:pPr>
              <w:spacing w:after="0" w:line="240" w:lineRule="auto"/>
              <w:rPr>
                <w:rFonts w:eastAsia="Calibri" w:cs="Arial"/>
                <w:spacing w:val="-2"/>
                <w:lang w:val="fr-FR" w:eastAsia="fr-FR"/>
              </w:rPr>
            </w:pPr>
            <w:r w:rsidRPr="00983A2A">
              <w:rPr>
                <w:rFonts w:eastAsia="Calibri" w:cs="Arial"/>
                <w:spacing w:val="-2"/>
                <w:lang w:val="fr-FR" w:eastAsia="fr-FR"/>
              </w:rPr>
              <w:t>Décret N°2018-079/P-RM du 29 janvier 2018 fixant le détail des compétences de l’Etat transférées aux collectivités territoriales en matière de gestion des ressources forestières et fauniques</w:t>
            </w:r>
          </w:p>
        </w:tc>
        <w:tc>
          <w:tcPr>
            <w:tcW w:w="1454" w:type="dxa"/>
            <w:tcBorders>
              <w:top w:val="single" w:sz="4" w:space="0" w:color="auto"/>
              <w:left w:val="single" w:sz="4" w:space="0" w:color="auto"/>
              <w:bottom w:val="single" w:sz="4" w:space="0" w:color="auto"/>
              <w:right w:val="single" w:sz="4" w:space="0" w:color="auto"/>
            </w:tcBorders>
          </w:tcPr>
          <w:p w14:paraId="5A227542"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01/2018</w:t>
            </w:r>
          </w:p>
        </w:tc>
      </w:tr>
      <w:tr w:rsidR="00883224" w:rsidRPr="00CE03E2" w14:paraId="2F99E869" w14:textId="77777777" w:rsidTr="00883224">
        <w:tc>
          <w:tcPr>
            <w:tcW w:w="7788" w:type="dxa"/>
            <w:tcBorders>
              <w:top w:val="single" w:sz="4" w:space="0" w:color="auto"/>
              <w:left w:val="single" w:sz="4" w:space="0" w:color="auto"/>
              <w:bottom w:val="single" w:sz="4" w:space="0" w:color="auto"/>
              <w:right w:val="single" w:sz="4" w:space="0" w:color="auto"/>
            </w:tcBorders>
          </w:tcPr>
          <w:p w14:paraId="554D0E2E" w14:textId="77777777" w:rsidR="00883224" w:rsidRPr="00983A2A" w:rsidRDefault="00883224" w:rsidP="00883224">
            <w:pPr>
              <w:spacing w:after="0" w:line="240" w:lineRule="auto"/>
              <w:rPr>
                <w:rFonts w:eastAsia="Calibri" w:cs="Arial"/>
                <w:spacing w:val="-2"/>
                <w:lang w:val="fr-FR" w:eastAsia="fr-FR"/>
              </w:rPr>
            </w:pPr>
            <w:r w:rsidRPr="00983A2A">
              <w:rPr>
                <w:rFonts w:eastAsia="Calibri" w:cs="Arial"/>
                <w:spacing w:val="-2"/>
                <w:lang w:val="fr-FR" w:eastAsia="fr-FR"/>
              </w:rPr>
              <w:t xml:space="preserve">Code des Collectivités Territoriales (Loi N° 2017-51 du 2 octobre 2017 portant code des </w:t>
            </w:r>
            <w:r w:rsidRPr="00983A2A">
              <w:rPr>
                <w:rFonts w:eastAsia="Calibri" w:cs="Arial"/>
                <w:spacing w:val="-2"/>
                <w:lang w:val="fr-FR" w:eastAsia="fr-FR"/>
              </w:rPr>
              <w:lastRenderedPageBreak/>
              <w:t>collectivités territoriales</w:t>
            </w:r>
          </w:p>
        </w:tc>
        <w:tc>
          <w:tcPr>
            <w:tcW w:w="1454" w:type="dxa"/>
            <w:tcBorders>
              <w:top w:val="single" w:sz="4" w:space="0" w:color="auto"/>
              <w:left w:val="single" w:sz="4" w:space="0" w:color="auto"/>
              <w:bottom w:val="single" w:sz="4" w:space="0" w:color="auto"/>
              <w:right w:val="single" w:sz="4" w:space="0" w:color="auto"/>
            </w:tcBorders>
          </w:tcPr>
          <w:p w14:paraId="0825DCF2"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lastRenderedPageBreak/>
              <w:t>10/2017</w:t>
            </w:r>
          </w:p>
        </w:tc>
      </w:tr>
      <w:tr w:rsidR="00883224" w:rsidRPr="00CE03E2" w14:paraId="7639CA23" w14:textId="77777777" w:rsidTr="00883224">
        <w:tc>
          <w:tcPr>
            <w:tcW w:w="7788" w:type="dxa"/>
            <w:tcBorders>
              <w:top w:val="single" w:sz="4" w:space="0" w:color="auto"/>
              <w:left w:val="single" w:sz="4" w:space="0" w:color="auto"/>
              <w:bottom w:val="single" w:sz="4" w:space="0" w:color="auto"/>
              <w:right w:val="single" w:sz="4" w:space="0" w:color="auto"/>
            </w:tcBorders>
          </w:tcPr>
          <w:p w14:paraId="3E75DC56" w14:textId="77777777" w:rsidR="00883224" w:rsidRPr="00983A2A" w:rsidRDefault="00883224" w:rsidP="00883224">
            <w:pPr>
              <w:spacing w:after="0" w:line="240" w:lineRule="auto"/>
              <w:rPr>
                <w:rFonts w:eastAsia="Calibri" w:cs="Arial"/>
                <w:spacing w:val="-2"/>
                <w:lang w:val="fr-FR" w:eastAsia="fr-FR"/>
              </w:rPr>
            </w:pPr>
            <w:r w:rsidRPr="00983A2A">
              <w:rPr>
                <w:rFonts w:eastAsia="Calibri" w:cs="Arial"/>
                <w:spacing w:val="-2"/>
                <w:lang w:val="fr-FR" w:eastAsia="fr-FR"/>
              </w:rPr>
              <w:lastRenderedPageBreak/>
              <w:t>Document Cadre de Politique Nationale de Décentralisation (DCPND) 2015-2024</w:t>
            </w:r>
          </w:p>
        </w:tc>
        <w:tc>
          <w:tcPr>
            <w:tcW w:w="1454" w:type="dxa"/>
            <w:tcBorders>
              <w:top w:val="single" w:sz="4" w:space="0" w:color="auto"/>
              <w:left w:val="single" w:sz="4" w:space="0" w:color="auto"/>
              <w:bottom w:val="single" w:sz="4" w:space="0" w:color="auto"/>
              <w:right w:val="single" w:sz="4" w:space="0" w:color="auto"/>
            </w:tcBorders>
          </w:tcPr>
          <w:p w14:paraId="4A92A110"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02/2016</w:t>
            </w:r>
          </w:p>
        </w:tc>
      </w:tr>
      <w:tr w:rsidR="00883224" w:rsidRPr="00CE03E2" w14:paraId="64038719" w14:textId="77777777" w:rsidTr="00883224">
        <w:tc>
          <w:tcPr>
            <w:tcW w:w="7788" w:type="dxa"/>
            <w:tcBorders>
              <w:top w:val="single" w:sz="4" w:space="0" w:color="auto"/>
              <w:left w:val="single" w:sz="4" w:space="0" w:color="auto"/>
              <w:bottom w:val="single" w:sz="4" w:space="0" w:color="auto"/>
              <w:right w:val="single" w:sz="4" w:space="0" w:color="auto"/>
            </w:tcBorders>
          </w:tcPr>
          <w:p w14:paraId="220C8D10"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Politique Nationale Domaniale et Foncière</w:t>
            </w:r>
          </w:p>
        </w:tc>
        <w:tc>
          <w:tcPr>
            <w:tcW w:w="1454" w:type="dxa"/>
            <w:tcBorders>
              <w:top w:val="single" w:sz="4" w:space="0" w:color="auto"/>
              <w:left w:val="single" w:sz="4" w:space="0" w:color="auto"/>
              <w:bottom w:val="single" w:sz="4" w:space="0" w:color="auto"/>
              <w:right w:val="single" w:sz="4" w:space="0" w:color="auto"/>
            </w:tcBorders>
          </w:tcPr>
          <w:p w14:paraId="568C6B77"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En cours</w:t>
            </w:r>
          </w:p>
        </w:tc>
      </w:tr>
      <w:tr w:rsidR="00883224" w:rsidRPr="00CE03E2" w14:paraId="4F59EF18" w14:textId="77777777" w:rsidTr="00883224">
        <w:tc>
          <w:tcPr>
            <w:tcW w:w="7788" w:type="dxa"/>
            <w:tcBorders>
              <w:top w:val="single" w:sz="4" w:space="0" w:color="auto"/>
              <w:left w:val="single" w:sz="4" w:space="0" w:color="auto"/>
              <w:bottom w:val="single" w:sz="4" w:space="0" w:color="auto"/>
              <w:right w:val="single" w:sz="4" w:space="0" w:color="auto"/>
            </w:tcBorders>
          </w:tcPr>
          <w:p w14:paraId="7662C63C"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Code domanial et foncier</w:t>
            </w:r>
          </w:p>
        </w:tc>
        <w:tc>
          <w:tcPr>
            <w:tcW w:w="1454" w:type="dxa"/>
            <w:tcBorders>
              <w:top w:val="single" w:sz="4" w:space="0" w:color="auto"/>
              <w:left w:val="single" w:sz="4" w:space="0" w:color="auto"/>
              <w:bottom w:val="single" w:sz="4" w:space="0" w:color="auto"/>
              <w:right w:val="single" w:sz="4" w:space="0" w:color="auto"/>
            </w:tcBorders>
          </w:tcPr>
          <w:p w14:paraId="465BEB2D"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03/2000</w:t>
            </w:r>
          </w:p>
        </w:tc>
      </w:tr>
      <w:tr w:rsidR="00883224" w:rsidRPr="00CE03E2" w14:paraId="446AB9A4" w14:textId="77777777" w:rsidTr="00883224">
        <w:tc>
          <w:tcPr>
            <w:tcW w:w="7788" w:type="dxa"/>
          </w:tcPr>
          <w:p w14:paraId="48364C14" w14:textId="77777777" w:rsidR="00883224" w:rsidRPr="001C565E" w:rsidRDefault="0015192F" w:rsidP="0015192F">
            <w:pPr>
              <w:spacing w:after="0" w:line="240" w:lineRule="auto"/>
              <w:jc w:val="left"/>
              <w:rPr>
                <w:rFonts w:eastAsia="Calibri" w:cs="Arial"/>
                <w:spacing w:val="-2"/>
                <w:lang w:val="fr-FR" w:eastAsia="fr-FR"/>
              </w:rPr>
            </w:pPr>
            <w:r w:rsidRPr="001C565E">
              <w:rPr>
                <w:rFonts w:eastAsiaTheme="minorHAnsi"/>
                <w:sz w:val="22"/>
                <w:lang w:val="fr-FR"/>
              </w:rPr>
              <w:t xml:space="preserve">Loi n°2017-019/ du 12 juin 2017 portant loi d’orientation pour l’aménagement du </w:t>
            </w:r>
            <w:r w:rsidRPr="001C565E">
              <w:rPr>
                <w:rFonts w:eastAsiaTheme="minorHAnsi" w:cstheme="minorBidi"/>
                <w:sz w:val="22"/>
                <w:szCs w:val="22"/>
                <w:lang w:val="fr-FR"/>
              </w:rPr>
              <w:t>territoire</w:t>
            </w:r>
            <w:r w:rsidRPr="001C565E">
              <w:rPr>
                <w:rFonts w:asciiTheme="minorHAnsi" w:eastAsiaTheme="minorHAnsi" w:hAnsiTheme="minorHAnsi" w:cstheme="minorBidi"/>
                <w:sz w:val="22"/>
                <w:szCs w:val="22"/>
                <w:lang w:val="fr-FR"/>
              </w:rPr>
              <w:t xml:space="preserve"> </w:t>
            </w:r>
          </w:p>
        </w:tc>
        <w:tc>
          <w:tcPr>
            <w:tcW w:w="1454" w:type="dxa"/>
          </w:tcPr>
          <w:p w14:paraId="6611655E" w14:textId="77777777" w:rsidR="00883224" w:rsidRPr="00CE03E2" w:rsidRDefault="0015192F" w:rsidP="00883224">
            <w:pPr>
              <w:spacing w:after="0" w:line="240" w:lineRule="auto"/>
              <w:rPr>
                <w:rFonts w:eastAsia="Calibri" w:cs="Arial"/>
                <w:spacing w:val="-2"/>
                <w:lang w:val="it-IT" w:eastAsia="fr-FR"/>
              </w:rPr>
            </w:pPr>
            <w:r w:rsidRPr="001C565E">
              <w:rPr>
                <w:rFonts w:eastAsia="Calibri" w:cs="Arial"/>
                <w:spacing w:val="-2"/>
                <w:lang w:val="it-IT" w:eastAsia="fr-FR"/>
              </w:rPr>
              <w:t>2017</w:t>
            </w:r>
          </w:p>
        </w:tc>
      </w:tr>
      <w:tr w:rsidR="00883224" w:rsidRPr="00CE03E2" w14:paraId="43A21B40" w14:textId="77777777" w:rsidTr="00883224">
        <w:trPr>
          <w:trHeight w:val="227"/>
        </w:trPr>
        <w:tc>
          <w:tcPr>
            <w:tcW w:w="7788" w:type="dxa"/>
          </w:tcPr>
          <w:p w14:paraId="4D609109"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Schéma Directeur du Secteur du Développement Rural (SDDR) 2000-2010</w:t>
            </w:r>
          </w:p>
        </w:tc>
        <w:tc>
          <w:tcPr>
            <w:tcW w:w="1454" w:type="dxa"/>
          </w:tcPr>
          <w:p w14:paraId="0CA8D28D"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2000</w:t>
            </w:r>
          </w:p>
        </w:tc>
      </w:tr>
      <w:tr w:rsidR="00883224" w:rsidRPr="00CE03E2" w14:paraId="6A2643C4" w14:textId="77777777" w:rsidTr="00883224">
        <w:tc>
          <w:tcPr>
            <w:tcW w:w="7788" w:type="dxa"/>
          </w:tcPr>
          <w:p w14:paraId="3CFC50A6"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Schéma National d’Aménagement du Territoire (SNAT)</w:t>
            </w:r>
          </w:p>
        </w:tc>
        <w:tc>
          <w:tcPr>
            <w:tcW w:w="1454" w:type="dxa"/>
          </w:tcPr>
          <w:p w14:paraId="36AEC772"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En révision</w:t>
            </w:r>
          </w:p>
        </w:tc>
      </w:tr>
      <w:tr w:rsidR="00883224" w:rsidRPr="00CE03E2" w14:paraId="78DDF09E" w14:textId="77777777" w:rsidTr="00883224">
        <w:tc>
          <w:tcPr>
            <w:tcW w:w="7788" w:type="dxa"/>
            <w:tcBorders>
              <w:top w:val="single" w:sz="4" w:space="0" w:color="auto"/>
              <w:left w:val="single" w:sz="4" w:space="0" w:color="auto"/>
              <w:bottom w:val="single" w:sz="4" w:space="0" w:color="auto"/>
              <w:right w:val="single" w:sz="4" w:space="0" w:color="auto"/>
            </w:tcBorders>
            <w:shd w:val="pct5" w:color="auto" w:fill="auto"/>
            <w:hideMark/>
          </w:tcPr>
          <w:p w14:paraId="5902B0DC" w14:textId="77777777" w:rsidR="00883224" w:rsidRPr="00CE03E2" w:rsidRDefault="00883224" w:rsidP="00883224">
            <w:pPr>
              <w:spacing w:after="0" w:line="240" w:lineRule="auto"/>
              <w:rPr>
                <w:rFonts w:eastAsia="Calibri" w:cs="Arial"/>
                <w:b/>
                <w:i/>
                <w:spacing w:val="-2"/>
                <w:lang w:val="it-IT" w:eastAsia="fr-FR"/>
              </w:rPr>
            </w:pPr>
            <w:r w:rsidRPr="00CE03E2">
              <w:rPr>
                <w:rFonts w:eastAsia="Calibri" w:cs="Arial"/>
                <w:b/>
                <w:i/>
                <w:spacing w:val="-2"/>
                <w:lang w:val="it-IT" w:eastAsia="fr-FR"/>
              </w:rPr>
              <w:t>Gestion des terres, désertification</w:t>
            </w:r>
          </w:p>
        </w:tc>
        <w:tc>
          <w:tcPr>
            <w:tcW w:w="1454" w:type="dxa"/>
            <w:tcBorders>
              <w:top w:val="single" w:sz="4" w:space="0" w:color="auto"/>
              <w:left w:val="single" w:sz="4" w:space="0" w:color="auto"/>
              <w:bottom w:val="single" w:sz="4" w:space="0" w:color="auto"/>
              <w:right w:val="single" w:sz="4" w:space="0" w:color="auto"/>
            </w:tcBorders>
            <w:shd w:val="pct5" w:color="auto" w:fill="auto"/>
          </w:tcPr>
          <w:p w14:paraId="5747CF06" w14:textId="77777777" w:rsidR="00883224" w:rsidRPr="00CE03E2" w:rsidRDefault="00883224" w:rsidP="00883224">
            <w:pPr>
              <w:spacing w:after="0" w:line="240" w:lineRule="auto"/>
              <w:rPr>
                <w:rFonts w:eastAsia="Calibri" w:cs="Arial"/>
                <w:spacing w:val="-2"/>
                <w:lang w:val="it-IT" w:eastAsia="fr-FR"/>
              </w:rPr>
            </w:pPr>
          </w:p>
        </w:tc>
      </w:tr>
      <w:tr w:rsidR="00883224" w:rsidRPr="00CE03E2" w14:paraId="37F99C07" w14:textId="77777777" w:rsidTr="00883224">
        <w:tc>
          <w:tcPr>
            <w:tcW w:w="7788" w:type="dxa"/>
            <w:tcBorders>
              <w:top w:val="single" w:sz="4" w:space="0" w:color="auto"/>
              <w:left w:val="single" w:sz="4" w:space="0" w:color="auto"/>
              <w:bottom w:val="single" w:sz="4" w:space="0" w:color="auto"/>
              <w:right w:val="single" w:sz="4" w:space="0" w:color="auto"/>
            </w:tcBorders>
          </w:tcPr>
          <w:p w14:paraId="7564DCA0"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Cadre stratégique d’investissement pour la gestion durable des terres (CSI-GDT)</w:t>
            </w:r>
          </w:p>
        </w:tc>
        <w:tc>
          <w:tcPr>
            <w:tcW w:w="1454" w:type="dxa"/>
            <w:tcBorders>
              <w:top w:val="single" w:sz="4" w:space="0" w:color="auto"/>
              <w:left w:val="single" w:sz="4" w:space="0" w:color="auto"/>
              <w:bottom w:val="single" w:sz="4" w:space="0" w:color="auto"/>
              <w:right w:val="single" w:sz="4" w:space="0" w:color="auto"/>
            </w:tcBorders>
          </w:tcPr>
          <w:p w14:paraId="3970D073"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6/2010</w:t>
            </w:r>
          </w:p>
        </w:tc>
      </w:tr>
      <w:tr w:rsidR="00883224" w:rsidRPr="00CE03E2" w14:paraId="3A82CDCF" w14:textId="77777777" w:rsidTr="00883224">
        <w:tc>
          <w:tcPr>
            <w:tcW w:w="7788" w:type="dxa"/>
            <w:tcBorders>
              <w:top w:val="single" w:sz="4" w:space="0" w:color="auto"/>
              <w:left w:val="single" w:sz="4" w:space="0" w:color="auto"/>
              <w:bottom w:val="single" w:sz="4" w:space="0" w:color="auto"/>
              <w:right w:val="single" w:sz="4" w:space="0" w:color="auto"/>
            </w:tcBorders>
          </w:tcPr>
          <w:p w14:paraId="7DE3809F"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Initiative de la Grande muraille verte (IGMV)</w:t>
            </w:r>
          </w:p>
        </w:tc>
        <w:tc>
          <w:tcPr>
            <w:tcW w:w="1454" w:type="dxa"/>
            <w:tcBorders>
              <w:top w:val="single" w:sz="4" w:space="0" w:color="auto"/>
              <w:left w:val="single" w:sz="4" w:space="0" w:color="auto"/>
              <w:bottom w:val="single" w:sz="4" w:space="0" w:color="auto"/>
              <w:right w:val="single" w:sz="4" w:space="0" w:color="auto"/>
            </w:tcBorders>
          </w:tcPr>
          <w:p w14:paraId="1BCA49ED"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2007 par l’UA</w:t>
            </w:r>
          </w:p>
        </w:tc>
      </w:tr>
      <w:tr w:rsidR="00883224" w:rsidRPr="00CE03E2" w14:paraId="65C6D11B" w14:textId="77777777" w:rsidTr="00883224">
        <w:tc>
          <w:tcPr>
            <w:tcW w:w="7788" w:type="dxa"/>
            <w:tcBorders>
              <w:top w:val="single" w:sz="4" w:space="0" w:color="auto"/>
              <w:left w:val="single" w:sz="4" w:space="0" w:color="auto"/>
              <w:bottom w:val="single" w:sz="4" w:space="0" w:color="auto"/>
              <w:right w:val="single" w:sz="4" w:space="0" w:color="auto"/>
            </w:tcBorders>
          </w:tcPr>
          <w:p w14:paraId="471E4754"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Plan d’action national pour l’environnement et la lutte contre la désertification</w:t>
            </w:r>
          </w:p>
        </w:tc>
        <w:tc>
          <w:tcPr>
            <w:tcW w:w="1454" w:type="dxa"/>
            <w:tcBorders>
              <w:top w:val="single" w:sz="4" w:space="0" w:color="auto"/>
              <w:left w:val="single" w:sz="4" w:space="0" w:color="auto"/>
              <w:bottom w:val="single" w:sz="4" w:space="0" w:color="auto"/>
              <w:right w:val="single" w:sz="4" w:space="0" w:color="auto"/>
            </w:tcBorders>
          </w:tcPr>
          <w:p w14:paraId="6FA34624"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1998</w:t>
            </w:r>
          </w:p>
        </w:tc>
      </w:tr>
      <w:tr w:rsidR="00883224" w:rsidRPr="00CE03E2" w14:paraId="295F59E9" w14:textId="77777777" w:rsidTr="00883224">
        <w:tc>
          <w:tcPr>
            <w:tcW w:w="7788" w:type="dxa"/>
            <w:tcBorders>
              <w:top w:val="single" w:sz="4" w:space="0" w:color="auto"/>
              <w:left w:val="single" w:sz="4" w:space="0" w:color="auto"/>
              <w:bottom w:val="single" w:sz="4" w:space="0" w:color="auto"/>
              <w:right w:val="single" w:sz="4" w:space="0" w:color="auto"/>
            </w:tcBorders>
          </w:tcPr>
          <w:p w14:paraId="1750E6BB"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Plan cadre stratégique décennal 2008-2018 de l’UNCCD</w:t>
            </w:r>
          </w:p>
        </w:tc>
        <w:tc>
          <w:tcPr>
            <w:tcW w:w="1454" w:type="dxa"/>
            <w:tcBorders>
              <w:top w:val="single" w:sz="4" w:space="0" w:color="auto"/>
              <w:left w:val="single" w:sz="4" w:space="0" w:color="auto"/>
              <w:bottom w:val="single" w:sz="4" w:space="0" w:color="auto"/>
              <w:right w:val="single" w:sz="4" w:space="0" w:color="auto"/>
            </w:tcBorders>
          </w:tcPr>
          <w:p w14:paraId="15B05952"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2008</w:t>
            </w:r>
          </w:p>
        </w:tc>
      </w:tr>
      <w:tr w:rsidR="00883224" w:rsidRPr="00CE03E2" w14:paraId="6BC2EB9C" w14:textId="77777777" w:rsidTr="00883224">
        <w:tc>
          <w:tcPr>
            <w:tcW w:w="7788" w:type="dxa"/>
            <w:tcBorders>
              <w:top w:val="single" w:sz="4" w:space="0" w:color="auto"/>
              <w:left w:val="single" w:sz="4" w:space="0" w:color="auto"/>
              <w:bottom w:val="single" w:sz="4" w:space="0" w:color="auto"/>
              <w:right w:val="single" w:sz="4" w:space="0" w:color="auto"/>
            </w:tcBorders>
          </w:tcPr>
          <w:p w14:paraId="4A08FF2F"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Politique de conservation des terres humides</w:t>
            </w:r>
          </w:p>
        </w:tc>
        <w:tc>
          <w:tcPr>
            <w:tcW w:w="1454" w:type="dxa"/>
            <w:tcBorders>
              <w:top w:val="single" w:sz="4" w:space="0" w:color="auto"/>
              <w:left w:val="single" w:sz="4" w:space="0" w:color="auto"/>
              <w:bottom w:val="single" w:sz="4" w:space="0" w:color="auto"/>
              <w:right w:val="single" w:sz="4" w:space="0" w:color="auto"/>
            </w:tcBorders>
          </w:tcPr>
          <w:p w14:paraId="5632891C"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2003</w:t>
            </w:r>
          </w:p>
        </w:tc>
      </w:tr>
      <w:tr w:rsidR="00883224" w:rsidRPr="00CE03E2" w14:paraId="2094C084" w14:textId="77777777" w:rsidTr="00883224">
        <w:tc>
          <w:tcPr>
            <w:tcW w:w="7788" w:type="dxa"/>
            <w:tcBorders>
              <w:top w:val="single" w:sz="4" w:space="0" w:color="auto"/>
              <w:left w:val="single" w:sz="4" w:space="0" w:color="auto"/>
              <w:bottom w:val="single" w:sz="4" w:space="0" w:color="auto"/>
              <w:right w:val="single" w:sz="4" w:space="0" w:color="auto"/>
            </w:tcBorders>
          </w:tcPr>
          <w:p w14:paraId="2FD5A3DA"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Politique Nationale Des Zones Humides (PNZH)</w:t>
            </w:r>
          </w:p>
        </w:tc>
        <w:tc>
          <w:tcPr>
            <w:tcW w:w="1454" w:type="dxa"/>
            <w:tcBorders>
              <w:top w:val="single" w:sz="4" w:space="0" w:color="auto"/>
              <w:left w:val="single" w:sz="4" w:space="0" w:color="auto"/>
              <w:bottom w:val="single" w:sz="4" w:space="0" w:color="auto"/>
              <w:right w:val="single" w:sz="4" w:space="0" w:color="auto"/>
            </w:tcBorders>
          </w:tcPr>
          <w:p w14:paraId="31FBB67E"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2007</w:t>
            </w:r>
          </w:p>
        </w:tc>
      </w:tr>
      <w:tr w:rsidR="00883224" w:rsidRPr="00CE03E2" w14:paraId="2AA22FBE" w14:textId="77777777" w:rsidTr="00883224">
        <w:tc>
          <w:tcPr>
            <w:tcW w:w="7788" w:type="dxa"/>
            <w:tcBorders>
              <w:top w:val="single" w:sz="4" w:space="0" w:color="auto"/>
              <w:left w:val="single" w:sz="4" w:space="0" w:color="auto"/>
              <w:bottom w:val="single" w:sz="4" w:space="0" w:color="auto"/>
              <w:right w:val="single" w:sz="4" w:space="0" w:color="auto"/>
            </w:tcBorders>
          </w:tcPr>
          <w:p w14:paraId="05AA3909"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Plan d’Action National de Gestion des Zones Humides (PAZU) – 2004 – 2008</w:t>
            </w:r>
          </w:p>
        </w:tc>
        <w:tc>
          <w:tcPr>
            <w:tcW w:w="1454" w:type="dxa"/>
            <w:tcBorders>
              <w:top w:val="single" w:sz="4" w:space="0" w:color="auto"/>
              <w:left w:val="single" w:sz="4" w:space="0" w:color="auto"/>
              <w:bottom w:val="single" w:sz="4" w:space="0" w:color="auto"/>
              <w:right w:val="single" w:sz="4" w:space="0" w:color="auto"/>
            </w:tcBorders>
          </w:tcPr>
          <w:p w14:paraId="6E5AC0C5"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2004</w:t>
            </w:r>
          </w:p>
        </w:tc>
      </w:tr>
      <w:tr w:rsidR="00883224" w:rsidRPr="00CE03E2" w14:paraId="53DBCEB9" w14:textId="77777777" w:rsidTr="00883224">
        <w:tc>
          <w:tcPr>
            <w:tcW w:w="7788" w:type="dxa"/>
            <w:tcBorders>
              <w:top w:val="single" w:sz="4" w:space="0" w:color="auto"/>
              <w:left w:val="single" w:sz="4" w:space="0" w:color="auto"/>
              <w:bottom w:val="single" w:sz="4" w:space="0" w:color="auto"/>
              <w:right w:val="single" w:sz="4" w:space="0" w:color="auto"/>
            </w:tcBorders>
          </w:tcPr>
          <w:p w14:paraId="2B0E4E56"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Stratégie Nationale de développement des zones arides</w:t>
            </w:r>
          </w:p>
        </w:tc>
        <w:tc>
          <w:tcPr>
            <w:tcW w:w="1454" w:type="dxa"/>
            <w:tcBorders>
              <w:top w:val="single" w:sz="4" w:space="0" w:color="auto"/>
              <w:left w:val="single" w:sz="4" w:space="0" w:color="auto"/>
              <w:bottom w:val="single" w:sz="4" w:space="0" w:color="auto"/>
              <w:right w:val="single" w:sz="4" w:space="0" w:color="auto"/>
            </w:tcBorders>
          </w:tcPr>
          <w:p w14:paraId="5EE00990"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2009</w:t>
            </w:r>
          </w:p>
        </w:tc>
      </w:tr>
      <w:tr w:rsidR="00883224" w:rsidRPr="00CE03E2" w14:paraId="58467DFB" w14:textId="77777777" w:rsidTr="00883224">
        <w:tc>
          <w:tcPr>
            <w:tcW w:w="7788" w:type="dxa"/>
            <w:tcBorders>
              <w:top w:val="single" w:sz="4" w:space="0" w:color="auto"/>
              <w:left w:val="single" w:sz="4" w:space="0" w:color="auto"/>
              <w:bottom w:val="single" w:sz="4" w:space="0" w:color="auto"/>
              <w:right w:val="single" w:sz="4" w:space="0" w:color="auto"/>
            </w:tcBorders>
            <w:shd w:val="pct5" w:color="auto" w:fill="auto"/>
            <w:hideMark/>
          </w:tcPr>
          <w:p w14:paraId="32968140" w14:textId="77777777" w:rsidR="00883224" w:rsidRPr="00CE03E2" w:rsidRDefault="00883224" w:rsidP="00883224">
            <w:pPr>
              <w:spacing w:after="0" w:line="240" w:lineRule="auto"/>
              <w:rPr>
                <w:rFonts w:eastAsia="Calibri" w:cs="Arial"/>
                <w:b/>
                <w:i/>
                <w:spacing w:val="-2"/>
                <w:lang w:val="it-IT" w:eastAsia="fr-FR"/>
              </w:rPr>
            </w:pPr>
            <w:r w:rsidRPr="00CE03E2">
              <w:rPr>
                <w:rFonts w:eastAsia="Calibri" w:cs="Arial"/>
                <w:b/>
                <w:i/>
                <w:spacing w:val="-2"/>
                <w:lang w:val="it-IT" w:eastAsia="fr-FR"/>
              </w:rPr>
              <w:t>Eau</w:t>
            </w:r>
          </w:p>
        </w:tc>
        <w:tc>
          <w:tcPr>
            <w:tcW w:w="1454" w:type="dxa"/>
            <w:tcBorders>
              <w:top w:val="single" w:sz="4" w:space="0" w:color="auto"/>
              <w:left w:val="single" w:sz="4" w:space="0" w:color="auto"/>
              <w:bottom w:val="single" w:sz="4" w:space="0" w:color="auto"/>
              <w:right w:val="single" w:sz="4" w:space="0" w:color="auto"/>
            </w:tcBorders>
            <w:shd w:val="pct5" w:color="auto" w:fill="auto"/>
          </w:tcPr>
          <w:p w14:paraId="52E93942" w14:textId="77777777" w:rsidR="00883224" w:rsidRPr="00CE03E2" w:rsidRDefault="00883224" w:rsidP="00883224">
            <w:pPr>
              <w:spacing w:after="0" w:line="240" w:lineRule="auto"/>
              <w:rPr>
                <w:rFonts w:eastAsia="Calibri" w:cs="Arial"/>
                <w:spacing w:val="-2"/>
                <w:lang w:val="it-IT" w:eastAsia="fr-FR"/>
              </w:rPr>
            </w:pPr>
          </w:p>
        </w:tc>
      </w:tr>
      <w:tr w:rsidR="00883224" w:rsidRPr="00CE03E2" w14:paraId="72EE6FE4" w14:textId="77777777" w:rsidTr="00883224">
        <w:tc>
          <w:tcPr>
            <w:tcW w:w="7788" w:type="dxa"/>
            <w:tcBorders>
              <w:top w:val="single" w:sz="4" w:space="0" w:color="auto"/>
              <w:left w:val="single" w:sz="4" w:space="0" w:color="auto"/>
              <w:bottom w:val="single" w:sz="4" w:space="0" w:color="auto"/>
              <w:right w:val="single" w:sz="4" w:space="0" w:color="auto"/>
            </w:tcBorders>
          </w:tcPr>
          <w:p w14:paraId="235BDA55"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Plan d’Action National Gestion Intégrée des Ressources en Eau (PAGIRE 2007-2011)</w:t>
            </w:r>
          </w:p>
        </w:tc>
        <w:tc>
          <w:tcPr>
            <w:tcW w:w="1454" w:type="dxa"/>
            <w:tcBorders>
              <w:top w:val="single" w:sz="4" w:space="0" w:color="auto"/>
              <w:left w:val="single" w:sz="4" w:space="0" w:color="auto"/>
              <w:bottom w:val="single" w:sz="4" w:space="0" w:color="auto"/>
              <w:right w:val="single" w:sz="4" w:space="0" w:color="auto"/>
            </w:tcBorders>
          </w:tcPr>
          <w:p w14:paraId="15D3A1AF"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04 / 2008</w:t>
            </w:r>
          </w:p>
        </w:tc>
      </w:tr>
      <w:tr w:rsidR="00883224" w:rsidRPr="00CE03E2" w14:paraId="5DA6E5AB" w14:textId="77777777" w:rsidTr="00883224">
        <w:tc>
          <w:tcPr>
            <w:tcW w:w="7788" w:type="dxa"/>
            <w:tcBorders>
              <w:top w:val="single" w:sz="4" w:space="0" w:color="auto"/>
              <w:left w:val="single" w:sz="4" w:space="0" w:color="auto"/>
              <w:bottom w:val="single" w:sz="4" w:space="0" w:color="auto"/>
              <w:right w:val="single" w:sz="4" w:space="0" w:color="auto"/>
            </w:tcBorders>
          </w:tcPr>
          <w:p w14:paraId="40477C4F"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Politique Nationale de l’Eau (PNE)</w:t>
            </w:r>
          </w:p>
        </w:tc>
        <w:tc>
          <w:tcPr>
            <w:tcW w:w="1454" w:type="dxa"/>
            <w:tcBorders>
              <w:top w:val="single" w:sz="4" w:space="0" w:color="auto"/>
              <w:left w:val="single" w:sz="4" w:space="0" w:color="auto"/>
              <w:bottom w:val="single" w:sz="4" w:space="0" w:color="auto"/>
              <w:right w:val="single" w:sz="4" w:space="0" w:color="auto"/>
            </w:tcBorders>
          </w:tcPr>
          <w:p w14:paraId="1178AD8E" w14:textId="77777777" w:rsidR="00883224" w:rsidRPr="00CE03E2" w:rsidRDefault="00883224" w:rsidP="00883224">
            <w:pPr>
              <w:spacing w:after="0" w:line="240" w:lineRule="auto"/>
              <w:rPr>
                <w:rFonts w:eastAsia="Calibri" w:cs="Arial"/>
                <w:spacing w:val="-2"/>
                <w:sz w:val="17"/>
                <w:szCs w:val="17"/>
                <w:lang w:val="it-IT" w:eastAsia="fr-FR"/>
              </w:rPr>
            </w:pPr>
            <w:r w:rsidRPr="00CE03E2">
              <w:rPr>
                <w:rFonts w:eastAsia="Calibri" w:cs="Arial"/>
                <w:spacing w:val="-2"/>
                <w:lang w:val="it-IT" w:eastAsia="fr-FR"/>
              </w:rPr>
              <w:t xml:space="preserve">2006, </w:t>
            </w:r>
            <w:r w:rsidRPr="00CE03E2">
              <w:rPr>
                <w:rFonts w:eastAsia="Calibri" w:cs="Arial"/>
                <w:spacing w:val="-2"/>
                <w:sz w:val="17"/>
                <w:szCs w:val="17"/>
                <w:lang w:val="it-IT" w:eastAsia="fr-FR"/>
              </w:rPr>
              <w:t>draft 2018</w:t>
            </w:r>
          </w:p>
        </w:tc>
      </w:tr>
      <w:tr w:rsidR="00883224" w:rsidRPr="00CE03E2" w14:paraId="10597F91" w14:textId="77777777" w:rsidTr="00883224">
        <w:tc>
          <w:tcPr>
            <w:tcW w:w="7788" w:type="dxa"/>
          </w:tcPr>
          <w:p w14:paraId="66C5BD17"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Plan National d’Accès à l’Eau (2004-2015)</w:t>
            </w:r>
          </w:p>
        </w:tc>
        <w:tc>
          <w:tcPr>
            <w:tcW w:w="1454" w:type="dxa"/>
          </w:tcPr>
          <w:p w14:paraId="4AF411BE"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2004</w:t>
            </w:r>
          </w:p>
        </w:tc>
      </w:tr>
      <w:tr w:rsidR="00883224" w:rsidRPr="00CE03E2" w14:paraId="45C7221B" w14:textId="77777777" w:rsidTr="00883224">
        <w:tc>
          <w:tcPr>
            <w:tcW w:w="7788" w:type="dxa"/>
            <w:tcBorders>
              <w:top w:val="single" w:sz="4" w:space="0" w:color="auto"/>
              <w:left w:val="single" w:sz="4" w:space="0" w:color="auto"/>
              <w:bottom w:val="single" w:sz="4" w:space="0" w:color="auto"/>
              <w:right w:val="single" w:sz="4" w:space="0" w:color="auto"/>
            </w:tcBorders>
          </w:tcPr>
          <w:p w14:paraId="547F9379"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Code de l’eau</w:t>
            </w:r>
            <w:r w:rsidRPr="00CE03E2">
              <w:t xml:space="preserve"> (l</w:t>
            </w:r>
            <w:r w:rsidRPr="00CE03E2">
              <w:rPr>
                <w:rFonts w:eastAsia="Calibri" w:cs="Arial"/>
                <w:spacing w:val="-2"/>
                <w:lang w:eastAsia="fr-FR"/>
              </w:rPr>
              <w:t>oi n° 2-006 du 31 janvier 2002 portant code de l’eau)</w:t>
            </w:r>
          </w:p>
        </w:tc>
        <w:tc>
          <w:tcPr>
            <w:tcW w:w="1454" w:type="dxa"/>
            <w:tcBorders>
              <w:top w:val="single" w:sz="4" w:space="0" w:color="auto"/>
              <w:left w:val="single" w:sz="4" w:space="0" w:color="auto"/>
              <w:bottom w:val="single" w:sz="4" w:space="0" w:color="auto"/>
              <w:right w:val="single" w:sz="4" w:space="0" w:color="auto"/>
            </w:tcBorders>
          </w:tcPr>
          <w:p w14:paraId="3D4972D5"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01/2002</w:t>
            </w:r>
          </w:p>
        </w:tc>
      </w:tr>
      <w:tr w:rsidR="00883224" w:rsidRPr="00CE03E2" w14:paraId="19F21436" w14:textId="77777777" w:rsidTr="00883224">
        <w:tc>
          <w:tcPr>
            <w:tcW w:w="7788" w:type="dxa"/>
            <w:tcBorders>
              <w:top w:val="single" w:sz="4" w:space="0" w:color="auto"/>
              <w:left w:val="single" w:sz="4" w:space="0" w:color="auto"/>
              <w:bottom w:val="single" w:sz="4" w:space="0" w:color="auto"/>
              <w:right w:val="single" w:sz="4" w:space="0" w:color="auto"/>
            </w:tcBorders>
          </w:tcPr>
          <w:p w14:paraId="03743FA7"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Stratégie Nationale Développement l’Alimentation en Eau Potable et Assainissement</w:t>
            </w:r>
          </w:p>
        </w:tc>
        <w:tc>
          <w:tcPr>
            <w:tcW w:w="1454" w:type="dxa"/>
            <w:tcBorders>
              <w:top w:val="single" w:sz="4" w:space="0" w:color="auto"/>
              <w:left w:val="single" w:sz="4" w:space="0" w:color="auto"/>
              <w:bottom w:val="single" w:sz="4" w:space="0" w:color="auto"/>
              <w:right w:val="single" w:sz="4" w:space="0" w:color="auto"/>
            </w:tcBorders>
          </w:tcPr>
          <w:p w14:paraId="1DBA94FB"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2000</w:t>
            </w:r>
          </w:p>
        </w:tc>
      </w:tr>
      <w:tr w:rsidR="00883224" w:rsidRPr="00CE03E2" w14:paraId="578CC9C2" w14:textId="77777777" w:rsidTr="00883224">
        <w:tc>
          <w:tcPr>
            <w:tcW w:w="7788" w:type="dxa"/>
            <w:tcBorders>
              <w:top w:val="single" w:sz="4" w:space="0" w:color="auto"/>
              <w:left w:val="single" w:sz="4" w:space="0" w:color="auto"/>
              <w:bottom w:val="single" w:sz="4" w:space="0" w:color="auto"/>
              <w:right w:val="single" w:sz="4" w:space="0" w:color="auto"/>
            </w:tcBorders>
          </w:tcPr>
          <w:p w14:paraId="76FE29D7"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Stratégie Sauvegarde et Gestion Intégrée des Ressources du Bassin du Fleuve Niger</w:t>
            </w:r>
          </w:p>
        </w:tc>
        <w:tc>
          <w:tcPr>
            <w:tcW w:w="1454" w:type="dxa"/>
            <w:tcBorders>
              <w:top w:val="single" w:sz="4" w:space="0" w:color="auto"/>
              <w:left w:val="single" w:sz="4" w:space="0" w:color="auto"/>
              <w:bottom w:val="single" w:sz="4" w:space="0" w:color="auto"/>
              <w:right w:val="single" w:sz="4" w:space="0" w:color="auto"/>
            </w:tcBorders>
          </w:tcPr>
          <w:p w14:paraId="0F980F39" w14:textId="77777777" w:rsidR="00883224" w:rsidRPr="00CE03E2" w:rsidRDefault="00883224" w:rsidP="00883224">
            <w:pPr>
              <w:spacing w:after="0" w:line="240" w:lineRule="auto"/>
              <w:rPr>
                <w:rFonts w:eastAsia="Calibri" w:cs="Arial"/>
                <w:spacing w:val="-2"/>
                <w:lang w:val="fr-FR" w:eastAsia="fr-FR"/>
              </w:rPr>
            </w:pPr>
          </w:p>
        </w:tc>
      </w:tr>
      <w:tr w:rsidR="00883224" w:rsidRPr="00CE03E2" w14:paraId="6DDD2C06" w14:textId="77777777" w:rsidTr="00883224">
        <w:tc>
          <w:tcPr>
            <w:tcW w:w="7788" w:type="dxa"/>
            <w:tcBorders>
              <w:top w:val="single" w:sz="4" w:space="0" w:color="auto"/>
              <w:left w:val="single" w:sz="4" w:space="0" w:color="auto"/>
              <w:bottom w:val="single" w:sz="4" w:space="0" w:color="auto"/>
              <w:right w:val="single" w:sz="4" w:space="0" w:color="auto"/>
            </w:tcBorders>
            <w:shd w:val="pct5" w:color="auto" w:fill="auto"/>
            <w:hideMark/>
          </w:tcPr>
          <w:p w14:paraId="4F24FF54" w14:textId="77777777" w:rsidR="00883224" w:rsidRPr="00CE03E2" w:rsidRDefault="00883224" w:rsidP="00883224">
            <w:pPr>
              <w:spacing w:after="0" w:line="240" w:lineRule="auto"/>
              <w:rPr>
                <w:rFonts w:eastAsia="Calibri" w:cs="Arial"/>
                <w:b/>
                <w:i/>
                <w:spacing w:val="-2"/>
                <w:lang w:val="it-IT" w:eastAsia="fr-FR"/>
              </w:rPr>
            </w:pPr>
            <w:r w:rsidRPr="00CE03E2">
              <w:rPr>
                <w:rFonts w:eastAsia="Calibri" w:cs="Arial"/>
                <w:b/>
                <w:i/>
                <w:spacing w:val="-2"/>
                <w:lang w:val="it-IT" w:eastAsia="fr-FR"/>
              </w:rPr>
              <w:t>Pêche</w:t>
            </w:r>
          </w:p>
        </w:tc>
        <w:tc>
          <w:tcPr>
            <w:tcW w:w="1454" w:type="dxa"/>
            <w:tcBorders>
              <w:top w:val="single" w:sz="4" w:space="0" w:color="auto"/>
              <w:left w:val="single" w:sz="4" w:space="0" w:color="auto"/>
              <w:bottom w:val="single" w:sz="4" w:space="0" w:color="auto"/>
              <w:right w:val="single" w:sz="4" w:space="0" w:color="auto"/>
            </w:tcBorders>
            <w:shd w:val="pct5" w:color="auto" w:fill="auto"/>
          </w:tcPr>
          <w:p w14:paraId="596409EA" w14:textId="77777777" w:rsidR="00883224" w:rsidRPr="00CE03E2" w:rsidRDefault="00883224" w:rsidP="00883224">
            <w:pPr>
              <w:spacing w:after="0" w:line="240" w:lineRule="auto"/>
              <w:rPr>
                <w:rFonts w:eastAsia="Calibri" w:cs="Arial"/>
                <w:spacing w:val="-2"/>
                <w:lang w:val="it-IT" w:eastAsia="fr-FR"/>
              </w:rPr>
            </w:pPr>
          </w:p>
        </w:tc>
      </w:tr>
      <w:tr w:rsidR="00883224" w:rsidRPr="00CE03E2" w14:paraId="3C8A985E" w14:textId="77777777" w:rsidTr="00883224">
        <w:trPr>
          <w:trHeight w:val="227"/>
        </w:trPr>
        <w:tc>
          <w:tcPr>
            <w:tcW w:w="7788" w:type="dxa"/>
            <w:tcBorders>
              <w:top w:val="single" w:sz="4" w:space="0" w:color="auto"/>
              <w:left w:val="single" w:sz="4" w:space="0" w:color="auto"/>
              <w:bottom w:val="single" w:sz="4" w:space="0" w:color="auto"/>
              <w:right w:val="single" w:sz="4" w:space="0" w:color="auto"/>
            </w:tcBorders>
          </w:tcPr>
          <w:p w14:paraId="58EED019"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Loi n° 2014-062 du 29 décembre 2014 déterminant les principes et les conditions de gestion de la pêche et de l’aquaculture</w:t>
            </w:r>
          </w:p>
        </w:tc>
        <w:tc>
          <w:tcPr>
            <w:tcW w:w="1454" w:type="dxa"/>
            <w:tcBorders>
              <w:top w:val="single" w:sz="4" w:space="0" w:color="auto"/>
              <w:left w:val="single" w:sz="4" w:space="0" w:color="auto"/>
              <w:bottom w:val="single" w:sz="4" w:space="0" w:color="auto"/>
              <w:right w:val="single" w:sz="4" w:space="0" w:color="auto"/>
            </w:tcBorders>
          </w:tcPr>
          <w:p w14:paraId="5CB23AE7"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2014</w:t>
            </w:r>
          </w:p>
        </w:tc>
      </w:tr>
      <w:tr w:rsidR="00883224" w:rsidRPr="00CE03E2" w14:paraId="668893ED" w14:textId="77777777" w:rsidTr="00883224">
        <w:tc>
          <w:tcPr>
            <w:tcW w:w="7788" w:type="dxa"/>
            <w:tcBorders>
              <w:top w:val="single" w:sz="4" w:space="0" w:color="auto"/>
              <w:left w:val="single" w:sz="4" w:space="0" w:color="auto"/>
              <w:bottom w:val="single" w:sz="4" w:space="0" w:color="auto"/>
              <w:right w:val="single" w:sz="4" w:space="0" w:color="auto"/>
            </w:tcBorders>
          </w:tcPr>
          <w:p w14:paraId="2C042FEE"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Schéma directeur de développement de la pêche et de l’aquaculture — Actualisation 2006, Volume II, Stratégie de développement 2006-2015 (SDPA)</w:t>
            </w:r>
          </w:p>
        </w:tc>
        <w:tc>
          <w:tcPr>
            <w:tcW w:w="1454" w:type="dxa"/>
            <w:tcBorders>
              <w:top w:val="single" w:sz="4" w:space="0" w:color="auto"/>
              <w:left w:val="single" w:sz="4" w:space="0" w:color="auto"/>
              <w:bottom w:val="single" w:sz="4" w:space="0" w:color="auto"/>
              <w:right w:val="single" w:sz="4" w:space="0" w:color="auto"/>
            </w:tcBorders>
          </w:tcPr>
          <w:p w14:paraId="37AF98E0"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2006</w:t>
            </w:r>
          </w:p>
        </w:tc>
      </w:tr>
      <w:tr w:rsidR="00883224" w:rsidRPr="00CE03E2" w14:paraId="0FE07A50" w14:textId="77777777" w:rsidTr="00883224">
        <w:tc>
          <w:tcPr>
            <w:tcW w:w="7788" w:type="dxa"/>
            <w:tcBorders>
              <w:top w:val="single" w:sz="4" w:space="0" w:color="auto"/>
              <w:left w:val="single" w:sz="4" w:space="0" w:color="auto"/>
              <w:bottom w:val="single" w:sz="4" w:space="0" w:color="auto"/>
              <w:right w:val="single" w:sz="4" w:space="0" w:color="auto"/>
            </w:tcBorders>
            <w:shd w:val="pct5" w:color="auto" w:fill="auto"/>
            <w:hideMark/>
          </w:tcPr>
          <w:p w14:paraId="209FE109" w14:textId="77777777" w:rsidR="00883224" w:rsidRPr="00CE03E2" w:rsidRDefault="00883224" w:rsidP="00883224">
            <w:pPr>
              <w:spacing w:after="0" w:line="240" w:lineRule="auto"/>
              <w:rPr>
                <w:rFonts w:eastAsia="Calibri" w:cs="Arial"/>
                <w:b/>
                <w:i/>
                <w:spacing w:val="-2"/>
                <w:lang w:val="it-IT" w:eastAsia="fr-FR"/>
              </w:rPr>
            </w:pPr>
            <w:r w:rsidRPr="00CE03E2">
              <w:rPr>
                <w:rFonts w:eastAsia="Calibri" w:cs="Arial"/>
                <w:b/>
                <w:i/>
                <w:spacing w:val="-2"/>
                <w:lang w:val="it-IT" w:eastAsia="fr-FR"/>
              </w:rPr>
              <w:t>Energie</w:t>
            </w:r>
          </w:p>
        </w:tc>
        <w:tc>
          <w:tcPr>
            <w:tcW w:w="1454" w:type="dxa"/>
            <w:tcBorders>
              <w:top w:val="single" w:sz="4" w:space="0" w:color="auto"/>
              <w:left w:val="single" w:sz="4" w:space="0" w:color="auto"/>
              <w:bottom w:val="single" w:sz="4" w:space="0" w:color="auto"/>
              <w:right w:val="single" w:sz="4" w:space="0" w:color="auto"/>
            </w:tcBorders>
            <w:shd w:val="pct5" w:color="auto" w:fill="auto"/>
          </w:tcPr>
          <w:p w14:paraId="3088EC5D" w14:textId="77777777" w:rsidR="00883224" w:rsidRPr="00CE03E2" w:rsidRDefault="00883224" w:rsidP="00883224">
            <w:pPr>
              <w:spacing w:after="0" w:line="240" w:lineRule="auto"/>
              <w:rPr>
                <w:rFonts w:eastAsia="Calibri" w:cs="Arial"/>
                <w:spacing w:val="-2"/>
                <w:lang w:val="it-IT" w:eastAsia="fr-FR"/>
              </w:rPr>
            </w:pPr>
          </w:p>
        </w:tc>
      </w:tr>
      <w:tr w:rsidR="00883224" w:rsidRPr="00CE03E2" w14:paraId="3ED1891C" w14:textId="77777777" w:rsidTr="00883224">
        <w:tc>
          <w:tcPr>
            <w:tcW w:w="7788" w:type="dxa"/>
            <w:tcBorders>
              <w:top w:val="single" w:sz="4" w:space="0" w:color="auto"/>
              <w:left w:val="single" w:sz="4" w:space="0" w:color="auto"/>
              <w:bottom w:val="single" w:sz="4" w:space="0" w:color="auto"/>
              <w:right w:val="single" w:sz="4" w:space="0" w:color="auto"/>
            </w:tcBorders>
          </w:tcPr>
          <w:p w14:paraId="31C11054"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 xml:space="preserve">Politique Energétique Nationale </w:t>
            </w:r>
          </w:p>
        </w:tc>
        <w:tc>
          <w:tcPr>
            <w:tcW w:w="1454" w:type="dxa"/>
            <w:tcBorders>
              <w:top w:val="single" w:sz="4" w:space="0" w:color="auto"/>
              <w:left w:val="single" w:sz="4" w:space="0" w:color="auto"/>
              <w:bottom w:val="single" w:sz="4" w:space="0" w:color="auto"/>
              <w:right w:val="single" w:sz="4" w:space="0" w:color="auto"/>
            </w:tcBorders>
          </w:tcPr>
          <w:p w14:paraId="569C2202" w14:textId="77777777" w:rsidR="00883224" w:rsidRPr="00CE03E2" w:rsidRDefault="00883224" w:rsidP="00883224">
            <w:pPr>
              <w:spacing w:after="0" w:line="240" w:lineRule="auto"/>
              <w:rPr>
                <w:rFonts w:eastAsia="Calibri" w:cs="Arial"/>
                <w:spacing w:val="-2"/>
                <w:sz w:val="17"/>
                <w:szCs w:val="17"/>
                <w:lang w:val="it-IT" w:eastAsia="fr-FR"/>
              </w:rPr>
            </w:pPr>
            <w:r w:rsidRPr="00CE03E2">
              <w:rPr>
                <w:rFonts w:eastAsia="Calibri" w:cs="Arial"/>
                <w:spacing w:val="-2"/>
                <w:lang w:val="it-IT" w:eastAsia="fr-FR"/>
              </w:rPr>
              <w:t xml:space="preserve">2006, </w:t>
            </w:r>
            <w:r w:rsidRPr="00CE03E2">
              <w:rPr>
                <w:rFonts w:eastAsia="Calibri" w:cs="Arial"/>
                <w:spacing w:val="-2"/>
                <w:sz w:val="17"/>
                <w:szCs w:val="17"/>
                <w:lang w:val="it-IT" w:eastAsia="fr-FR"/>
              </w:rPr>
              <w:t>draft 2018</w:t>
            </w:r>
          </w:p>
        </w:tc>
      </w:tr>
      <w:tr w:rsidR="00883224" w:rsidRPr="00CE03E2" w14:paraId="7834BD8B" w14:textId="77777777" w:rsidTr="00883224">
        <w:tc>
          <w:tcPr>
            <w:tcW w:w="7788" w:type="dxa"/>
            <w:tcBorders>
              <w:top w:val="single" w:sz="4" w:space="0" w:color="auto"/>
              <w:left w:val="single" w:sz="4" w:space="0" w:color="auto"/>
              <w:bottom w:val="single" w:sz="4" w:space="0" w:color="auto"/>
              <w:right w:val="single" w:sz="4" w:space="0" w:color="auto"/>
            </w:tcBorders>
          </w:tcPr>
          <w:p w14:paraId="0785BD9C" w14:textId="77777777" w:rsidR="00883224" w:rsidRPr="00983A2A" w:rsidRDefault="00883224" w:rsidP="00883224">
            <w:pPr>
              <w:spacing w:after="0" w:line="240" w:lineRule="auto"/>
              <w:rPr>
                <w:rFonts w:eastAsia="Calibri" w:cs="Arial"/>
                <w:spacing w:val="-2"/>
                <w:lang w:val="fr-FR" w:eastAsia="fr-FR"/>
              </w:rPr>
            </w:pPr>
            <w:r w:rsidRPr="00983A2A">
              <w:rPr>
                <w:rFonts w:eastAsia="Calibri" w:cs="Arial"/>
                <w:spacing w:val="-2"/>
                <w:lang w:val="fr-FR" w:eastAsia="fr-FR"/>
              </w:rPr>
              <w:t xml:space="preserve">Stratégie Nationale pour le Développement de l’Efficacité Energétique </w:t>
            </w:r>
          </w:p>
        </w:tc>
        <w:tc>
          <w:tcPr>
            <w:tcW w:w="1454" w:type="dxa"/>
            <w:tcBorders>
              <w:top w:val="single" w:sz="4" w:space="0" w:color="auto"/>
              <w:left w:val="single" w:sz="4" w:space="0" w:color="auto"/>
              <w:bottom w:val="single" w:sz="4" w:space="0" w:color="auto"/>
              <w:right w:val="single" w:sz="4" w:space="0" w:color="auto"/>
            </w:tcBorders>
          </w:tcPr>
          <w:p w14:paraId="30C7B342"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Draft 2018</w:t>
            </w:r>
          </w:p>
        </w:tc>
      </w:tr>
      <w:tr w:rsidR="00883224" w:rsidRPr="00CE03E2" w14:paraId="2D53D7E3" w14:textId="77777777" w:rsidTr="00883224">
        <w:tc>
          <w:tcPr>
            <w:tcW w:w="7788" w:type="dxa"/>
            <w:tcBorders>
              <w:top w:val="single" w:sz="4" w:space="0" w:color="auto"/>
              <w:left w:val="single" w:sz="4" w:space="0" w:color="auto"/>
              <w:bottom w:val="single" w:sz="4" w:space="0" w:color="auto"/>
              <w:right w:val="single" w:sz="4" w:space="0" w:color="auto"/>
            </w:tcBorders>
          </w:tcPr>
          <w:p w14:paraId="1A588425"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Stratégie Nationale pour le Développement des Energies Renouvelables</w:t>
            </w:r>
          </w:p>
        </w:tc>
        <w:tc>
          <w:tcPr>
            <w:tcW w:w="1454" w:type="dxa"/>
            <w:tcBorders>
              <w:top w:val="single" w:sz="4" w:space="0" w:color="auto"/>
              <w:left w:val="single" w:sz="4" w:space="0" w:color="auto"/>
              <w:bottom w:val="single" w:sz="4" w:space="0" w:color="auto"/>
              <w:right w:val="single" w:sz="4" w:space="0" w:color="auto"/>
            </w:tcBorders>
          </w:tcPr>
          <w:p w14:paraId="50D242A7" w14:textId="77777777" w:rsidR="00883224" w:rsidRPr="00CE03E2" w:rsidRDefault="00883224" w:rsidP="00883224">
            <w:pPr>
              <w:spacing w:after="0" w:line="240" w:lineRule="auto"/>
              <w:rPr>
                <w:rFonts w:eastAsia="Calibri" w:cs="Arial"/>
                <w:spacing w:val="-2"/>
                <w:sz w:val="17"/>
                <w:szCs w:val="17"/>
                <w:lang w:val="it-IT" w:eastAsia="fr-FR"/>
              </w:rPr>
            </w:pPr>
            <w:r w:rsidRPr="00CE03E2">
              <w:rPr>
                <w:rFonts w:eastAsia="Calibri" w:cs="Arial"/>
                <w:spacing w:val="-2"/>
                <w:lang w:val="it-IT" w:eastAsia="fr-FR"/>
              </w:rPr>
              <w:t xml:space="preserve">2006, </w:t>
            </w:r>
            <w:r w:rsidRPr="00CE03E2">
              <w:rPr>
                <w:rFonts w:eastAsia="Calibri" w:cs="Arial"/>
                <w:spacing w:val="-2"/>
                <w:sz w:val="17"/>
                <w:szCs w:val="17"/>
                <w:lang w:val="it-IT" w:eastAsia="fr-FR"/>
              </w:rPr>
              <w:t>draft 2018</w:t>
            </w:r>
          </w:p>
        </w:tc>
      </w:tr>
      <w:tr w:rsidR="00883224" w:rsidRPr="00CE03E2" w14:paraId="793D190A" w14:textId="77777777" w:rsidTr="00883224">
        <w:tc>
          <w:tcPr>
            <w:tcW w:w="7788" w:type="dxa"/>
            <w:tcBorders>
              <w:top w:val="single" w:sz="4" w:space="0" w:color="auto"/>
              <w:left w:val="single" w:sz="4" w:space="0" w:color="auto"/>
              <w:bottom w:val="single" w:sz="4" w:space="0" w:color="auto"/>
              <w:right w:val="single" w:sz="4" w:space="0" w:color="auto"/>
            </w:tcBorders>
          </w:tcPr>
          <w:p w14:paraId="048DE36E"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Plan d’Action National d’Energies Renouvelables (PANER) du Mali</w:t>
            </w:r>
          </w:p>
        </w:tc>
        <w:tc>
          <w:tcPr>
            <w:tcW w:w="1454" w:type="dxa"/>
            <w:tcBorders>
              <w:top w:val="single" w:sz="4" w:space="0" w:color="auto"/>
              <w:left w:val="single" w:sz="4" w:space="0" w:color="auto"/>
              <w:bottom w:val="single" w:sz="4" w:space="0" w:color="auto"/>
              <w:right w:val="single" w:sz="4" w:space="0" w:color="auto"/>
            </w:tcBorders>
          </w:tcPr>
          <w:p w14:paraId="525A9CC5"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11/2015</w:t>
            </w:r>
          </w:p>
        </w:tc>
      </w:tr>
      <w:tr w:rsidR="00883224" w:rsidRPr="00CE03E2" w14:paraId="0440B98A" w14:textId="77777777" w:rsidTr="00883224">
        <w:tc>
          <w:tcPr>
            <w:tcW w:w="7788" w:type="dxa"/>
            <w:tcBorders>
              <w:top w:val="single" w:sz="4" w:space="0" w:color="auto"/>
              <w:left w:val="single" w:sz="4" w:space="0" w:color="auto"/>
              <w:bottom w:val="single" w:sz="4" w:space="0" w:color="auto"/>
              <w:right w:val="single" w:sz="4" w:space="0" w:color="auto"/>
            </w:tcBorders>
          </w:tcPr>
          <w:p w14:paraId="37F68EEB"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Politique des Energies Renouvelables (PERC) de la CEDEAO</w:t>
            </w:r>
          </w:p>
        </w:tc>
        <w:tc>
          <w:tcPr>
            <w:tcW w:w="1454" w:type="dxa"/>
            <w:tcBorders>
              <w:top w:val="single" w:sz="4" w:space="0" w:color="auto"/>
              <w:left w:val="single" w:sz="4" w:space="0" w:color="auto"/>
              <w:bottom w:val="single" w:sz="4" w:space="0" w:color="auto"/>
              <w:right w:val="single" w:sz="4" w:space="0" w:color="auto"/>
            </w:tcBorders>
          </w:tcPr>
          <w:p w14:paraId="08D591A2"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07/2013</w:t>
            </w:r>
          </w:p>
        </w:tc>
      </w:tr>
      <w:tr w:rsidR="00883224" w:rsidRPr="00CE03E2" w14:paraId="69D64183" w14:textId="77777777" w:rsidTr="00883224">
        <w:tc>
          <w:tcPr>
            <w:tcW w:w="7788" w:type="dxa"/>
            <w:tcBorders>
              <w:top w:val="single" w:sz="4" w:space="0" w:color="auto"/>
              <w:left w:val="single" w:sz="4" w:space="0" w:color="auto"/>
              <w:bottom w:val="single" w:sz="4" w:space="0" w:color="auto"/>
              <w:right w:val="single" w:sz="4" w:space="0" w:color="auto"/>
            </w:tcBorders>
          </w:tcPr>
          <w:p w14:paraId="421A93C3"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Politique en matière d’Efficacité Energétique (PEEC) de la CEDEAO</w:t>
            </w:r>
          </w:p>
        </w:tc>
        <w:tc>
          <w:tcPr>
            <w:tcW w:w="1454" w:type="dxa"/>
            <w:tcBorders>
              <w:top w:val="single" w:sz="4" w:space="0" w:color="auto"/>
              <w:left w:val="single" w:sz="4" w:space="0" w:color="auto"/>
              <w:bottom w:val="single" w:sz="4" w:space="0" w:color="auto"/>
              <w:right w:val="single" w:sz="4" w:space="0" w:color="auto"/>
            </w:tcBorders>
          </w:tcPr>
          <w:p w14:paraId="10A37543"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07/2013</w:t>
            </w:r>
          </w:p>
        </w:tc>
      </w:tr>
      <w:tr w:rsidR="00883224" w:rsidRPr="00CE03E2" w14:paraId="516E04FB" w14:textId="77777777" w:rsidTr="00883224">
        <w:tc>
          <w:tcPr>
            <w:tcW w:w="7788" w:type="dxa"/>
            <w:tcBorders>
              <w:top w:val="single" w:sz="4" w:space="0" w:color="auto"/>
              <w:left w:val="single" w:sz="4" w:space="0" w:color="auto"/>
              <w:bottom w:val="single" w:sz="4" w:space="0" w:color="auto"/>
              <w:right w:val="single" w:sz="4" w:space="0" w:color="auto"/>
            </w:tcBorders>
          </w:tcPr>
          <w:p w14:paraId="5B9C24F1"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Stratégie nationale de la politique d’énergie domestique (SED) 2012-2017</w:t>
            </w:r>
          </w:p>
        </w:tc>
        <w:tc>
          <w:tcPr>
            <w:tcW w:w="1454" w:type="dxa"/>
            <w:tcBorders>
              <w:top w:val="single" w:sz="4" w:space="0" w:color="auto"/>
              <w:left w:val="single" w:sz="4" w:space="0" w:color="auto"/>
              <w:bottom w:val="single" w:sz="4" w:space="0" w:color="auto"/>
              <w:right w:val="single" w:sz="4" w:space="0" w:color="auto"/>
            </w:tcBorders>
          </w:tcPr>
          <w:p w14:paraId="1042100A"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2012</w:t>
            </w:r>
          </w:p>
        </w:tc>
      </w:tr>
      <w:tr w:rsidR="00883224" w:rsidRPr="00CE03E2" w14:paraId="12490038" w14:textId="77777777" w:rsidTr="00883224">
        <w:tc>
          <w:tcPr>
            <w:tcW w:w="7788" w:type="dxa"/>
            <w:tcBorders>
              <w:top w:val="single" w:sz="4" w:space="0" w:color="auto"/>
              <w:left w:val="single" w:sz="4" w:space="0" w:color="auto"/>
              <w:bottom w:val="single" w:sz="4" w:space="0" w:color="auto"/>
              <w:right w:val="single" w:sz="4" w:space="0" w:color="auto"/>
            </w:tcBorders>
          </w:tcPr>
          <w:p w14:paraId="04C1F79D"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Lettre de Politique Sectorielle de l’Energie, 2009-2012</w:t>
            </w:r>
          </w:p>
        </w:tc>
        <w:tc>
          <w:tcPr>
            <w:tcW w:w="1454" w:type="dxa"/>
            <w:tcBorders>
              <w:top w:val="single" w:sz="4" w:space="0" w:color="auto"/>
              <w:left w:val="single" w:sz="4" w:space="0" w:color="auto"/>
              <w:bottom w:val="single" w:sz="4" w:space="0" w:color="auto"/>
              <w:right w:val="single" w:sz="4" w:space="0" w:color="auto"/>
            </w:tcBorders>
          </w:tcPr>
          <w:p w14:paraId="20450121"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2009</w:t>
            </w:r>
          </w:p>
        </w:tc>
      </w:tr>
      <w:tr w:rsidR="00883224" w:rsidRPr="00CE03E2" w14:paraId="74AAD9D7" w14:textId="77777777" w:rsidTr="00883224">
        <w:tc>
          <w:tcPr>
            <w:tcW w:w="7788" w:type="dxa"/>
            <w:tcBorders>
              <w:top w:val="single" w:sz="4" w:space="0" w:color="auto"/>
              <w:left w:val="single" w:sz="4" w:space="0" w:color="auto"/>
              <w:bottom w:val="single" w:sz="4" w:space="0" w:color="auto"/>
              <w:right w:val="single" w:sz="4" w:space="0" w:color="auto"/>
            </w:tcBorders>
          </w:tcPr>
          <w:p w14:paraId="159A24C9"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Lettre de politique sectorielle de l’Electricité et de l’Eau Potable</w:t>
            </w:r>
          </w:p>
        </w:tc>
        <w:tc>
          <w:tcPr>
            <w:tcW w:w="1454" w:type="dxa"/>
            <w:tcBorders>
              <w:top w:val="single" w:sz="4" w:space="0" w:color="auto"/>
              <w:left w:val="single" w:sz="4" w:space="0" w:color="auto"/>
              <w:bottom w:val="single" w:sz="4" w:space="0" w:color="auto"/>
              <w:right w:val="single" w:sz="4" w:space="0" w:color="auto"/>
            </w:tcBorders>
          </w:tcPr>
          <w:p w14:paraId="5581EE96"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1999</w:t>
            </w:r>
          </w:p>
        </w:tc>
      </w:tr>
      <w:tr w:rsidR="00883224" w:rsidRPr="00CE03E2" w14:paraId="765C511A" w14:textId="77777777" w:rsidTr="00883224">
        <w:tc>
          <w:tcPr>
            <w:tcW w:w="7788" w:type="dxa"/>
            <w:tcBorders>
              <w:top w:val="single" w:sz="4" w:space="0" w:color="auto"/>
              <w:left w:val="single" w:sz="4" w:space="0" w:color="auto"/>
              <w:bottom w:val="single" w:sz="4" w:space="0" w:color="auto"/>
              <w:right w:val="single" w:sz="4" w:space="0" w:color="auto"/>
            </w:tcBorders>
          </w:tcPr>
          <w:p w14:paraId="5973F5C7"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Stratégie Nationale pour le Développement des Biocarburants 2010 -2023</w:t>
            </w:r>
          </w:p>
        </w:tc>
        <w:tc>
          <w:tcPr>
            <w:tcW w:w="1454" w:type="dxa"/>
            <w:tcBorders>
              <w:top w:val="single" w:sz="4" w:space="0" w:color="auto"/>
              <w:left w:val="single" w:sz="4" w:space="0" w:color="auto"/>
              <w:bottom w:val="single" w:sz="4" w:space="0" w:color="auto"/>
              <w:right w:val="single" w:sz="4" w:space="0" w:color="auto"/>
            </w:tcBorders>
          </w:tcPr>
          <w:p w14:paraId="50A8CA0E"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2008</w:t>
            </w:r>
          </w:p>
        </w:tc>
      </w:tr>
      <w:tr w:rsidR="00883224" w:rsidRPr="00CE03E2" w14:paraId="3B79F1C2" w14:textId="77777777" w:rsidTr="00883224">
        <w:tc>
          <w:tcPr>
            <w:tcW w:w="7788" w:type="dxa"/>
            <w:tcBorders>
              <w:top w:val="single" w:sz="4" w:space="0" w:color="auto"/>
              <w:left w:val="single" w:sz="4" w:space="0" w:color="auto"/>
              <w:bottom w:val="single" w:sz="4" w:space="0" w:color="auto"/>
              <w:right w:val="single" w:sz="4" w:space="0" w:color="auto"/>
            </w:tcBorders>
          </w:tcPr>
          <w:p w14:paraId="4EA0405D"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Stratégie de Développement de la Maîtrise de l’Energie au Mali</w:t>
            </w:r>
          </w:p>
        </w:tc>
        <w:tc>
          <w:tcPr>
            <w:tcW w:w="1454" w:type="dxa"/>
            <w:tcBorders>
              <w:top w:val="single" w:sz="4" w:space="0" w:color="auto"/>
              <w:left w:val="single" w:sz="4" w:space="0" w:color="auto"/>
              <w:bottom w:val="single" w:sz="4" w:space="0" w:color="auto"/>
              <w:right w:val="single" w:sz="4" w:space="0" w:color="auto"/>
            </w:tcBorders>
          </w:tcPr>
          <w:p w14:paraId="74D21B9B"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2010</w:t>
            </w:r>
          </w:p>
        </w:tc>
      </w:tr>
      <w:tr w:rsidR="00883224" w:rsidRPr="00CE03E2" w14:paraId="190446AA" w14:textId="77777777" w:rsidTr="00883224">
        <w:tc>
          <w:tcPr>
            <w:tcW w:w="7788" w:type="dxa"/>
            <w:tcBorders>
              <w:top w:val="single" w:sz="4" w:space="0" w:color="auto"/>
              <w:left w:val="single" w:sz="4" w:space="0" w:color="auto"/>
              <w:bottom w:val="single" w:sz="4" w:space="0" w:color="auto"/>
              <w:right w:val="single" w:sz="4" w:space="0" w:color="auto"/>
            </w:tcBorders>
          </w:tcPr>
          <w:p w14:paraId="503C8168"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Plan d’investissement valorisation à grande échelle énergies renouvelables (SREP/Mali)</w:t>
            </w:r>
          </w:p>
        </w:tc>
        <w:tc>
          <w:tcPr>
            <w:tcW w:w="1454" w:type="dxa"/>
            <w:tcBorders>
              <w:top w:val="single" w:sz="4" w:space="0" w:color="auto"/>
              <w:left w:val="single" w:sz="4" w:space="0" w:color="auto"/>
              <w:bottom w:val="single" w:sz="4" w:space="0" w:color="auto"/>
              <w:right w:val="single" w:sz="4" w:space="0" w:color="auto"/>
            </w:tcBorders>
          </w:tcPr>
          <w:p w14:paraId="3C3D5C22"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4/2011</w:t>
            </w:r>
          </w:p>
        </w:tc>
      </w:tr>
      <w:tr w:rsidR="00883224" w:rsidRPr="00CE03E2" w14:paraId="1FA1FAE4" w14:textId="77777777" w:rsidTr="00883224">
        <w:tc>
          <w:tcPr>
            <w:tcW w:w="7788" w:type="dxa"/>
            <w:tcBorders>
              <w:top w:val="single" w:sz="4" w:space="0" w:color="auto"/>
              <w:left w:val="single" w:sz="4" w:space="0" w:color="auto"/>
              <w:bottom w:val="single" w:sz="4" w:space="0" w:color="auto"/>
              <w:right w:val="single" w:sz="4" w:space="0" w:color="auto"/>
            </w:tcBorders>
            <w:shd w:val="pct5" w:color="auto" w:fill="auto"/>
            <w:hideMark/>
          </w:tcPr>
          <w:p w14:paraId="5417B814" w14:textId="77777777" w:rsidR="00883224" w:rsidRPr="00CE03E2" w:rsidRDefault="00883224" w:rsidP="00883224">
            <w:pPr>
              <w:spacing w:after="0" w:line="240" w:lineRule="auto"/>
              <w:rPr>
                <w:rFonts w:eastAsia="Calibri" w:cs="Arial"/>
                <w:b/>
                <w:i/>
                <w:spacing w:val="-2"/>
                <w:lang w:val="it-IT" w:eastAsia="fr-FR"/>
              </w:rPr>
            </w:pPr>
            <w:r w:rsidRPr="00CE03E2">
              <w:rPr>
                <w:rFonts w:eastAsia="Calibri" w:cs="Arial"/>
                <w:b/>
                <w:i/>
                <w:spacing w:val="-2"/>
                <w:lang w:val="it-IT" w:eastAsia="fr-FR"/>
              </w:rPr>
              <w:t>Exploitation minière et pétrolière</w:t>
            </w:r>
          </w:p>
        </w:tc>
        <w:tc>
          <w:tcPr>
            <w:tcW w:w="1454" w:type="dxa"/>
            <w:tcBorders>
              <w:top w:val="single" w:sz="4" w:space="0" w:color="auto"/>
              <w:left w:val="single" w:sz="4" w:space="0" w:color="auto"/>
              <w:bottom w:val="single" w:sz="4" w:space="0" w:color="auto"/>
              <w:right w:val="single" w:sz="4" w:space="0" w:color="auto"/>
            </w:tcBorders>
            <w:shd w:val="pct5" w:color="auto" w:fill="auto"/>
          </w:tcPr>
          <w:p w14:paraId="2CFDCCAE" w14:textId="77777777" w:rsidR="00883224" w:rsidRPr="00CE03E2" w:rsidRDefault="00883224" w:rsidP="00883224">
            <w:pPr>
              <w:spacing w:after="0" w:line="240" w:lineRule="auto"/>
              <w:rPr>
                <w:rFonts w:eastAsia="Calibri" w:cs="Arial"/>
                <w:spacing w:val="-2"/>
                <w:lang w:val="it-IT" w:eastAsia="fr-FR"/>
              </w:rPr>
            </w:pPr>
          </w:p>
        </w:tc>
      </w:tr>
      <w:tr w:rsidR="00883224" w:rsidRPr="00CE03E2" w14:paraId="2DC95A88" w14:textId="77777777" w:rsidTr="00883224">
        <w:tc>
          <w:tcPr>
            <w:tcW w:w="7788" w:type="dxa"/>
            <w:tcBorders>
              <w:top w:val="single" w:sz="4" w:space="0" w:color="auto"/>
              <w:left w:val="single" w:sz="4" w:space="0" w:color="auto"/>
              <w:bottom w:val="single" w:sz="4" w:space="0" w:color="auto"/>
              <w:right w:val="single" w:sz="4" w:space="0" w:color="auto"/>
            </w:tcBorders>
          </w:tcPr>
          <w:p w14:paraId="2422C1D7"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Code des hydrocarbures (loi N° 2015-035 du 16 juillet 2015)</w:t>
            </w:r>
          </w:p>
        </w:tc>
        <w:tc>
          <w:tcPr>
            <w:tcW w:w="1454" w:type="dxa"/>
            <w:tcBorders>
              <w:top w:val="single" w:sz="4" w:space="0" w:color="auto"/>
              <w:left w:val="single" w:sz="4" w:space="0" w:color="auto"/>
              <w:bottom w:val="single" w:sz="4" w:space="0" w:color="auto"/>
              <w:right w:val="single" w:sz="4" w:space="0" w:color="auto"/>
            </w:tcBorders>
          </w:tcPr>
          <w:p w14:paraId="647313BE"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07/2015</w:t>
            </w:r>
          </w:p>
        </w:tc>
      </w:tr>
      <w:tr w:rsidR="00883224" w:rsidRPr="00CE03E2" w14:paraId="1B6F9D53" w14:textId="77777777" w:rsidTr="00883224">
        <w:tc>
          <w:tcPr>
            <w:tcW w:w="7788" w:type="dxa"/>
            <w:tcBorders>
              <w:top w:val="single" w:sz="4" w:space="0" w:color="auto"/>
              <w:left w:val="single" w:sz="4" w:space="0" w:color="auto"/>
              <w:bottom w:val="single" w:sz="4" w:space="0" w:color="auto"/>
              <w:right w:val="single" w:sz="4" w:space="0" w:color="auto"/>
            </w:tcBorders>
          </w:tcPr>
          <w:p w14:paraId="20A2EC93"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Politique minière</w:t>
            </w:r>
          </w:p>
        </w:tc>
        <w:tc>
          <w:tcPr>
            <w:tcW w:w="1454" w:type="dxa"/>
            <w:tcBorders>
              <w:top w:val="single" w:sz="4" w:space="0" w:color="auto"/>
              <w:left w:val="single" w:sz="4" w:space="0" w:color="auto"/>
              <w:bottom w:val="single" w:sz="4" w:space="0" w:color="auto"/>
              <w:right w:val="single" w:sz="4" w:space="0" w:color="auto"/>
            </w:tcBorders>
          </w:tcPr>
          <w:p w14:paraId="255A7CB9"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04/1998</w:t>
            </w:r>
          </w:p>
        </w:tc>
      </w:tr>
      <w:tr w:rsidR="00883224" w:rsidRPr="00CE03E2" w14:paraId="6EA5822B" w14:textId="77777777" w:rsidTr="00883224">
        <w:tc>
          <w:tcPr>
            <w:tcW w:w="7788" w:type="dxa"/>
            <w:tcBorders>
              <w:top w:val="single" w:sz="4" w:space="0" w:color="auto"/>
              <w:left w:val="single" w:sz="4" w:space="0" w:color="auto"/>
              <w:bottom w:val="single" w:sz="4" w:space="0" w:color="auto"/>
              <w:right w:val="single" w:sz="4" w:space="0" w:color="auto"/>
            </w:tcBorders>
          </w:tcPr>
          <w:p w14:paraId="23F34402" w14:textId="77777777" w:rsidR="00883224" w:rsidRPr="00A02048" w:rsidRDefault="00883224" w:rsidP="00883224">
            <w:pPr>
              <w:spacing w:after="0" w:line="240" w:lineRule="auto"/>
              <w:rPr>
                <w:rFonts w:eastAsia="Calibri" w:cs="Arial"/>
                <w:spacing w:val="-2"/>
                <w:lang w:val="fr-FR" w:eastAsia="fr-FR"/>
              </w:rPr>
            </w:pPr>
            <w:r w:rsidRPr="00A02048">
              <w:rPr>
                <w:rFonts w:eastAsia="Calibri" w:cs="Arial"/>
                <w:spacing w:val="-2"/>
                <w:lang w:val="fr-FR" w:eastAsia="fr-FR"/>
              </w:rPr>
              <w:t>Code Minier (loi n° 2012-015 du 27 février 2012)</w:t>
            </w:r>
          </w:p>
        </w:tc>
        <w:tc>
          <w:tcPr>
            <w:tcW w:w="1454" w:type="dxa"/>
            <w:tcBorders>
              <w:top w:val="single" w:sz="4" w:space="0" w:color="auto"/>
              <w:left w:val="single" w:sz="4" w:space="0" w:color="auto"/>
              <w:bottom w:val="single" w:sz="4" w:space="0" w:color="auto"/>
              <w:right w:val="single" w:sz="4" w:space="0" w:color="auto"/>
            </w:tcBorders>
          </w:tcPr>
          <w:p w14:paraId="4684C5CF" w14:textId="77777777" w:rsidR="00883224" w:rsidRPr="00CE03E2" w:rsidRDefault="00883224" w:rsidP="00883224">
            <w:pPr>
              <w:spacing w:after="0" w:line="240" w:lineRule="auto"/>
              <w:rPr>
                <w:rFonts w:eastAsia="Calibri" w:cs="Arial"/>
                <w:spacing w:val="-2"/>
                <w:lang w:val="it-IT" w:eastAsia="fr-FR"/>
              </w:rPr>
            </w:pPr>
            <w:r w:rsidRPr="00A02048">
              <w:rPr>
                <w:rFonts w:eastAsia="Calibri" w:cs="Arial"/>
                <w:spacing w:val="-2"/>
                <w:lang w:val="fr-FR" w:eastAsia="fr-FR"/>
              </w:rPr>
              <w:t>02/</w:t>
            </w:r>
            <w:r w:rsidRPr="00A02048">
              <w:rPr>
                <w:rFonts w:eastAsia="Calibri" w:cs="Arial"/>
                <w:spacing w:val="-2"/>
                <w:lang w:val="it-IT" w:eastAsia="fr-FR"/>
              </w:rPr>
              <w:t>2012</w:t>
            </w:r>
            <w:r w:rsidR="00421A9F" w:rsidRPr="00A02048">
              <w:rPr>
                <w:rFonts w:eastAsia="Calibri" w:cs="Arial"/>
                <w:spacing w:val="-2"/>
                <w:lang w:val="it-IT" w:eastAsia="fr-FR"/>
              </w:rPr>
              <w:t>,</w:t>
            </w:r>
            <w:r w:rsidR="00421A9F" w:rsidRPr="00A02048">
              <w:rPr>
                <w:rFonts w:eastAsia="Calibri" w:cs="Arial"/>
                <w:spacing w:val="-2"/>
                <w:lang w:val="fr-FR" w:eastAsia="fr-FR"/>
              </w:rPr>
              <w:t xml:space="preserve"> révisé</w:t>
            </w:r>
            <w:r w:rsidR="00421A9F" w:rsidRPr="00A02048">
              <w:rPr>
                <w:rFonts w:eastAsia="Calibri" w:cs="Arial"/>
                <w:spacing w:val="-2"/>
                <w:lang w:val="it-IT" w:eastAsia="fr-FR"/>
              </w:rPr>
              <w:t xml:space="preserve"> 2019</w:t>
            </w:r>
            <w:r w:rsidR="00421A9F">
              <w:rPr>
                <w:rFonts w:eastAsia="Calibri" w:cs="Arial"/>
                <w:spacing w:val="-2"/>
                <w:lang w:val="it-IT" w:eastAsia="fr-FR"/>
              </w:rPr>
              <w:t xml:space="preserve"> </w:t>
            </w:r>
          </w:p>
        </w:tc>
      </w:tr>
      <w:tr w:rsidR="00883224" w:rsidRPr="00CE03E2" w14:paraId="2D520CDE" w14:textId="77777777" w:rsidTr="00883224">
        <w:tc>
          <w:tcPr>
            <w:tcW w:w="7788" w:type="dxa"/>
            <w:tcBorders>
              <w:top w:val="single" w:sz="4" w:space="0" w:color="auto"/>
              <w:left w:val="single" w:sz="4" w:space="0" w:color="auto"/>
              <w:bottom w:val="single" w:sz="4" w:space="0" w:color="auto"/>
              <w:right w:val="single" w:sz="4" w:space="0" w:color="auto"/>
            </w:tcBorders>
          </w:tcPr>
          <w:p w14:paraId="5E7FA202"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Programme de Développement du Secteur Minier (PDSM)</w:t>
            </w:r>
          </w:p>
        </w:tc>
        <w:tc>
          <w:tcPr>
            <w:tcW w:w="1454" w:type="dxa"/>
            <w:tcBorders>
              <w:top w:val="single" w:sz="4" w:space="0" w:color="auto"/>
              <w:left w:val="single" w:sz="4" w:space="0" w:color="auto"/>
              <w:bottom w:val="single" w:sz="4" w:space="0" w:color="auto"/>
              <w:right w:val="single" w:sz="4" w:space="0" w:color="auto"/>
            </w:tcBorders>
          </w:tcPr>
          <w:p w14:paraId="61770044"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2000</w:t>
            </w:r>
          </w:p>
        </w:tc>
      </w:tr>
      <w:tr w:rsidR="00883224" w:rsidRPr="00CE03E2" w14:paraId="6BD2BE99" w14:textId="77777777" w:rsidTr="00883224">
        <w:tc>
          <w:tcPr>
            <w:tcW w:w="7788" w:type="dxa"/>
            <w:tcBorders>
              <w:top w:val="single" w:sz="4" w:space="0" w:color="auto"/>
              <w:left w:val="single" w:sz="4" w:space="0" w:color="auto"/>
              <w:bottom w:val="single" w:sz="4" w:space="0" w:color="auto"/>
              <w:right w:val="single" w:sz="4" w:space="0" w:color="auto"/>
            </w:tcBorders>
          </w:tcPr>
          <w:p w14:paraId="3FC46429"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Programme de Développement des Ressources Minérales (PDRM)</w:t>
            </w:r>
          </w:p>
        </w:tc>
        <w:tc>
          <w:tcPr>
            <w:tcW w:w="1454" w:type="dxa"/>
            <w:tcBorders>
              <w:top w:val="single" w:sz="4" w:space="0" w:color="auto"/>
              <w:left w:val="single" w:sz="4" w:space="0" w:color="auto"/>
              <w:bottom w:val="single" w:sz="4" w:space="0" w:color="auto"/>
              <w:right w:val="single" w:sz="4" w:space="0" w:color="auto"/>
            </w:tcBorders>
          </w:tcPr>
          <w:p w14:paraId="6C43459E"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2002</w:t>
            </w:r>
          </w:p>
        </w:tc>
      </w:tr>
      <w:tr w:rsidR="00883224" w:rsidRPr="00CE03E2" w14:paraId="556A8E5E" w14:textId="77777777" w:rsidTr="00883224">
        <w:tc>
          <w:tcPr>
            <w:tcW w:w="7788" w:type="dxa"/>
            <w:tcBorders>
              <w:top w:val="single" w:sz="4" w:space="0" w:color="auto"/>
              <w:left w:val="single" w:sz="4" w:space="0" w:color="auto"/>
              <w:bottom w:val="single" w:sz="4" w:space="0" w:color="auto"/>
              <w:right w:val="single" w:sz="4" w:space="0" w:color="auto"/>
            </w:tcBorders>
          </w:tcPr>
          <w:p w14:paraId="0EE6EBB2"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lastRenderedPageBreak/>
              <w:t>Lettre de Politique minière</w:t>
            </w:r>
          </w:p>
        </w:tc>
        <w:tc>
          <w:tcPr>
            <w:tcW w:w="1454" w:type="dxa"/>
            <w:tcBorders>
              <w:top w:val="single" w:sz="4" w:space="0" w:color="auto"/>
              <w:left w:val="single" w:sz="4" w:space="0" w:color="auto"/>
              <w:bottom w:val="single" w:sz="4" w:space="0" w:color="auto"/>
              <w:right w:val="single" w:sz="4" w:space="0" w:color="auto"/>
            </w:tcBorders>
          </w:tcPr>
          <w:p w14:paraId="4BECC5BC"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1999</w:t>
            </w:r>
          </w:p>
        </w:tc>
      </w:tr>
      <w:tr w:rsidR="00883224" w:rsidRPr="00CE03E2" w14:paraId="7B4DDF8F" w14:textId="77777777" w:rsidTr="00883224">
        <w:tc>
          <w:tcPr>
            <w:tcW w:w="7788" w:type="dxa"/>
            <w:tcBorders>
              <w:top w:val="single" w:sz="4" w:space="0" w:color="auto"/>
              <w:left w:val="single" w:sz="4" w:space="0" w:color="auto"/>
              <w:bottom w:val="single" w:sz="4" w:space="0" w:color="auto"/>
              <w:right w:val="single" w:sz="4" w:space="0" w:color="auto"/>
            </w:tcBorders>
            <w:shd w:val="pct5" w:color="auto" w:fill="auto"/>
            <w:hideMark/>
          </w:tcPr>
          <w:p w14:paraId="73E49A84" w14:textId="77777777" w:rsidR="00883224" w:rsidRPr="00CE03E2" w:rsidRDefault="00883224" w:rsidP="00883224">
            <w:pPr>
              <w:spacing w:after="0" w:line="240" w:lineRule="auto"/>
              <w:rPr>
                <w:rFonts w:eastAsia="Calibri" w:cs="Arial"/>
                <w:b/>
                <w:i/>
                <w:spacing w:val="-2"/>
                <w:lang w:eastAsia="fr-FR"/>
              </w:rPr>
            </w:pPr>
            <w:r w:rsidRPr="00CE03E2">
              <w:rPr>
                <w:rFonts w:eastAsia="Calibri" w:cs="Arial"/>
                <w:b/>
                <w:i/>
                <w:spacing w:val="-2"/>
                <w:lang w:eastAsia="fr-FR"/>
              </w:rPr>
              <w:t>Foresterie, aires protégées, biodiversité, tourisme</w:t>
            </w:r>
          </w:p>
        </w:tc>
        <w:tc>
          <w:tcPr>
            <w:tcW w:w="1454" w:type="dxa"/>
            <w:tcBorders>
              <w:top w:val="single" w:sz="4" w:space="0" w:color="auto"/>
              <w:left w:val="single" w:sz="4" w:space="0" w:color="auto"/>
              <w:bottom w:val="single" w:sz="4" w:space="0" w:color="auto"/>
              <w:right w:val="single" w:sz="4" w:space="0" w:color="auto"/>
            </w:tcBorders>
            <w:shd w:val="pct5" w:color="auto" w:fill="auto"/>
          </w:tcPr>
          <w:p w14:paraId="2408A926" w14:textId="77777777" w:rsidR="00883224" w:rsidRPr="00CE03E2" w:rsidRDefault="00883224" w:rsidP="00883224">
            <w:pPr>
              <w:spacing w:after="0" w:line="240" w:lineRule="auto"/>
              <w:rPr>
                <w:rFonts w:eastAsia="Calibri" w:cs="Arial"/>
                <w:spacing w:val="-2"/>
                <w:lang w:eastAsia="fr-FR"/>
              </w:rPr>
            </w:pPr>
          </w:p>
        </w:tc>
      </w:tr>
      <w:tr w:rsidR="00883224" w:rsidRPr="00CE03E2" w14:paraId="46C12869" w14:textId="77777777" w:rsidTr="00883224">
        <w:tc>
          <w:tcPr>
            <w:tcW w:w="7788" w:type="dxa"/>
          </w:tcPr>
          <w:p w14:paraId="75865919"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 xml:space="preserve">Politique Forestière Nationale (PFN) </w:t>
            </w:r>
          </w:p>
        </w:tc>
        <w:tc>
          <w:tcPr>
            <w:tcW w:w="1454" w:type="dxa"/>
          </w:tcPr>
          <w:p w14:paraId="3E150081"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10/2017</w:t>
            </w:r>
          </w:p>
        </w:tc>
      </w:tr>
      <w:tr w:rsidR="00883224" w:rsidRPr="00CE03E2" w14:paraId="7DC17428" w14:textId="77777777" w:rsidTr="00883224">
        <w:tc>
          <w:tcPr>
            <w:tcW w:w="7788" w:type="dxa"/>
          </w:tcPr>
          <w:p w14:paraId="7B380BEC" w14:textId="77777777" w:rsidR="00883224" w:rsidRPr="00CE03E2" w:rsidRDefault="00883224" w:rsidP="00883224">
            <w:pPr>
              <w:spacing w:after="0" w:line="240" w:lineRule="auto"/>
            </w:pPr>
            <w:r w:rsidRPr="00CE03E2">
              <w:t>Stratégie Nationale et Plan d’Actions 2015-2020 pour la diversité biologique (SNDB)</w:t>
            </w:r>
          </w:p>
        </w:tc>
        <w:tc>
          <w:tcPr>
            <w:tcW w:w="1454" w:type="dxa"/>
          </w:tcPr>
          <w:p w14:paraId="302E5D63" w14:textId="77777777" w:rsidR="00883224" w:rsidRPr="00CE03E2" w:rsidRDefault="00883224" w:rsidP="00883224">
            <w:pPr>
              <w:spacing w:after="0" w:line="240" w:lineRule="auto"/>
            </w:pPr>
            <w:r w:rsidRPr="00CE03E2">
              <w:t>2014</w:t>
            </w:r>
          </w:p>
        </w:tc>
      </w:tr>
      <w:tr w:rsidR="00883224" w:rsidRPr="00CE03E2" w14:paraId="5EA41B0D" w14:textId="77777777" w:rsidTr="00883224">
        <w:tc>
          <w:tcPr>
            <w:tcW w:w="7788" w:type="dxa"/>
          </w:tcPr>
          <w:p w14:paraId="01921088"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Stratégie nationale de reboisement</w:t>
            </w:r>
          </w:p>
        </w:tc>
        <w:tc>
          <w:tcPr>
            <w:tcW w:w="1454" w:type="dxa"/>
          </w:tcPr>
          <w:p w14:paraId="5B90D765"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2004</w:t>
            </w:r>
          </w:p>
        </w:tc>
      </w:tr>
      <w:tr w:rsidR="00883224" w:rsidRPr="00CE03E2" w14:paraId="29F3F40F" w14:textId="77777777" w:rsidTr="00883224">
        <w:tc>
          <w:tcPr>
            <w:tcW w:w="7788" w:type="dxa"/>
            <w:tcBorders>
              <w:top w:val="single" w:sz="4" w:space="0" w:color="auto"/>
              <w:left w:val="single" w:sz="4" w:space="0" w:color="auto"/>
              <w:bottom w:val="single" w:sz="4" w:space="0" w:color="auto"/>
              <w:right w:val="single" w:sz="4" w:space="0" w:color="auto"/>
            </w:tcBorders>
          </w:tcPr>
          <w:p w14:paraId="58AEB376"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 xml:space="preserve">Stratégie nationale de gestion des aires protégées 2012- 2020 </w:t>
            </w:r>
          </w:p>
        </w:tc>
        <w:tc>
          <w:tcPr>
            <w:tcW w:w="1454" w:type="dxa"/>
            <w:tcBorders>
              <w:top w:val="single" w:sz="4" w:space="0" w:color="auto"/>
              <w:left w:val="single" w:sz="4" w:space="0" w:color="auto"/>
              <w:bottom w:val="single" w:sz="4" w:space="0" w:color="auto"/>
              <w:right w:val="single" w:sz="4" w:space="0" w:color="auto"/>
            </w:tcBorders>
          </w:tcPr>
          <w:p w14:paraId="4127ABBB"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2011</w:t>
            </w:r>
          </w:p>
        </w:tc>
      </w:tr>
      <w:tr w:rsidR="00883224" w:rsidRPr="00CE03E2" w14:paraId="348D1879" w14:textId="77777777" w:rsidTr="00883224">
        <w:tc>
          <w:tcPr>
            <w:tcW w:w="7788" w:type="dxa"/>
            <w:tcBorders>
              <w:top w:val="single" w:sz="4" w:space="0" w:color="auto"/>
              <w:left w:val="single" w:sz="4" w:space="0" w:color="auto"/>
              <w:bottom w:val="single" w:sz="4" w:space="0" w:color="auto"/>
              <w:right w:val="single" w:sz="4" w:space="0" w:color="auto"/>
            </w:tcBorders>
          </w:tcPr>
          <w:p w14:paraId="0EE6B619"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 xml:space="preserve">Stratégie nationale de la diversité biologique (SNDB) </w:t>
            </w:r>
          </w:p>
        </w:tc>
        <w:tc>
          <w:tcPr>
            <w:tcW w:w="1454" w:type="dxa"/>
            <w:tcBorders>
              <w:top w:val="single" w:sz="4" w:space="0" w:color="auto"/>
              <w:left w:val="single" w:sz="4" w:space="0" w:color="auto"/>
              <w:bottom w:val="single" w:sz="4" w:space="0" w:color="auto"/>
              <w:right w:val="single" w:sz="4" w:space="0" w:color="auto"/>
            </w:tcBorders>
          </w:tcPr>
          <w:p w14:paraId="43E49DF8"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2000</w:t>
            </w:r>
          </w:p>
        </w:tc>
      </w:tr>
      <w:tr w:rsidR="00883224" w:rsidRPr="00CE03E2" w14:paraId="67EE737E" w14:textId="77777777" w:rsidTr="00883224">
        <w:tc>
          <w:tcPr>
            <w:tcW w:w="7788" w:type="dxa"/>
            <w:tcBorders>
              <w:top w:val="single" w:sz="4" w:space="0" w:color="auto"/>
              <w:left w:val="single" w:sz="4" w:space="0" w:color="auto"/>
              <w:bottom w:val="single" w:sz="4" w:space="0" w:color="auto"/>
              <w:right w:val="single" w:sz="4" w:space="0" w:color="auto"/>
            </w:tcBorders>
          </w:tcPr>
          <w:p w14:paraId="23F0AA95"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Politique de développement touristique</w:t>
            </w:r>
          </w:p>
        </w:tc>
        <w:tc>
          <w:tcPr>
            <w:tcW w:w="1454" w:type="dxa"/>
            <w:tcBorders>
              <w:top w:val="single" w:sz="4" w:space="0" w:color="auto"/>
              <w:left w:val="single" w:sz="4" w:space="0" w:color="auto"/>
              <w:bottom w:val="single" w:sz="4" w:space="0" w:color="auto"/>
              <w:right w:val="single" w:sz="4" w:space="0" w:color="auto"/>
            </w:tcBorders>
          </w:tcPr>
          <w:p w14:paraId="62CCDAB0"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2009</w:t>
            </w:r>
          </w:p>
        </w:tc>
      </w:tr>
      <w:tr w:rsidR="00883224" w:rsidRPr="00CE03E2" w14:paraId="1EC21360" w14:textId="77777777" w:rsidTr="00883224">
        <w:tc>
          <w:tcPr>
            <w:tcW w:w="7788" w:type="dxa"/>
            <w:tcBorders>
              <w:top w:val="single" w:sz="4" w:space="0" w:color="auto"/>
              <w:left w:val="single" w:sz="4" w:space="0" w:color="auto"/>
              <w:bottom w:val="single" w:sz="4" w:space="0" w:color="auto"/>
              <w:right w:val="single" w:sz="4" w:space="0" w:color="auto"/>
            </w:tcBorders>
          </w:tcPr>
          <w:p w14:paraId="41D195A5"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Stratégie de développement du tourisme (SDT) 2012 – 2017</w:t>
            </w:r>
          </w:p>
        </w:tc>
        <w:tc>
          <w:tcPr>
            <w:tcW w:w="1454" w:type="dxa"/>
            <w:tcBorders>
              <w:top w:val="single" w:sz="4" w:space="0" w:color="auto"/>
              <w:left w:val="single" w:sz="4" w:space="0" w:color="auto"/>
              <w:bottom w:val="single" w:sz="4" w:space="0" w:color="auto"/>
              <w:right w:val="single" w:sz="4" w:space="0" w:color="auto"/>
            </w:tcBorders>
          </w:tcPr>
          <w:p w14:paraId="2066B1DC"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2010</w:t>
            </w:r>
          </w:p>
        </w:tc>
      </w:tr>
      <w:tr w:rsidR="00883224" w:rsidRPr="00CE03E2" w14:paraId="21698E97" w14:textId="77777777" w:rsidTr="00883224">
        <w:tc>
          <w:tcPr>
            <w:tcW w:w="7788" w:type="dxa"/>
            <w:tcBorders>
              <w:top w:val="single" w:sz="4" w:space="0" w:color="auto"/>
              <w:left w:val="single" w:sz="4" w:space="0" w:color="auto"/>
              <w:bottom w:val="single" w:sz="4" w:space="0" w:color="auto"/>
              <w:right w:val="single" w:sz="4" w:space="0" w:color="auto"/>
            </w:tcBorders>
            <w:shd w:val="pct5" w:color="auto" w:fill="auto"/>
            <w:hideMark/>
          </w:tcPr>
          <w:p w14:paraId="166E042C" w14:textId="77777777" w:rsidR="00883224" w:rsidRPr="00CE03E2" w:rsidRDefault="00883224" w:rsidP="00883224">
            <w:pPr>
              <w:spacing w:after="0" w:line="240" w:lineRule="auto"/>
              <w:rPr>
                <w:rFonts w:eastAsia="Calibri" w:cs="Arial"/>
                <w:b/>
                <w:i/>
                <w:spacing w:val="-2"/>
                <w:lang w:eastAsia="fr-FR"/>
              </w:rPr>
            </w:pPr>
            <w:r w:rsidRPr="00CE03E2">
              <w:rPr>
                <w:rFonts w:eastAsia="Calibri" w:cs="Arial"/>
                <w:b/>
                <w:i/>
                <w:spacing w:val="-2"/>
                <w:lang w:eastAsia="fr-FR"/>
              </w:rPr>
              <w:t>Gestion des déchets, hygiène, développement urbain, transport</w:t>
            </w:r>
          </w:p>
        </w:tc>
        <w:tc>
          <w:tcPr>
            <w:tcW w:w="1454" w:type="dxa"/>
            <w:tcBorders>
              <w:top w:val="single" w:sz="4" w:space="0" w:color="auto"/>
              <w:left w:val="single" w:sz="4" w:space="0" w:color="auto"/>
              <w:bottom w:val="single" w:sz="4" w:space="0" w:color="auto"/>
              <w:right w:val="single" w:sz="4" w:space="0" w:color="auto"/>
            </w:tcBorders>
            <w:shd w:val="pct5" w:color="auto" w:fill="auto"/>
          </w:tcPr>
          <w:p w14:paraId="15A2CB9A" w14:textId="77777777" w:rsidR="00883224" w:rsidRPr="00CE03E2" w:rsidRDefault="00883224" w:rsidP="00883224">
            <w:pPr>
              <w:spacing w:after="0" w:line="240" w:lineRule="auto"/>
              <w:rPr>
                <w:rFonts w:eastAsia="Calibri" w:cs="Arial"/>
                <w:spacing w:val="-2"/>
                <w:lang w:eastAsia="fr-FR"/>
              </w:rPr>
            </w:pPr>
          </w:p>
        </w:tc>
      </w:tr>
      <w:tr w:rsidR="00883224" w:rsidRPr="00CE03E2" w14:paraId="30C361D0" w14:textId="77777777" w:rsidTr="00883224">
        <w:tc>
          <w:tcPr>
            <w:tcW w:w="7788" w:type="dxa"/>
            <w:tcBorders>
              <w:top w:val="single" w:sz="4" w:space="0" w:color="auto"/>
              <w:left w:val="single" w:sz="4" w:space="0" w:color="auto"/>
              <w:bottom w:val="single" w:sz="4" w:space="0" w:color="auto"/>
              <w:right w:val="single" w:sz="4" w:space="0" w:color="auto"/>
            </w:tcBorders>
          </w:tcPr>
          <w:p w14:paraId="699000CF"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Politique nationale de développement de la ville</w:t>
            </w:r>
          </w:p>
        </w:tc>
        <w:tc>
          <w:tcPr>
            <w:tcW w:w="1454" w:type="dxa"/>
            <w:tcBorders>
              <w:top w:val="single" w:sz="4" w:space="0" w:color="auto"/>
              <w:left w:val="single" w:sz="4" w:space="0" w:color="auto"/>
              <w:bottom w:val="single" w:sz="4" w:space="0" w:color="auto"/>
              <w:right w:val="single" w:sz="4" w:space="0" w:color="auto"/>
            </w:tcBorders>
          </w:tcPr>
          <w:p w14:paraId="547BE9C1"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02/2014</w:t>
            </w:r>
          </w:p>
        </w:tc>
      </w:tr>
      <w:tr w:rsidR="00883224" w:rsidRPr="00CE03E2" w14:paraId="7A4AB9A0" w14:textId="77777777" w:rsidTr="00883224">
        <w:trPr>
          <w:trHeight w:val="227"/>
        </w:trPr>
        <w:tc>
          <w:tcPr>
            <w:tcW w:w="7788" w:type="dxa"/>
          </w:tcPr>
          <w:p w14:paraId="528C3417" w14:textId="77777777" w:rsidR="00883224" w:rsidRPr="001C565E" w:rsidRDefault="00BD651F" w:rsidP="00BD651F">
            <w:pPr>
              <w:spacing w:after="0" w:line="240" w:lineRule="auto"/>
              <w:rPr>
                <w:rFonts w:eastAsia="Calibri" w:cs="Arial"/>
                <w:spacing w:val="-2"/>
                <w:lang w:eastAsia="fr-FR"/>
              </w:rPr>
            </w:pPr>
            <w:r w:rsidRPr="001C565E">
              <w:rPr>
                <w:rFonts w:eastAsia="Calibri" w:cs="Arial"/>
                <w:spacing w:val="-2"/>
                <w:lang w:eastAsia="fr-FR"/>
              </w:rPr>
              <w:t xml:space="preserve">Politique Nationale des Transports, des Infrastructures de Transport et du Désenclavement </w:t>
            </w:r>
          </w:p>
        </w:tc>
        <w:tc>
          <w:tcPr>
            <w:tcW w:w="1454" w:type="dxa"/>
          </w:tcPr>
          <w:p w14:paraId="67B733CA" w14:textId="77777777" w:rsidR="00883224" w:rsidRPr="00CE03E2" w:rsidRDefault="00BD651F" w:rsidP="00883224">
            <w:pPr>
              <w:spacing w:after="0" w:line="240" w:lineRule="auto"/>
              <w:rPr>
                <w:rFonts w:eastAsia="Calibri" w:cs="Arial"/>
                <w:spacing w:val="-2"/>
                <w:lang w:eastAsia="fr-FR"/>
              </w:rPr>
            </w:pPr>
            <w:r w:rsidRPr="001C565E">
              <w:rPr>
                <w:rFonts w:eastAsia="Calibri" w:cs="Arial"/>
                <w:spacing w:val="-2"/>
                <w:lang w:eastAsia="fr-FR"/>
              </w:rPr>
              <w:t>2015</w:t>
            </w:r>
          </w:p>
        </w:tc>
      </w:tr>
      <w:tr w:rsidR="00883224" w:rsidRPr="00CE03E2" w14:paraId="0EB2071B" w14:textId="77777777" w:rsidTr="00883224">
        <w:trPr>
          <w:trHeight w:val="227"/>
        </w:trPr>
        <w:tc>
          <w:tcPr>
            <w:tcW w:w="7788" w:type="dxa"/>
          </w:tcPr>
          <w:p w14:paraId="1FC028E3"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Stratégie Nationale Développement de l’agroalimentaire et son plan d’actions 2012-2021</w:t>
            </w:r>
          </w:p>
        </w:tc>
        <w:tc>
          <w:tcPr>
            <w:tcW w:w="1454" w:type="dxa"/>
          </w:tcPr>
          <w:p w14:paraId="29ED4663"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2011</w:t>
            </w:r>
          </w:p>
        </w:tc>
      </w:tr>
      <w:tr w:rsidR="00883224" w:rsidRPr="00CE03E2" w14:paraId="1867D330" w14:textId="77777777" w:rsidTr="00883224">
        <w:trPr>
          <w:trHeight w:val="227"/>
        </w:trPr>
        <w:tc>
          <w:tcPr>
            <w:tcW w:w="7788" w:type="dxa"/>
          </w:tcPr>
          <w:p w14:paraId="5EC740B1"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Politique de Développement Industriel</w:t>
            </w:r>
          </w:p>
        </w:tc>
        <w:tc>
          <w:tcPr>
            <w:tcW w:w="1454" w:type="dxa"/>
          </w:tcPr>
          <w:p w14:paraId="1D09B4BF"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2010</w:t>
            </w:r>
          </w:p>
        </w:tc>
      </w:tr>
      <w:tr w:rsidR="00883224" w:rsidRPr="00CE03E2" w14:paraId="49E5E290" w14:textId="77777777" w:rsidTr="00883224">
        <w:trPr>
          <w:trHeight w:val="227"/>
        </w:trPr>
        <w:tc>
          <w:tcPr>
            <w:tcW w:w="7788" w:type="dxa"/>
          </w:tcPr>
          <w:p w14:paraId="621D9D12"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Loi d’Orientation du Secteur Privé (LOSP)</w:t>
            </w:r>
          </w:p>
        </w:tc>
        <w:tc>
          <w:tcPr>
            <w:tcW w:w="1454" w:type="dxa"/>
          </w:tcPr>
          <w:p w14:paraId="251FA411"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2010</w:t>
            </w:r>
          </w:p>
        </w:tc>
      </w:tr>
      <w:tr w:rsidR="00883224" w:rsidRPr="00CE03E2" w14:paraId="2BFC2E37" w14:textId="77777777" w:rsidTr="00883224">
        <w:trPr>
          <w:trHeight w:val="227"/>
        </w:trPr>
        <w:tc>
          <w:tcPr>
            <w:tcW w:w="7788" w:type="dxa"/>
          </w:tcPr>
          <w:p w14:paraId="1331859B"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Stratégie nationale de transfert de compétences de l’assainissement</w:t>
            </w:r>
          </w:p>
        </w:tc>
        <w:tc>
          <w:tcPr>
            <w:tcW w:w="1454" w:type="dxa"/>
          </w:tcPr>
          <w:p w14:paraId="6DDF563C"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2009</w:t>
            </w:r>
          </w:p>
        </w:tc>
      </w:tr>
      <w:tr w:rsidR="00883224" w:rsidRPr="00CE03E2" w14:paraId="44672C2F" w14:textId="77777777" w:rsidTr="00883224">
        <w:tc>
          <w:tcPr>
            <w:tcW w:w="7788" w:type="dxa"/>
            <w:tcBorders>
              <w:top w:val="single" w:sz="4" w:space="0" w:color="auto"/>
              <w:left w:val="single" w:sz="4" w:space="0" w:color="auto"/>
              <w:bottom w:val="single" w:sz="4" w:space="0" w:color="auto"/>
              <w:right w:val="single" w:sz="4" w:space="0" w:color="auto"/>
            </w:tcBorders>
          </w:tcPr>
          <w:p w14:paraId="0485B58C"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Stratégie Nationale de gestion de la pollution de l’air</w:t>
            </w:r>
          </w:p>
        </w:tc>
        <w:tc>
          <w:tcPr>
            <w:tcW w:w="1454" w:type="dxa"/>
            <w:tcBorders>
              <w:top w:val="single" w:sz="4" w:space="0" w:color="auto"/>
              <w:left w:val="single" w:sz="4" w:space="0" w:color="auto"/>
              <w:bottom w:val="single" w:sz="4" w:space="0" w:color="auto"/>
              <w:right w:val="single" w:sz="4" w:space="0" w:color="auto"/>
            </w:tcBorders>
          </w:tcPr>
          <w:p w14:paraId="18926CDD"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2009</w:t>
            </w:r>
          </w:p>
        </w:tc>
      </w:tr>
      <w:tr w:rsidR="00883224" w:rsidRPr="00CE03E2" w14:paraId="65B10ABB" w14:textId="77777777" w:rsidTr="00883224">
        <w:tc>
          <w:tcPr>
            <w:tcW w:w="7788" w:type="dxa"/>
            <w:tcBorders>
              <w:top w:val="single" w:sz="4" w:space="0" w:color="auto"/>
              <w:left w:val="single" w:sz="4" w:space="0" w:color="auto"/>
              <w:bottom w:val="single" w:sz="4" w:space="0" w:color="auto"/>
              <w:right w:val="single" w:sz="4" w:space="0" w:color="auto"/>
            </w:tcBorders>
          </w:tcPr>
          <w:p w14:paraId="4516CF01"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Politique Nationale de l’Assainissement</w:t>
            </w:r>
          </w:p>
        </w:tc>
        <w:tc>
          <w:tcPr>
            <w:tcW w:w="1454" w:type="dxa"/>
            <w:tcBorders>
              <w:top w:val="single" w:sz="4" w:space="0" w:color="auto"/>
              <w:left w:val="single" w:sz="4" w:space="0" w:color="auto"/>
              <w:bottom w:val="single" w:sz="4" w:space="0" w:color="auto"/>
              <w:right w:val="single" w:sz="4" w:space="0" w:color="auto"/>
            </w:tcBorders>
          </w:tcPr>
          <w:p w14:paraId="17104197"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2009</w:t>
            </w:r>
          </w:p>
        </w:tc>
      </w:tr>
      <w:tr w:rsidR="00883224" w:rsidRPr="00CE03E2" w14:paraId="52498EFF" w14:textId="77777777" w:rsidTr="00883224">
        <w:tc>
          <w:tcPr>
            <w:tcW w:w="7788" w:type="dxa"/>
            <w:tcBorders>
              <w:top w:val="single" w:sz="4" w:space="0" w:color="auto"/>
              <w:left w:val="single" w:sz="4" w:space="0" w:color="auto"/>
              <w:bottom w:val="single" w:sz="4" w:space="0" w:color="auto"/>
              <w:right w:val="single" w:sz="4" w:space="0" w:color="auto"/>
            </w:tcBorders>
          </w:tcPr>
          <w:p w14:paraId="53F58FB5"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Stratégie Nationale de gestion des déchets solides</w:t>
            </w:r>
          </w:p>
        </w:tc>
        <w:tc>
          <w:tcPr>
            <w:tcW w:w="1454" w:type="dxa"/>
            <w:tcBorders>
              <w:top w:val="single" w:sz="4" w:space="0" w:color="auto"/>
              <w:left w:val="single" w:sz="4" w:space="0" w:color="auto"/>
              <w:bottom w:val="single" w:sz="4" w:space="0" w:color="auto"/>
              <w:right w:val="single" w:sz="4" w:space="0" w:color="auto"/>
            </w:tcBorders>
          </w:tcPr>
          <w:p w14:paraId="0E97028D"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2009</w:t>
            </w:r>
          </w:p>
        </w:tc>
      </w:tr>
      <w:tr w:rsidR="00883224" w:rsidRPr="00CE03E2" w14:paraId="77D31DFB" w14:textId="77777777" w:rsidTr="00883224">
        <w:tc>
          <w:tcPr>
            <w:tcW w:w="7788" w:type="dxa"/>
          </w:tcPr>
          <w:p w14:paraId="6AFFBA2E"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Stratégie Nationale de gestion des déchets spéciaux</w:t>
            </w:r>
          </w:p>
        </w:tc>
        <w:tc>
          <w:tcPr>
            <w:tcW w:w="1454" w:type="dxa"/>
          </w:tcPr>
          <w:p w14:paraId="6F9665FA"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2009</w:t>
            </w:r>
          </w:p>
        </w:tc>
      </w:tr>
      <w:tr w:rsidR="00883224" w:rsidRPr="00CE03E2" w14:paraId="1DDB0263" w14:textId="77777777" w:rsidTr="00883224">
        <w:tc>
          <w:tcPr>
            <w:tcW w:w="7788" w:type="dxa"/>
          </w:tcPr>
          <w:p w14:paraId="79321141"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Stratégie Nationale de gestion des eaux pluviales</w:t>
            </w:r>
          </w:p>
        </w:tc>
        <w:tc>
          <w:tcPr>
            <w:tcW w:w="1454" w:type="dxa"/>
          </w:tcPr>
          <w:p w14:paraId="10CCDA2F"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2009</w:t>
            </w:r>
          </w:p>
        </w:tc>
      </w:tr>
      <w:tr w:rsidR="00883224" w:rsidRPr="00CE03E2" w14:paraId="688BA6AF" w14:textId="77777777" w:rsidTr="00883224">
        <w:tc>
          <w:tcPr>
            <w:tcW w:w="7788" w:type="dxa"/>
          </w:tcPr>
          <w:p w14:paraId="75F7441D"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Stratégie Nationale d’aménagement urbain</w:t>
            </w:r>
          </w:p>
        </w:tc>
        <w:tc>
          <w:tcPr>
            <w:tcW w:w="1454" w:type="dxa"/>
          </w:tcPr>
          <w:p w14:paraId="29FCF68F"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2009</w:t>
            </w:r>
          </w:p>
        </w:tc>
      </w:tr>
      <w:tr w:rsidR="00883224" w:rsidRPr="00CE03E2" w14:paraId="3F7F0AFB" w14:textId="77777777" w:rsidTr="00883224">
        <w:trPr>
          <w:trHeight w:val="227"/>
        </w:trPr>
        <w:tc>
          <w:tcPr>
            <w:tcW w:w="7788" w:type="dxa"/>
          </w:tcPr>
          <w:p w14:paraId="50868681"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Stratégie de Développement des Villes du Mali (SDVM 2009-2015)</w:t>
            </w:r>
          </w:p>
        </w:tc>
        <w:tc>
          <w:tcPr>
            <w:tcW w:w="1454" w:type="dxa"/>
          </w:tcPr>
          <w:p w14:paraId="53E2D12A"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2009</w:t>
            </w:r>
          </w:p>
        </w:tc>
      </w:tr>
      <w:tr w:rsidR="00883224" w:rsidRPr="00CE03E2" w14:paraId="37155AD4" w14:textId="77777777" w:rsidTr="00883224">
        <w:tc>
          <w:tcPr>
            <w:tcW w:w="7788" w:type="dxa"/>
          </w:tcPr>
          <w:p w14:paraId="07D5070B"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Politique Sectorielle du Développement Urbain (PSDU)</w:t>
            </w:r>
          </w:p>
        </w:tc>
        <w:tc>
          <w:tcPr>
            <w:tcW w:w="1454" w:type="dxa"/>
          </w:tcPr>
          <w:p w14:paraId="127BEBE5"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2008</w:t>
            </w:r>
          </w:p>
        </w:tc>
      </w:tr>
      <w:tr w:rsidR="00883224" w:rsidRPr="00CE03E2" w14:paraId="4439CE03" w14:textId="77777777" w:rsidTr="00883224">
        <w:trPr>
          <w:trHeight w:val="227"/>
        </w:trPr>
        <w:tc>
          <w:tcPr>
            <w:tcW w:w="7788" w:type="dxa"/>
          </w:tcPr>
          <w:p w14:paraId="494A380E"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Stratégie Nationale de gestion des déchets liquides</w:t>
            </w:r>
          </w:p>
        </w:tc>
        <w:tc>
          <w:tcPr>
            <w:tcW w:w="1454" w:type="dxa"/>
          </w:tcPr>
          <w:p w14:paraId="3F553E0A"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2007</w:t>
            </w:r>
          </w:p>
        </w:tc>
      </w:tr>
      <w:tr w:rsidR="00883224" w:rsidRPr="00CE03E2" w14:paraId="3E2B21B8" w14:textId="77777777" w:rsidTr="00883224">
        <w:tc>
          <w:tcPr>
            <w:tcW w:w="7788" w:type="dxa"/>
          </w:tcPr>
          <w:p w14:paraId="78A134C2"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Plan national de mise en œuvre de la convention de Stockholm sur les Polluants Organiques Persistants (POPS)</w:t>
            </w:r>
          </w:p>
        </w:tc>
        <w:tc>
          <w:tcPr>
            <w:tcW w:w="1454" w:type="dxa"/>
          </w:tcPr>
          <w:p w14:paraId="5B71F75A"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2006</w:t>
            </w:r>
          </w:p>
        </w:tc>
      </w:tr>
      <w:tr w:rsidR="00883224" w:rsidRPr="00CE03E2" w14:paraId="5B064712" w14:textId="77777777" w:rsidTr="00883224">
        <w:trPr>
          <w:trHeight w:val="227"/>
        </w:trPr>
        <w:tc>
          <w:tcPr>
            <w:tcW w:w="7788" w:type="dxa"/>
          </w:tcPr>
          <w:p w14:paraId="17B96A83"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Lettre de Politique de Développement du Sous-secteur des Infrastructures Rurales</w:t>
            </w:r>
          </w:p>
        </w:tc>
        <w:tc>
          <w:tcPr>
            <w:tcW w:w="1454" w:type="dxa"/>
          </w:tcPr>
          <w:p w14:paraId="3F37CED3"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2000</w:t>
            </w:r>
          </w:p>
        </w:tc>
      </w:tr>
      <w:tr w:rsidR="00883224" w:rsidRPr="00CE03E2" w14:paraId="5DF62FFC" w14:textId="77777777" w:rsidTr="00883224">
        <w:tc>
          <w:tcPr>
            <w:tcW w:w="7788" w:type="dxa"/>
            <w:tcBorders>
              <w:top w:val="single" w:sz="4" w:space="0" w:color="auto"/>
              <w:left w:val="single" w:sz="4" w:space="0" w:color="auto"/>
              <w:bottom w:val="single" w:sz="4" w:space="0" w:color="auto"/>
              <w:right w:val="single" w:sz="4" w:space="0" w:color="auto"/>
            </w:tcBorders>
            <w:shd w:val="pct5" w:color="auto" w:fill="auto"/>
            <w:hideMark/>
          </w:tcPr>
          <w:p w14:paraId="1AE17640" w14:textId="77777777" w:rsidR="00883224" w:rsidRPr="00CE03E2" w:rsidRDefault="00883224" w:rsidP="00883224">
            <w:pPr>
              <w:spacing w:after="0" w:line="240" w:lineRule="auto"/>
              <w:rPr>
                <w:rFonts w:eastAsia="Calibri" w:cs="Arial"/>
                <w:b/>
                <w:i/>
                <w:spacing w:val="-2"/>
                <w:lang w:val="it-IT" w:eastAsia="fr-FR"/>
              </w:rPr>
            </w:pPr>
            <w:r w:rsidRPr="00CE03E2">
              <w:rPr>
                <w:rFonts w:eastAsia="Calibri" w:cs="Arial"/>
                <w:b/>
                <w:i/>
                <w:spacing w:val="-2"/>
                <w:lang w:val="it-IT" w:eastAsia="fr-FR"/>
              </w:rPr>
              <w:t>Agriculture, irrigation, élevage</w:t>
            </w:r>
          </w:p>
        </w:tc>
        <w:tc>
          <w:tcPr>
            <w:tcW w:w="1454" w:type="dxa"/>
            <w:tcBorders>
              <w:top w:val="single" w:sz="4" w:space="0" w:color="auto"/>
              <w:left w:val="single" w:sz="4" w:space="0" w:color="auto"/>
              <w:bottom w:val="single" w:sz="4" w:space="0" w:color="auto"/>
              <w:right w:val="single" w:sz="4" w:space="0" w:color="auto"/>
            </w:tcBorders>
            <w:shd w:val="pct5" w:color="auto" w:fill="auto"/>
          </w:tcPr>
          <w:p w14:paraId="568240A0" w14:textId="77777777" w:rsidR="00883224" w:rsidRPr="00CE03E2" w:rsidRDefault="00883224" w:rsidP="00883224">
            <w:pPr>
              <w:spacing w:after="0" w:line="240" w:lineRule="auto"/>
              <w:rPr>
                <w:rFonts w:eastAsia="Calibri" w:cs="Arial"/>
                <w:spacing w:val="-2"/>
                <w:lang w:val="it-IT" w:eastAsia="fr-FR"/>
              </w:rPr>
            </w:pPr>
          </w:p>
        </w:tc>
      </w:tr>
      <w:tr w:rsidR="00883224" w:rsidRPr="00CE03E2" w14:paraId="45A6C342" w14:textId="77777777" w:rsidTr="00883224">
        <w:tc>
          <w:tcPr>
            <w:tcW w:w="7788" w:type="dxa"/>
            <w:tcBorders>
              <w:top w:val="single" w:sz="4" w:space="0" w:color="auto"/>
              <w:left w:val="single" w:sz="4" w:space="0" w:color="auto"/>
              <w:bottom w:val="single" w:sz="4" w:space="0" w:color="auto"/>
              <w:right w:val="single" w:sz="4" w:space="0" w:color="auto"/>
            </w:tcBorders>
          </w:tcPr>
          <w:p w14:paraId="489BCC09" w14:textId="77777777" w:rsidR="00883224" w:rsidRPr="00CE03E2" w:rsidRDefault="00883224" w:rsidP="00883224">
            <w:pPr>
              <w:spacing w:after="0" w:line="240" w:lineRule="auto"/>
            </w:pPr>
            <w:r w:rsidRPr="00CE03E2">
              <w:t>Loi N°2017- 001/ Du 11 avril 2017 portant sur le foncier agricole</w:t>
            </w:r>
          </w:p>
        </w:tc>
        <w:tc>
          <w:tcPr>
            <w:tcW w:w="1454" w:type="dxa"/>
            <w:tcBorders>
              <w:top w:val="single" w:sz="4" w:space="0" w:color="auto"/>
              <w:left w:val="single" w:sz="4" w:space="0" w:color="auto"/>
              <w:bottom w:val="single" w:sz="4" w:space="0" w:color="auto"/>
              <w:right w:val="single" w:sz="4" w:space="0" w:color="auto"/>
            </w:tcBorders>
          </w:tcPr>
          <w:p w14:paraId="1BEF47EB" w14:textId="77777777" w:rsidR="00883224" w:rsidRPr="00CE03E2" w:rsidRDefault="00883224" w:rsidP="00883224">
            <w:pPr>
              <w:spacing w:after="0" w:line="240" w:lineRule="auto"/>
            </w:pPr>
            <w:r w:rsidRPr="00CE03E2">
              <w:t>04/2017</w:t>
            </w:r>
          </w:p>
        </w:tc>
      </w:tr>
      <w:tr w:rsidR="00883224" w:rsidRPr="00CE03E2" w14:paraId="4CB76522" w14:textId="77777777" w:rsidTr="00883224">
        <w:tc>
          <w:tcPr>
            <w:tcW w:w="7788" w:type="dxa"/>
          </w:tcPr>
          <w:p w14:paraId="299DA05B" w14:textId="77777777" w:rsidR="00883224" w:rsidRPr="00D316EF" w:rsidRDefault="00883224" w:rsidP="00883224">
            <w:pPr>
              <w:spacing w:after="0" w:line="240" w:lineRule="auto"/>
            </w:pPr>
            <w:bookmarkStart w:id="98" w:name="_Hlk532455051"/>
            <w:bookmarkStart w:id="99" w:name="_Hlk532454902"/>
            <w:r w:rsidRPr="00D316EF">
              <w:t>Politique Nationale de Sécurité Alimentaire et Nutritionnelle (PolNSAN), plan d’action</w:t>
            </w:r>
            <w:bookmarkEnd w:id="98"/>
          </w:p>
        </w:tc>
        <w:tc>
          <w:tcPr>
            <w:tcW w:w="1454" w:type="dxa"/>
          </w:tcPr>
          <w:p w14:paraId="1F1D93AF" w14:textId="77777777" w:rsidR="00883224" w:rsidRPr="00D316EF" w:rsidRDefault="00883224" w:rsidP="00883224">
            <w:pPr>
              <w:spacing w:after="0" w:line="240" w:lineRule="auto"/>
            </w:pPr>
            <w:r w:rsidRPr="00D316EF">
              <w:t>01/2017</w:t>
            </w:r>
            <w:r w:rsidR="00563E26" w:rsidRPr="00D316EF">
              <w:t xml:space="preserve"> draft</w:t>
            </w:r>
          </w:p>
        </w:tc>
      </w:tr>
      <w:tr w:rsidR="00563E26" w:rsidRPr="00CE03E2" w14:paraId="621A7615" w14:textId="77777777" w:rsidTr="00883224">
        <w:tc>
          <w:tcPr>
            <w:tcW w:w="7788" w:type="dxa"/>
          </w:tcPr>
          <w:p w14:paraId="32AFAAE9" w14:textId="77777777" w:rsidR="00563E26" w:rsidRPr="00D316EF" w:rsidRDefault="00563E26" w:rsidP="00563E26">
            <w:pPr>
              <w:spacing w:after="0"/>
            </w:pPr>
            <w:r w:rsidRPr="00D316EF">
              <w:t>Stratégie Nationale de Sécurité Alimentaire et Nutritionnelle</w:t>
            </w:r>
          </w:p>
        </w:tc>
        <w:tc>
          <w:tcPr>
            <w:tcW w:w="1454" w:type="dxa"/>
          </w:tcPr>
          <w:p w14:paraId="183C7328" w14:textId="77777777" w:rsidR="00563E26" w:rsidRPr="00D316EF" w:rsidRDefault="00563E26" w:rsidP="00563E26">
            <w:pPr>
              <w:spacing w:after="0" w:line="240" w:lineRule="auto"/>
            </w:pPr>
            <w:r w:rsidRPr="00D316EF">
              <w:t>2002</w:t>
            </w:r>
          </w:p>
        </w:tc>
      </w:tr>
      <w:bookmarkEnd w:id="99"/>
      <w:tr w:rsidR="00883224" w:rsidRPr="00CE03E2" w14:paraId="4340F0BB" w14:textId="77777777" w:rsidTr="00883224">
        <w:tc>
          <w:tcPr>
            <w:tcW w:w="7788" w:type="dxa"/>
            <w:tcBorders>
              <w:top w:val="single" w:sz="4" w:space="0" w:color="auto"/>
              <w:left w:val="single" w:sz="4" w:space="0" w:color="auto"/>
              <w:bottom w:val="single" w:sz="4" w:space="0" w:color="auto"/>
              <w:right w:val="single" w:sz="4" w:space="0" w:color="auto"/>
            </w:tcBorders>
          </w:tcPr>
          <w:p w14:paraId="2C30F872"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Plan National d’Investissement dans le Secteur Agricole (PNISA)</w:t>
            </w:r>
          </w:p>
        </w:tc>
        <w:tc>
          <w:tcPr>
            <w:tcW w:w="1454" w:type="dxa"/>
            <w:tcBorders>
              <w:top w:val="single" w:sz="4" w:space="0" w:color="auto"/>
              <w:left w:val="single" w:sz="4" w:space="0" w:color="auto"/>
              <w:bottom w:val="single" w:sz="4" w:space="0" w:color="auto"/>
              <w:right w:val="single" w:sz="4" w:space="0" w:color="auto"/>
            </w:tcBorders>
          </w:tcPr>
          <w:p w14:paraId="6DB7E7B5"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2014</w:t>
            </w:r>
          </w:p>
        </w:tc>
      </w:tr>
      <w:tr w:rsidR="00883224" w:rsidRPr="00CE03E2" w14:paraId="66E19D4E" w14:textId="77777777" w:rsidTr="00883224">
        <w:tc>
          <w:tcPr>
            <w:tcW w:w="7788" w:type="dxa"/>
            <w:tcBorders>
              <w:top w:val="single" w:sz="4" w:space="0" w:color="auto"/>
              <w:left w:val="single" w:sz="4" w:space="0" w:color="auto"/>
              <w:bottom w:val="single" w:sz="4" w:space="0" w:color="auto"/>
              <w:right w:val="single" w:sz="4" w:space="0" w:color="auto"/>
            </w:tcBorders>
          </w:tcPr>
          <w:p w14:paraId="2D601804"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Loi N° 0640/ AN-RM portant sur la Loi d’orientation agricole (LOA)</w:t>
            </w:r>
          </w:p>
        </w:tc>
        <w:tc>
          <w:tcPr>
            <w:tcW w:w="1454" w:type="dxa"/>
            <w:tcBorders>
              <w:top w:val="single" w:sz="4" w:space="0" w:color="auto"/>
              <w:left w:val="single" w:sz="4" w:space="0" w:color="auto"/>
              <w:bottom w:val="single" w:sz="4" w:space="0" w:color="auto"/>
              <w:right w:val="single" w:sz="4" w:space="0" w:color="auto"/>
            </w:tcBorders>
          </w:tcPr>
          <w:p w14:paraId="5A862260"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2006</w:t>
            </w:r>
          </w:p>
        </w:tc>
      </w:tr>
      <w:tr w:rsidR="00883224" w:rsidRPr="00CE03E2" w14:paraId="0564B719" w14:textId="77777777" w:rsidTr="00883224">
        <w:tc>
          <w:tcPr>
            <w:tcW w:w="7788" w:type="dxa"/>
            <w:tcBorders>
              <w:top w:val="single" w:sz="4" w:space="0" w:color="auto"/>
              <w:left w:val="single" w:sz="4" w:space="0" w:color="auto"/>
              <w:bottom w:val="single" w:sz="4" w:space="0" w:color="auto"/>
              <w:right w:val="single" w:sz="4" w:space="0" w:color="auto"/>
            </w:tcBorders>
          </w:tcPr>
          <w:p w14:paraId="785CB0C5"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Politique de Développement Agricole du Mali (PDA)</w:t>
            </w:r>
          </w:p>
        </w:tc>
        <w:tc>
          <w:tcPr>
            <w:tcW w:w="1454" w:type="dxa"/>
            <w:tcBorders>
              <w:top w:val="single" w:sz="4" w:space="0" w:color="auto"/>
              <w:left w:val="single" w:sz="4" w:space="0" w:color="auto"/>
              <w:bottom w:val="single" w:sz="4" w:space="0" w:color="auto"/>
              <w:right w:val="single" w:sz="4" w:space="0" w:color="auto"/>
            </w:tcBorders>
          </w:tcPr>
          <w:p w14:paraId="16F663F0"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2013</w:t>
            </w:r>
          </w:p>
        </w:tc>
      </w:tr>
      <w:tr w:rsidR="00883224" w:rsidRPr="00CE03E2" w14:paraId="75D0CDE9" w14:textId="77777777" w:rsidTr="00883224">
        <w:trPr>
          <w:trHeight w:val="227"/>
        </w:trPr>
        <w:tc>
          <w:tcPr>
            <w:tcW w:w="7788" w:type="dxa"/>
            <w:tcBorders>
              <w:top w:val="single" w:sz="4" w:space="0" w:color="auto"/>
              <w:left w:val="single" w:sz="4" w:space="0" w:color="auto"/>
              <w:bottom w:val="single" w:sz="4" w:space="0" w:color="auto"/>
              <w:right w:val="single" w:sz="4" w:space="0" w:color="auto"/>
            </w:tcBorders>
          </w:tcPr>
          <w:p w14:paraId="03D0E372"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Stratégie Nationale de Développement de l’Irrigation (SNDI) 1999 -2020</w:t>
            </w:r>
          </w:p>
        </w:tc>
        <w:tc>
          <w:tcPr>
            <w:tcW w:w="1454" w:type="dxa"/>
            <w:tcBorders>
              <w:top w:val="single" w:sz="4" w:space="0" w:color="auto"/>
              <w:left w:val="single" w:sz="4" w:space="0" w:color="auto"/>
              <w:bottom w:val="single" w:sz="4" w:space="0" w:color="auto"/>
              <w:right w:val="single" w:sz="4" w:space="0" w:color="auto"/>
            </w:tcBorders>
          </w:tcPr>
          <w:p w14:paraId="7FB24A14"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1999, 2008</w:t>
            </w:r>
          </w:p>
        </w:tc>
      </w:tr>
      <w:tr w:rsidR="00883224" w:rsidRPr="00CE03E2" w14:paraId="491151AC" w14:textId="77777777" w:rsidTr="00883224">
        <w:trPr>
          <w:trHeight w:val="227"/>
        </w:trPr>
        <w:tc>
          <w:tcPr>
            <w:tcW w:w="7788" w:type="dxa"/>
            <w:tcBorders>
              <w:top w:val="single" w:sz="4" w:space="0" w:color="auto"/>
              <w:left w:val="single" w:sz="4" w:space="0" w:color="auto"/>
              <w:bottom w:val="single" w:sz="4" w:space="0" w:color="auto"/>
              <w:right w:val="single" w:sz="4" w:space="0" w:color="auto"/>
            </w:tcBorders>
          </w:tcPr>
          <w:p w14:paraId="66784C2B"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Schéma Directeur de Développement de la zone de l’Office du Niger 2010 – 2020</w:t>
            </w:r>
          </w:p>
        </w:tc>
        <w:tc>
          <w:tcPr>
            <w:tcW w:w="1454" w:type="dxa"/>
            <w:tcBorders>
              <w:top w:val="single" w:sz="4" w:space="0" w:color="auto"/>
              <w:left w:val="single" w:sz="4" w:space="0" w:color="auto"/>
              <w:bottom w:val="single" w:sz="4" w:space="0" w:color="auto"/>
              <w:right w:val="single" w:sz="4" w:space="0" w:color="auto"/>
            </w:tcBorders>
          </w:tcPr>
          <w:p w14:paraId="300EF672"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2010</w:t>
            </w:r>
          </w:p>
        </w:tc>
      </w:tr>
      <w:tr w:rsidR="00883224" w:rsidRPr="00CE03E2" w14:paraId="430801D5" w14:textId="77777777" w:rsidTr="00883224">
        <w:trPr>
          <w:trHeight w:val="227"/>
        </w:trPr>
        <w:tc>
          <w:tcPr>
            <w:tcW w:w="7788" w:type="dxa"/>
            <w:tcBorders>
              <w:top w:val="single" w:sz="4" w:space="0" w:color="auto"/>
              <w:left w:val="single" w:sz="4" w:space="0" w:color="auto"/>
              <w:bottom w:val="single" w:sz="4" w:space="0" w:color="auto"/>
              <w:right w:val="single" w:sz="4" w:space="0" w:color="auto"/>
            </w:tcBorders>
          </w:tcPr>
          <w:p w14:paraId="387720A8"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Stratégie Nationale de Développement de la Riziculture (SNDR)</w:t>
            </w:r>
          </w:p>
        </w:tc>
        <w:tc>
          <w:tcPr>
            <w:tcW w:w="1454" w:type="dxa"/>
            <w:tcBorders>
              <w:top w:val="single" w:sz="4" w:space="0" w:color="auto"/>
              <w:left w:val="single" w:sz="4" w:space="0" w:color="auto"/>
              <w:bottom w:val="single" w:sz="4" w:space="0" w:color="auto"/>
              <w:right w:val="single" w:sz="4" w:space="0" w:color="auto"/>
            </w:tcBorders>
          </w:tcPr>
          <w:p w14:paraId="4D2C9975"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05/2009</w:t>
            </w:r>
          </w:p>
        </w:tc>
      </w:tr>
      <w:tr w:rsidR="00883224" w:rsidRPr="00CE03E2" w14:paraId="29D5ACB5" w14:textId="77777777" w:rsidTr="00883224">
        <w:tc>
          <w:tcPr>
            <w:tcW w:w="7788" w:type="dxa"/>
            <w:tcBorders>
              <w:top w:val="single" w:sz="4" w:space="0" w:color="auto"/>
              <w:left w:val="single" w:sz="4" w:space="0" w:color="auto"/>
              <w:bottom w:val="single" w:sz="4" w:space="0" w:color="auto"/>
              <w:right w:val="single" w:sz="4" w:space="0" w:color="auto"/>
            </w:tcBorders>
          </w:tcPr>
          <w:p w14:paraId="253B2A89"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Politique Nationale de Développement de l’Elevage (PNDE)</w:t>
            </w:r>
          </w:p>
        </w:tc>
        <w:tc>
          <w:tcPr>
            <w:tcW w:w="1454" w:type="dxa"/>
            <w:tcBorders>
              <w:top w:val="single" w:sz="4" w:space="0" w:color="auto"/>
              <w:left w:val="single" w:sz="4" w:space="0" w:color="auto"/>
              <w:bottom w:val="single" w:sz="4" w:space="0" w:color="auto"/>
              <w:right w:val="single" w:sz="4" w:space="0" w:color="auto"/>
            </w:tcBorders>
          </w:tcPr>
          <w:p w14:paraId="69DBA1A8"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2003</w:t>
            </w:r>
          </w:p>
        </w:tc>
      </w:tr>
      <w:tr w:rsidR="00883224" w:rsidRPr="00CE03E2" w14:paraId="20A2C577" w14:textId="77777777" w:rsidTr="00883224">
        <w:tc>
          <w:tcPr>
            <w:tcW w:w="7788" w:type="dxa"/>
            <w:tcBorders>
              <w:top w:val="single" w:sz="4" w:space="0" w:color="auto"/>
              <w:left w:val="single" w:sz="4" w:space="0" w:color="auto"/>
              <w:bottom w:val="single" w:sz="4" w:space="0" w:color="auto"/>
              <w:right w:val="single" w:sz="4" w:space="0" w:color="auto"/>
            </w:tcBorders>
          </w:tcPr>
          <w:p w14:paraId="054F6D34"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Plan National d’Investissement Prioritaire du Secteur Agricole (PNIP-SA) 2010 – 2015</w:t>
            </w:r>
          </w:p>
        </w:tc>
        <w:tc>
          <w:tcPr>
            <w:tcW w:w="1454" w:type="dxa"/>
            <w:tcBorders>
              <w:top w:val="single" w:sz="4" w:space="0" w:color="auto"/>
              <w:left w:val="single" w:sz="4" w:space="0" w:color="auto"/>
              <w:bottom w:val="single" w:sz="4" w:space="0" w:color="auto"/>
              <w:right w:val="single" w:sz="4" w:space="0" w:color="auto"/>
            </w:tcBorders>
          </w:tcPr>
          <w:p w14:paraId="531D2860"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2010</w:t>
            </w:r>
          </w:p>
        </w:tc>
      </w:tr>
      <w:tr w:rsidR="00883224" w:rsidRPr="00CE03E2" w14:paraId="7ADA2D33" w14:textId="77777777" w:rsidTr="00883224">
        <w:trPr>
          <w:trHeight w:val="227"/>
        </w:trPr>
        <w:tc>
          <w:tcPr>
            <w:tcW w:w="7788" w:type="dxa"/>
            <w:tcBorders>
              <w:top w:val="single" w:sz="4" w:space="0" w:color="auto"/>
              <w:left w:val="single" w:sz="4" w:space="0" w:color="auto"/>
              <w:bottom w:val="single" w:sz="4" w:space="0" w:color="auto"/>
              <w:right w:val="single" w:sz="4" w:space="0" w:color="auto"/>
            </w:tcBorders>
          </w:tcPr>
          <w:p w14:paraId="1F7E30DD"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Charte pastorale (loi N°0-004 du 27 février 2001 portant Charte pastorale)</w:t>
            </w:r>
          </w:p>
        </w:tc>
        <w:tc>
          <w:tcPr>
            <w:tcW w:w="1454" w:type="dxa"/>
            <w:tcBorders>
              <w:top w:val="single" w:sz="4" w:space="0" w:color="auto"/>
              <w:left w:val="single" w:sz="4" w:space="0" w:color="auto"/>
              <w:bottom w:val="single" w:sz="4" w:space="0" w:color="auto"/>
              <w:right w:val="single" w:sz="4" w:space="0" w:color="auto"/>
            </w:tcBorders>
          </w:tcPr>
          <w:p w14:paraId="47253E77"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02/2001</w:t>
            </w:r>
          </w:p>
        </w:tc>
      </w:tr>
      <w:tr w:rsidR="00883224" w:rsidRPr="00CE03E2" w14:paraId="71724F87" w14:textId="77777777" w:rsidTr="00883224">
        <w:trPr>
          <w:trHeight w:val="227"/>
        </w:trPr>
        <w:tc>
          <w:tcPr>
            <w:tcW w:w="7788" w:type="dxa"/>
            <w:tcBorders>
              <w:top w:val="single" w:sz="4" w:space="0" w:color="auto"/>
              <w:left w:val="single" w:sz="4" w:space="0" w:color="auto"/>
              <w:bottom w:val="single" w:sz="4" w:space="0" w:color="auto"/>
              <w:right w:val="single" w:sz="4" w:space="0" w:color="auto"/>
            </w:tcBorders>
          </w:tcPr>
          <w:p w14:paraId="1F04F2CB"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Schéma d’aménagements pastoraux</w:t>
            </w:r>
          </w:p>
        </w:tc>
        <w:tc>
          <w:tcPr>
            <w:tcW w:w="1454" w:type="dxa"/>
            <w:tcBorders>
              <w:top w:val="single" w:sz="4" w:space="0" w:color="auto"/>
              <w:left w:val="single" w:sz="4" w:space="0" w:color="auto"/>
              <w:bottom w:val="single" w:sz="4" w:space="0" w:color="auto"/>
              <w:right w:val="single" w:sz="4" w:space="0" w:color="auto"/>
            </w:tcBorders>
          </w:tcPr>
          <w:p w14:paraId="1BE31391" w14:textId="77777777" w:rsidR="00883224" w:rsidRPr="00CE03E2" w:rsidRDefault="00883224" w:rsidP="00883224">
            <w:pPr>
              <w:spacing w:after="0" w:line="240" w:lineRule="auto"/>
              <w:rPr>
                <w:rFonts w:eastAsia="Calibri" w:cs="Arial"/>
                <w:spacing w:val="-2"/>
                <w:lang w:val="it-IT" w:eastAsia="fr-FR"/>
              </w:rPr>
            </w:pPr>
            <w:r w:rsidRPr="00CE03E2">
              <w:rPr>
                <w:rFonts w:eastAsia="Calibri" w:cs="Arial"/>
                <w:spacing w:val="-2"/>
                <w:lang w:val="it-IT" w:eastAsia="fr-FR"/>
              </w:rPr>
              <w:t>2000</w:t>
            </w:r>
          </w:p>
        </w:tc>
      </w:tr>
      <w:tr w:rsidR="00883224" w:rsidRPr="00CE03E2" w14:paraId="6BBBBE06" w14:textId="77777777" w:rsidTr="00883224">
        <w:tc>
          <w:tcPr>
            <w:tcW w:w="7788" w:type="dxa"/>
            <w:tcBorders>
              <w:top w:val="single" w:sz="4" w:space="0" w:color="auto"/>
              <w:left w:val="single" w:sz="4" w:space="0" w:color="auto"/>
              <w:bottom w:val="single" w:sz="4" w:space="0" w:color="auto"/>
              <w:right w:val="single" w:sz="4" w:space="0" w:color="auto"/>
            </w:tcBorders>
            <w:shd w:val="pct5" w:color="auto" w:fill="auto"/>
            <w:hideMark/>
          </w:tcPr>
          <w:p w14:paraId="4961F48A" w14:textId="77777777" w:rsidR="00883224" w:rsidRPr="00CE03E2" w:rsidRDefault="00883224" w:rsidP="00883224">
            <w:pPr>
              <w:spacing w:after="0" w:line="240" w:lineRule="auto"/>
              <w:rPr>
                <w:rFonts w:eastAsia="Calibri" w:cs="Arial"/>
                <w:b/>
                <w:i/>
                <w:spacing w:val="-2"/>
                <w:lang w:val="it-IT" w:eastAsia="fr-FR"/>
              </w:rPr>
            </w:pPr>
            <w:r w:rsidRPr="00CE03E2">
              <w:rPr>
                <w:rFonts w:eastAsia="Calibri" w:cs="Arial"/>
                <w:b/>
                <w:i/>
                <w:spacing w:val="-2"/>
                <w:lang w:val="it-IT" w:eastAsia="fr-FR"/>
              </w:rPr>
              <w:t>Santé</w:t>
            </w:r>
          </w:p>
        </w:tc>
        <w:tc>
          <w:tcPr>
            <w:tcW w:w="1454" w:type="dxa"/>
            <w:tcBorders>
              <w:top w:val="single" w:sz="4" w:space="0" w:color="auto"/>
              <w:left w:val="single" w:sz="4" w:space="0" w:color="auto"/>
              <w:bottom w:val="single" w:sz="4" w:space="0" w:color="auto"/>
              <w:right w:val="single" w:sz="4" w:space="0" w:color="auto"/>
            </w:tcBorders>
            <w:shd w:val="pct5" w:color="auto" w:fill="auto"/>
          </w:tcPr>
          <w:p w14:paraId="4DEF2DC5" w14:textId="77777777" w:rsidR="00883224" w:rsidRPr="00CE03E2" w:rsidRDefault="00883224" w:rsidP="00883224">
            <w:pPr>
              <w:spacing w:after="0" w:line="240" w:lineRule="auto"/>
              <w:rPr>
                <w:rFonts w:eastAsia="Calibri" w:cs="Arial"/>
                <w:spacing w:val="-2"/>
                <w:lang w:val="it-IT" w:eastAsia="fr-FR"/>
              </w:rPr>
            </w:pPr>
          </w:p>
        </w:tc>
      </w:tr>
      <w:tr w:rsidR="00563E26" w:rsidRPr="00563E26" w14:paraId="6DFF74B5" w14:textId="77777777" w:rsidTr="006F529F">
        <w:trPr>
          <w:trHeight w:val="227"/>
        </w:trPr>
        <w:tc>
          <w:tcPr>
            <w:tcW w:w="7788" w:type="dxa"/>
            <w:tcBorders>
              <w:top w:val="single" w:sz="4" w:space="0" w:color="auto"/>
              <w:left w:val="single" w:sz="4" w:space="0" w:color="auto"/>
              <w:bottom w:val="single" w:sz="4" w:space="0" w:color="auto"/>
              <w:right w:val="single" w:sz="4" w:space="0" w:color="auto"/>
            </w:tcBorders>
            <w:shd w:val="clear" w:color="auto" w:fill="auto"/>
          </w:tcPr>
          <w:p w14:paraId="1C75D5C2" w14:textId="77777777" w:rsidR="00993258" w:rsidRPr="00D316EF" w:rsidRDefault="00993258" w:rsidP="00883224">
            <w:pPr>
              <w:spacing w:after="0" w:line="240" w:lineRule="auto"/>
              <w:rPr>
                <w:rFonts w:eastAsia="Calibri" w:cs="Arial"/>
                <w:spacing w:val="-2"/>
                <w:lang w:eastAsia="fr-FR"/>
              </w:rPr>
            </w:pPr>
            <w:r w:rsidRPr="00D316EF">
              <w:rPr>
                <w:rFonts w:eastAsia="Calibri" w:cs="Arial"/>
                <w:spacing w:val="-2"/>
                <w:lang w:eastAsia="fr-FR"/>
              </w:rPr>
              <w:t>Politique Nationale de Nutrition</w:t>
            </w:r>
          </w:p>
        </w:tc>
        <w:tc>
          <w:tcPr>
            <w:tcW w:w="1454" w:type="dxa"/>
            <w:tcBorders>
              <w:top w:val="single" w:sz="4" w:space="0" w:color="auto"/>
              <w:left w:val="single" w:sz="4" w:space="0" w:color="auto"/>
              <w:bottom w:val="single" w:sz="4" w:space="0" w:color="auto"/>
              <w:right w:val="single" w:sz="4" w:space="0" w:color="auto"/>
            </w:tcBorders>
            <w:shd w:val="clear" w:color="auto" w:fill="auto"/>
          </w:tcPr>
          <w:p w14:paraId="6F962467" w14:textId="77777777" w:rsidR="00993258" w:rsidRPr="00D316EF" w:rsidRDefault="00563E26" w:rsidP="00883224">
            <w:pPr>
              <w:spacing w:after="0" w:line="240" w:lineRule="auto"/>
              <w:rPr>
                <w:rFonts w:eastAsia="Calibri" w:cs="Arial"/>
                <w:spacing w:val="-2"/>
                <w:lang w:val="fr-FR" w:eastAsia="fr-FR"/>
              </w:rPr>
            </w:pPr>
            <w:r w:rsidRPr="00D316EF">
              <w:rPr>
                <w:rFonts w:eastAsia="Calibri" w:cs="Arial"/>
                <w:spacing w:val="-2"/>
                <w:lang w:val="fr-FR" w:eastAsia="fr-FR"/>
              </w:rPr>
              <w:t>2013</w:t>
            </w:r>
          </w:p>
        </w:tc>
      </w:tr>
      <w:tr w:rsidR="00883224" w:rsidRPr="00CE03E2" w14:paraId="7ABC8D4C" w14:textId="77777777" w:rsidTr="00883224">
        <w:trPr>
          <w:trHeight w:val="227"/>
        </w:trPr>
        <w:tc>
          <w:tcPr>
            <w:tcW w:w="7788" w:type="dxa"/>
            <w:tcBorders>
              <w:top w:val="single" w:sz="4" w:space="0" w:color="auto"/>
              <w:left w:val="single" w:sz="4" w:space="0" w:color="auto"/>
              <w:bottom w:val="single" w:sz="4" w:space="0" w:color="auto"/>
              <w:right w:val="single" w:sz="4" w:space="0" w:color="auto"/>
            </w:tcBorders>
          </w:tcPr>
          <w:p w14:paraId="7C2D362B"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Plan Décennal de Développement Sanitaire et Social (PDDSS) 2014-2023</w:t>
            </w:r>
          </w:p>
        </w:tc>
        <w:tc>
          <w:tcPr>
            <w:tcW w:w="1454" w:type="dxa"/>
            <w:tcBorders>
              <w:top w:val="single" w:sz="4" w:space="0" w:color="auto"/>
              <w:left w:val="single" w:sz="4" w:space="0" w:color="auto"/>
              <w:bottom w:val="single" w:sz="4" w:space="0" w:color="auto"/>
              <w:right w:val="single" w:sz="4" w:space="0" w:color="auto"/>
            </w:tcBorders>
          </w:tcPr>
          <w:p w14:paraId="6D83F78B"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2013</w:t>
            </w:r>
          </w:p>
        </w:tc>
      </w:tr>
      <w:tr w:rsidR="00883224" w:rsidRPr="00CE03E2" w14:paraId="6568255E" w14:textId="77777777" w:rsidTr="00883224">
        <w:trPr>
          <w:trHeight w:val="227"/>
        </w:trPr>
        <w:tc>
          <w:tcPr>
            <w:tcW w:w="7788" w:type="dxa"/>
            <w:tcBorders>
              <w:top w:val="single" w:sz="4" w:space="0" w:color="auto"/>
              <w:left w:val="single" w:sz="4" w:space="0" w:color="auto"/>
              <w:bottom w:val="single" w:sz="4" w:space="0" w:color="auto"/>
              <w:right w:val="single" w:sz="4" w:space="0" w:color="auto"/>
            </w:tcBorders>
          </w:tcPr>
          <w:p w14:paraId="2E859BEA" w14:textId="77777777" w:rsidR="00883224" w:rsidRPr="00CE03E2" w:rsidRDefault="00883224" w:rsidP="00883224">
            <w:pPr>
              <w:spacing w:after="0" w:line="240" w:lineRule="auto"/>
              <w:rPr>
                <w:rFonts w:eastAsia="Calibri" w:cs="Arial"/>
                <w:spacing w:val="-2"/>
                <w:lang w:eastAsia="fr-FR"/>
              </w:rPr>
            </w:pPr>
            <w:r w:rsidRPr="00CE03E2">
              <w:rPr>
                <w:rFonts w:eastAsia="Calibri" w:cs="Arial"/>
                <w:spacing w:val="-2"/>
                <w:lang w:eastAsia="fr-FR"/>
              </w:rPr>
              <w:t>Politique Nationale de Santé (loi d’orientation sur la santé n°02-049 du 22 juillet 2002)</w:t>
            </w:r>
          </w:p>
        </w:tc>
        <w:tc>
          <w:tcPr>
            <w:tcW w:w="1454" w:type="dxa"/>
            <w:tcBorders>
              <w:top w:val="single" w:sz="4" w:space="0" w:color="auto"/>
              <w:left w:val="single" w:sz="4" w:space="0" w:color="auto"/>
              <w:bottom w:val="single" w:sz="4" w:space="0" w:color="auto"/>
              <w:right w:val="single" w:sz="4" w:space="0" w:color="auto"/>
            </w:tcBorders>
          </w:tcPr>
          <w:p w14:paraId="56BB2ADC" w14:textId="77777777" w:rsidR="00883224" w:rsidRPr="00CE03E2" w:rsidRDefault="00883224" w:rsidP="00883224">
            <w:pPr>
              <w:spacing w:after="0" w:line="240" w:lineRule="auto"/>
              <w:rPr>
                <w:rFonts w:eastAsia="Calibri" w:cs="Arial"/>
                <w:spacing w:val="-2"/>
                <w:lang w:val="fr-FR" w:eastAsia="fr-FR"/>
              </w:rPr>
            </w:pPr>
            <w:r w:rsidRPr="00CE03E2">
              <w:rPr>
                <w:rFonts w:eastAsia="Calibri" w:cs="Arial"/>
                <w:spacing w:val="-2"/>
                <w:lang w:val="fr-FR" w:eastAsia="fr-FR"/>
              </w:rPr>
              <w:t>07/2002</w:t>
            </w:r>
          </w:p>
        </w:tc>
      </w:tr>
    </w:tbl>
    <w:p w14:paraId="676E731E" w14:textId="77777777" w:rsidR="00883224" w:rsidRDefault="00883224" w:rsidP="00883224">
      <w:pPr>
        <w:rPr>
          <w:rFonts w:cs="Arial"/>
          <w:color w:val="FF0000"/>
          <w:sz w:val="18"/>
          <w:szCs w:val="18"/>
        </w:rPr>
      </w:pPr>
      <w:r>
        <w:rPr>
          <w:rFonts w:cs="Arial"/>
          <w:color w:val="FF0000"/>
          <w:sz w:val="18"/>
          <w:szCs w:val="18"/>
        </w:rPr>
        <w:br w:type="page"/>
      </w:r>
    </w:p>
    <w:p w14:paraId="13433C4A" w14:textId="77777777" w:rsidR="00883224" w:rsidRPr="00E9332B" w:rsidRDefault="00883224" w:rsidP="00525222">
      <w:pPr>
        <w:pStyle w:val="Titre3"/>
      </w:pPr>
      <w:bookmarkStart w:id="100" w:name="_Toc525930965"/>
      <w:bookmarkStart w:id="101" w:name="_Toc20505694"/>
      <w:r>
        <w:lastRenderedPageBreak/>
        <w:t>7</w:t>
      </w:r>
      <w:r w:rsidRPr="00E9332B">
        <w:t>.2.</w:t>
      </w:r>
      <w:r>
        <w:t>2</w:t>
      </w:r>
      <w:r w:rsidRPr="00E9332B">
        <w:t xml:space="preserve"> Accords internationaux</w:t>
      </w:r>
      <w:bookmarkEnd w:id="100"/>
      <w:bookmarkEnd w:id="101"/>
    </w:p>
    <w:tbl>
      <w:tblPr>
        <w:tblW w:w="109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031"/>
        <w:gridCol w:w="1440"/>
        <w:gridCol w:w="1440"/>
      </w:tblGrid>
      <w:tr w:rsidR="00883224" w:rsidRPr="00AB4BAC" w14:paraId="4766CA97" w14:textId="77777777" w:rsidTr="00883224">
        <w:trPr>
          <w:jc w:val="center"/>
        </w:trPr>
        <w:tc>
          <w:tcPr>
            <w:tcW w:w="8031" w:type="dxa"/>
            <w:shd w:val="clear" w:color="auto" w:fill="E0E0E0"/>
          </w:tcPr>
          <w:p w14:paraId="156C9610" w14:textId="77777777" w:rsidR="00883224" w:rsidRPr="00AB4BAC" w:rsidRDefault="00883224" w:rsidP="00883224">
            <w:pPr>
              <w:spacing w:after="0" w:line="288" w:lineRule="auto"/>
              <w:rPr>
                <w:rFonts w:cs="Arial"/>
                <w:b/>
                <w:bCs/>
                <w:color w:val="000000" w:themeColor="text1"/>
                <w:sz w:val="20"/>
                <w:szCs w:val="20"/>
                <w:lang w:val="fr-FR"/>
              </w:rPr>
            </w:pPr>
            <w:r w:rsidRPr="00AB4BAC">
              <w:rPr>
                <w:rFonts w:cs="Arial"/>
                <w:b/>
                <w:bCs/>
                <w:color w:val="000000" w:themeColor="text1"/>
                <w:sz w:val="20"/>
                <w:szCs w:val="20"/>
                <w:lang w:val="fr-FR"/>
              </w:rPr>
              <w:t>Convention ou accord</w:t>
            </w:r>
            <w:r>
              <w:rPr>
                <w:rFonts w:cs="Arial"/>
                <w:b/>
                <w:bCs/>
                <w:color w:val="000000" w:themeColor="text1"/>
                <w:sz w:val="20"/>
                <w:szCs w:val="20"/>
                <w:lang w:val="fr-FR"/>
              </w:rPr>
              <w:t> </w:t>
            </w:r>
            <w:r w:rsidRPr="00AB4BAC">
              <w:rPr>
                <w:rFonts w:cs="Arial"/>
                <w:b/>
                <w:bCs/>
                <w:color w:val="000000" w:themeColor="text1"/>
                <w:sz w:val="20"/>
                <w:szCs w:val="20"/>
                <w:lang w:val="fr-FR"/>
              </w:rPr>
              <w:t>: intitulé</w:t>
            </w:r>
          </w:p>
        </w:tc>
        <w:tc>
          <w:tcPr>
            <w:tcW w:w="1440" w:type="dxa"/>
            <w:shd w:val="clear" w:color="auto" w:fill="E0E0E0"/>
          </w:tcPr>
          <w:p w14:paraId="01C5999D" w14:textId="77777777" w:rsidR="00883224" w:rsidRPr="00AB4BAC" w:rsidRDefault="00883224" w:rsidP="00883224">
            <w:pPr>
              <w:spacing w:after="0" w:line="288" w:lineRule="auto"/>
              <w:rPr>
                <w:rFonts w:cs="Arial"/>
                <w:b/>
                <w:bCs/>
                <w:color w:val="000000" w:themeColor="text1"/>
                <w:sz w:val="20"/>
                <w:szCs w:val="20"/>
                <w:lang w:val="fr-FR"/>
              </w:rPr>
            </w:pPr>
            <w:r w:rsidRPr="00AB4BAC">
              <w:rPr>
                <w:rFonts w:cs="Arial"/>
                <w:b/>
                <w:bCs/>
                <w:color w:val="000000" w:themeColor="text1"/>
                <w:sz w:val="20"/>
                <w:szCs w:val="20"/>
                <w:lang w:val="fr-FR"/>
              </w:rPr>
              <w:t>Adhésion</w:t>
            </w:r>
          </w:p>
        </w:tc>
        <w:tc>
          <w:tcPr>
            <w:tcW w:w="1440" w:type="dxa"/>
            <w:shd w:val="clear" w:color="auto" w:fill="E0E0E0"/>
          </w:tcPr>
          <w:p w14:paraId="14A2DF8C" w14:textId="77777777" w:rsidR="00883224" w:rsidRPr="00AB4BAC" w:rsidRDefault="00883224" w:rsidP="00883224">
            <w:pPr>
              <w:spacing w:after="0" w:line="288" w:lineRule="auto"/>
              <w:rPr>
                <w:rFonts w:cs="Arial"/>
                <w:b/>
                <w:bCs/>
                <w:color w:val="000000" w:themeColor="text1"/>
                <w:sz w:val="20"/>
                <w:szCs w:val="20"/>
                <w:lang w:val="fr-FR"/>
              </w:rPr>
            </w:pPr>
            <w:r w:rsidRPr="00AB4BAC">
              <w:rPr>
                <w:rFonts w:cs="Arial"/>
                <w:b/>
                <w:bCs/>
                <w:color w:val="000000" w:themeColor="text1"/>
                <w:sz w:val="20"/>
                <w:szCs w:val="20"/>
                <w:lang w:val="fr-FR"/>
              </w:rPr>
              <w:t>Ratification</w:t>
            </w:r>
          </w:p>
        </w:tc>
      </w:tr>
      <w:tr w:rsidR="00883224" w:rsidRPr="00AB4BAC" w14:paraId="50846182" w14:textId="77777777" w:rsidTr="00883224">
        <w:trPr>
          <w:jc w:val="center"/>
        </w:trPr>
        <w:tc>
          <w:tcPr>
            <w:tcW w:w="8031" w:type="dxa"/>
          </w:tcPr>
          <w:p w14:paraId="4D76CD55" w14:textId="77777777" w:rsidR="00883224" w:rsidRPr="00AB4BAC" w:rsidRDefault="00883224" w:rsidP="00883224">
            <w:pPr>
              <w:spacing w:after="0" w:line="240" w:lineRule="auto"/>
              <w:rPr>
                <w:rFonts w:cs="Arial"/>
                <w:color w:val="000000" w:themeColor="text1"/>
                <w:sz w:val="20"/>
                <w:szCs w:val="20"/>
                <w:lang w:val="fr-FR"/>
              </w:rPr>
            </w:pPr>
            <w:r w:rsidRPr="00AB4BAC">
              <w:rPr>
                <w:rFonts w:cs="Arial"/>
                <w:color w:val="000000" w:themeColor="text1"/>
                <w:sz w:val="20"/>
                <w:szCs w:val="20"/>
                <w:lang w:val="fr-FR"/>
              </w:rPr>
              <w:t>Convention de Londres ou Convention Marpol relative à la conservation de la faune et de la flore à l’état naturel/ 1933</w:t>
            </w:r>
          </w:p>
        </w:tc>
        <w:tc>
          <w:tcPr>
            <w:tcW w:w="1440" w:type="dxa"/>
            <w:vAlign w:val="center"/>
          </w:tcPr>
          <w:p w14:paraId="61B024D9" w14:textId="77777777" w:rsidR="00883224" w:rsidRPr="00AB4BAC" w:rsidRDefault="00883224" w:rsidP="00883224">
            <w:pPr>
              <w:spacing w:after="0" w:line="240" w:lineRule="auto"/>
              <w:jc w:val="center"/>
              <w:rPr>
                <w:rFonts w:cs="Arial"/>
                <w:color w:val="000000" w:themeColor="text1"/>
                <w:sz w:val="20"/>
                <w:szCs w:val="20"/>
                <w:lang w:val="fr-FR"/>
              </w:rPr>
            </w:pPr>
            <w:r w:rsidRPr="00AB4BAC">
              <w:rPr>
                <w:rFonts w:cs="Arial"/>
                <w:color w:val="000000" w:themeColor="text1"/>
                <w:sz w:val="20"/>
                <w:szCs w:val="20"/>
                <w:lang w:val="fr-FR"/>
              </w:rPr>
              <w:t>08/12/1933</w:t>
            </w:r>
          </w:p>
        </w:tc>
        <w:tc>
          <w:tcPr>
            <w:tcW w:w="1440" w:type="dxa"/>
            <w:tcBorders>
              <w:bottom w:val="single" w:sz="4" w:space="0" w:color="auto"/>
            </w:tcBorders>
            <w:vAlign w:val="center"/>
          </w:tcPr>
          <w:p w14:paraId="3D82730C" w14:textId="77777777" w:rsidR="00883224" w:rsidRPr="00AB4BAC" w:rsidRDefault="00883224" w:rsidP="00883224">
            <w:pPr>
              <w:spacing w:after="0" w:line="240" w:lineRule="auto"/>
              <w:jc w:val="center"/>
              <w:rPr>
                <w:rFonts w:cs="Arial"/>
                <w:color w:val="000000" w:themeColor="text1"/>
                <w:sz w:val="20"/>
                <w:szCs w:val="20"/>
                <w:lang w:val="fr-FR"/>
              </w:rPr>
            </w:pPr>
          </w:p>
        </w:tc>
      </w:tr>
      <w:tr w:rsidR="00883224" w:rsidRPr="00AB4BAC" w14:paraId="223DC846" w14:textId="77777777" w:rsidTr="00883224">
        <w:trPr>
          <w:jc w:val="center"/>
        </w:trPr>
        <w:tc>
          <w:tcPr>
            <w:tcW w:w="8031" w:type="dxa"/>
          </w:tcPr>
          <w:p w14:paraId="019DA361" w14:textId="77777777" w:rsidR="00883224" w:rsidRPr="00AB4BAC" w:rsidRDefault="00883224" w:rsidP="00883224">
            <w:pPr>
              <w:spacing w:after="0" w:line="240" w:lineRule="auto"/>
              <w:rPr>
                <w:rFonts w:cs="Arial"/>
                <w:color w:val="000000" w:themeColor="text1"/>
                <w:sz w:val="20"/>
                <w:szCs w:val="20"/>
                <w:lang w:val="fr-FR"/>
              </w:rPr>
            </w:pPr>
            <w:r w:rsidRPr="00AB4BAC">
              <w:rPr>
                <w:rFonts w:cs="Arial"/>
                <w:color w:val="000000" w:themeColor="text1"/>
                <w:sz w:val="20"/>
                <w:szCs w:val="20"/>
                <w:lang w:val="fr-FR"/>
              </w:rPr>
              <w:t>Convention de Rome pour la protection des végétaux</w:t>
            </w:r>
          </w:p>
        </w:tc>
        <w:tc>
          <w:tcPr>
            <w:tcW w:w="1440" w:type="dxa"/>
          </w:tcPr>
          <w:p w14:paraId="179169FA" w14:textId="77777777" w:rsidR="00883224" w:rsidRPr="00AB4BAC" w:rsidRDefault="00883224" w:rsidP="00883224">
            <w:pPr>
              <w:spacing w:after="0" w:line="240" w:lineRule="auto"/>
              <w:jc w:val="center"/>
              <w:rPr>
                <w:rFonts w:cs="Arial"/>
                <w:color w:val="000000" w:themeColor="text1"/>
                <w:sz w:val="20"/>
                <w:szCs w:val="20"/>
                <w:lang w:val="fr-FR"/>
              </w:rPr>
            </w:pPr>
            <w:r w:rsidRPr="00AB4BAC">
              <w:rPr>
                <w:rFonts w:cs="Arial"/>
                <w:color w:val="000000" w:themeColor="text1"/>
                <w:sz w:val="20"/>
                <w:szCs w:val="20"/>
                <w:lang w:val="fr-FR"/>
              </w:rPr>
              <w:t>06/12/1951</w:t>
            </w:r>
          </w:p>
        </w:tc>
        <w:tc>
          <w:tcPr>
            <w:tcW w:w="1440" w:type="dxa"/>
            <w:vAlign w:val="center"/>
          </w:tcPr>
          <w:p w14:paraId="409B55F7" w14:textId="77777777" w:rsidR="00883224" w:rsidRPr="00AB4BAC" w:rsidRDefault="00883224" w:rsidP="00883224">
            <w:pPr>
              <w:spacing w:after="0" w:line="240" w:lineRule="auto"/>
              <w:jc w:val="center"/>
              <w:rPr>
                <w:rFonts w:cs="Arial"/>
                <w:color w:val="000000" w:themeColor="text1"/>
                <w:sz w:val="20"/>
                <w:szCs w:val="20"/>
                <w:lang w:val="fr-FR"/>
              </w:rPr>
            </w:pPr>
            <w:r w:rsidRPr="00AB4BAC">
              <w:rPr>
                <w:rFonts w:cs="Arial"/>
                <w:color w:val="000000" w:themeColor="text1"/>
                <w:sz w:val="20"/>
                <w:szCs w:val="20"/>
                <w:lang w:val="fr-FR"/>
              </w:rPr>
              <w:t>31/08/1987</w:t>
            </w:r>
          </w:p>
        </w:tc>
      </w:tr>
      <w:tr w:rsidR="00883224" w:rsidRPr="00B36404" w14:paraId="53ACBC47" w14:textId="77777777" w:rsidTr="00883224">
        <w:trPr>
          <w:jc w:val="center"/>
        </w:trPr>
        <w:tc>
          <w:tcPr>
            <w:tcW w:w="8031" w:type="dxa"/>
          </w:tcPr>
          <w:p w14:paraId="3738F800" w14:textId="77777777" w:rsidR="00883224" w:rsidRPr="00B36404" w:rsidRDefault="00883224" w:rsidP="00883224">
            <w:pPr>
              <w:spacing w:after="0" w:line="240" w:lineRule="auto"/>
              <w:rPr>
                <w:rFonts w:cs="Arial"/>
                <w:color w:val="000000" w:themeColor="text1"/>
                <w:sz w:val="20"/>
                <w:szCs w:val="20"/>
                <w:lang w:val="fr-FR"/>
              </w:rPr>
            </w:pPr>
            <w:r w:rsidRPr="00B36404">
              <w:rPr>
                <w:color w:val="000000" w:themeColor="text1"/>
                <w:sz w:val="20"/>
                <w:szCs w:val="20"/>
                <w:lang w:val="fr-FR"/>
              </w:rPr>
              <w:t>Convention sur les criquets migrateurs africains, adoptée le 23 Mai 1962 à Kano</w:t>
            </w:r>
          </w:p>
        </w:tc>
        <w:tc>
          <w:tcPr>
            <w:tcW w:w="1440" w:type="dxa"/>
            <w:vAlign w:val="center"/>
          </w:tcPr>
          <w:p w14:paraId="1F8EF849" w14:textId="77777777" w:rsidR="00883224" w:rsidRPr="00B36404" w:rsidRDefault="00883224" w:rsidP="00883224">
            <w:pPr>
              <w:spacing w:after="0" w:line="240" w:lineRule="auto"/>
              <w:jc w:val="center"/>
              <w:rPr>
                <w:rFonts w:cs="Arial"/>
                <w:color w:val="000000" w:themeColor="text1"/>
                <w:sz w:val="20"/>
                <w:szCs w:val="20"/>
                <w:lang w:val="fr-FR"/>
              </w:rPr>
            </w:pPr>
            <w:r w:rsidRPr="00B36404">
              <w:rPr>
                <w:rFonts w:cs="Arial"/>
                <w:color w:val="000000" w:themeColor="text1"/>
                <w:sz w:val="20"/>
                <w:szCs w:val="20"/>
                <w:lang w:val="fr-FR"/>
              </w:rPr>
              <w:t>13/04/1963</w:t>
            </w:r>
          </w:p>
        </w:tc>
        <w:tc>
          <w:tcPr>
            <w:tcW w:w="1440" w:type="dxa"/>
            <w:vAlign w:val="center"/>
          </w:tcPr>
          <w:p w14:paraId="4AD7CBA8" w14:textId="77777777" w:rsidR="00883224" w:rsidRPr="00B36404" w:rsidRDefault="00883224" w:rsidP="00883224">
            <w:pPr>
              <w:spacing w:after="0" w:line="240" w:lineRule="auto"/>
              <w:jc w:val="center"/>
              <w:rPr>
                <w:rFonts w:cs="Arial"/>
                <w:color w:val="000000" w:themeColor="text1"/>
                <w:sz w:val="20"/>
                <w:szCs w:val="20"/>
                <w:lang w:val="fr-FR"/>
              </w:rPr>
            </w:pPr>
          </w:p>
        </w:tc>
      </w:tr>
      <w:tr w:rsidR="00883224" w:rsidRPr="00AB4BAC" w14:paraId="36F2E387" w14:textId="77777777" w:rsidTr="00883224">
        <w:trPr>
          <w:jc w:val="center"/>
        </w:trPr>
        <w:tc>
          <w:tcPr>
            <w:tcW w:w="8031" w:type="dxa"/>
          </w:tcPr>
          <w:p w14:paraId="24BFDE3D" w14:textId="77777777" w:rsidR="00883224" w:rsidRPr="00AB4BAC" w:rsidRDefault="00883224" w:rsidP="00883224">
            <w:pPr>
              <w:spacing w:after="0" w:line="240" w:lineRule="auto"/>
              <w:rPr>
                <w:rFonts w:cs="Arial"/>
                <w:color w:val="000000" w:themeColor="text1"/>
                <w:sz w:val="20"/>
                <w:szCs w:val="20"/>
                <w:lang w:val="fr-FR"/>
              </w:rPr>
            </w:pPr>
            <w:r w:rsidRPr="00AB4BAC">
              <w:rPr>
                <w:rFonts w:cs="Arial"/>
                <w:color w:val="000000" w:themeColor="text1"/>
                <w:sz w:val="20"/>
                <w:szCs w:val="20"/>
                <w:lang w:val="fr-FR"/>
              </w:rPr>
              <w:t>Convention d’Alger sur la conservation de la nature et des ressources naturelles / 1968</w:t>
            </w:r>
          </w:p>
        </w:tc>
        <w:tc>
          <w:tcPr>
            <w:tcW w:w="1440" w:type="dxa"/>
          </w:tcPr>
          <w:p w14:paraId="6FBD99F5" w14:textId="77777777" w:rsidR="00883224" w:rsidRPr="00AB4BAC" w:rsidRDefault="00883224" w:rsidP="00883224">
            <w:pPr>
              <w:spacing w:after="0" w:line="240" w:lineRule="auto"/>
              <w:jc w:val="center"/>
              <w:rPr>
                <w:rFonts w:cs="Arial"/>
                <w:color w:val="000000" w:themeColor="text1"/>
                <w:sz w:val="20"/>
                <w:szCs w:val="20"/>
                <w:lang w:val="fr-FR"/>
              </w:rPr>
            </w:pPr>
            <w:r w:rsidRPr="00AB4BAC">
              <w:rPr>
                <w:rFonts w:cs="Arial"/>
                <w:color w:val="000000" w:themeColor="text1"/>
                <w:sz w:val="20"/>
                <w:szCs w:val="20"/>
                <w:lang w:val="fr-FR"/>
              </w:rPr>
              <w:t>15/09/1968</w:t>
            </w:r>
          </w:p>
        </w:tc>
        <w:tc>
          <w:tcPr>
            <w:tcW w:w="1440" w:type="dxa"/>
            <w:vAlign w:val="center"/>
          </w:tcPr>
          <w:p w14:paraId="57C83700" w14:textId="77777777" w:rsidR="00883224" w:rsidRPr="00AB4BAC" w:rsidRDefault="00883224" w:rsidP="00883224">
            <w:pPr>
              <w:spacing w:after="0" w:line="240" w:lineRule="auto"/>
              <w:jc w:val="center"/>
              <w:rPr>
                <w:rFonts w:cs="Arial"/>
                <w:color w:val="000000" w:themeColor="text1"/>
                <w:sz w:val="20"/>
                <w:szCs w:val="20"/>
                <w:lang w:val="fr-FR"/>
              </w:rPr>
            </w:pPr>
            <w:r w:rsidRPr="00AB4BAC">
              <w:rPr>
                <w:rFonts w:cs="Arial"/>
                <w:color w:val="000000" w:themeColor="text1"/>
                <w:sz w:val="20"/>
                <w:szCs w:val="20"/>
                <w:lang w:val="fr-FR"/>
              </w:rPr>
              <w:t>20/06/1974</w:t>
            </w:r>
          </w:p>
        </w:tc>
      </w:tr>
      <w:tr w:rsidR="00883224" w:rsidRPr="00AB4BAC" w14:paraId="71BB778C" w14:textId="77777777" w:rsidTr="00883224">
        <w:trPr>
          <w:jc w:val="center"/>
        </w:trPr>
        <w:tc>
          <w:tcPr>
            <w:tcW w:w="8031" w:type="dxa"/>
          </w:tcPr>
          <w:p w14:paraId="1F0F746F" w14:textId="77777777" w:rsidR="00883224" w:rsidRPr="00AB4BAC" w:rsidRDefault="00883224" w:rsidP="00883224">
            <w:pPr>
              <w:spacing w:after="0" w:line="240" w:lineRule="auto"/>
              <w:rPr>
                <w:rFonts w:cs="Arial"/>
                <w:color w:val="000000" w:themeColor="text1"/>
                <w:sz w:val="20"/>
                <w:szCs w:val="20"/>
                <w:lang w:val="fr-FR"/>
              </w:rPr>
            </w:pPr>
            <w:r w:rsidRPr="00AB4BAC">
              <w:rPr>
                <w:rFonts w:cs="Arial"/>
                <w:color w:val="000000" w:themeColor="text1"/>
                <w:sz w:val="20"/>
                <w:szCs w:val="20"/>
                <w:lang w:val="fr-FR"/>
              </w:rPr>
              <w:t>Convention de Ramsar sur les zones humides d</w:t>
            </w:r>
            <w:r>
              <w:rPr>
                <w:rFonts w:cs="Arial"/>
                <w:color w:val="000000" w:themeColor="text1"/>
                <w:sz w:val="20"/>
                <w:szCs w:val="20"/>
                <w:lang w:val="fr-FR"/>
              </w:rPr>
              <w:t>’</w:t>
            </w:r>
            <w:r w:rsidRPr="00AB4BAC">
              <w:rPr>
                <w:rFonts w:cs="Arial"/>
                <w:color w:val="000000" w:themeColor="text1"/>
                <w:sz w:val="20"/>
                <w:szCs w:val="20"/>
                <w:lang w:val="fr-FR"/>
              </w:rPr>
              <w:t>importance internationale particulièrement comme habitat d</w:t>
            </w:r>
            <w:r>
              <w:rPr>
                <w:rFonts w:cs="Arial"/>
                <w:color w:val="000000" w:themeColor="text1"/>
                <w:sz w:val="20"/>
                <w:szCs w:val="20"/>
                <w:lang w:val="fr-FR"/>
              </w:rPr>
              <w:t>’</w:t>
            </w:r>
            <w:r w:rsidRPr="00AB4BAC">
              <w:rPr>
                <w:rFonts w:cs="Arial"/>
                <w:color w:val="000000" w:themeColor="text1"/>
                <w:sz w:val="20"/>
                <w:szCs w:val="20"/>
                <w:lang w:val="fr-FR"/>
              </w:rPr>
              <w:t>oiseaux d</w:t>
            </w:r>
            <w:r>
              <w:rPr>
                <w:rFonts w:cs="Arial"/>
                <w:color w:val="000000" w:themeColor="text1"/>
                <w:sz w:val="20"/>
                <w:szCs w:val="20"/>
                <w:lang w:val="fr-FR"/>
              </w:rPr>
              <w:t>’</w:t>
            </w:r>
            <w:r w:rsidRPr="00AB4BAC">
              <w:rPr>
                <w:rFonts w:cs="Arial"/>
                <w:color w:val="000000" w:themeColor="text1"/>
                <w:sz w:val="20"/>
                <w:szCs w:val="20"/>
                <w:lang w:val="fr-FR"/>
              </w:rPr>
              <w:t>eau / 1971</w:t>
            </w:r>
          </w:p>
        </w:tc>
        <w:tc>
          <w:tcPr>
            <w:tcW w:w="1440" w:type="dxa"/>
            <w:vAlign w:val="center"/>
          </w:tcPr>
          <w:p w14:paraId="2EF27741" w14:textId="77777777" w:rsidR="00883224" w:rsidRPr="00AB4BAC" w:rsidRDefault="00883224" w:rsidP="00883224">
            <w:pPr>
              <w:spacing w:after="0" w:line="240" w:lineRule="auto"/>
              <w:jc w:val="center"/>
              <w:rPr>
                <w:rFonts w:cs="Arial"/>
                <w:color w:val="000000" w:themeColor="text1"/>
                <w:sz w:val="20"/>
                <w:szCs w:val="20"/>
                <w:lang w:val="fr-FR"/>
              </w:rPr>
            </w:pPr>
            <w:r w:rsidRPr="00AB4BAC">
              <w:rPr>
                <w:rFonts w:cs="Arial"/>
                <w:color w:val="000000" w:themeColor="text1"/>
                <w:sz w:val="20"/>
                <w:szCs w:val="20"/>
                <w:lang w:val="fr-FR"/>
              </w:rPr>
              <w:t>2/02/1971</w:t>
            </w:r>
          </w:p>
        </w:tc>
        <w:tc>
          <w:tcPr>
            <w:tcW w:w="1440" w:type="dxa"/>
            <w:tcBorders>
              <w:bottom w:val="single" w:sz="4" w:space="0" w:color="auto"/>
            </w:tcBorders>
            <w:vAlign w:val="center"/>
          </w:tcPr>
          <w:p w14:paraId="26D5C38B" w14:textId="77777777" w:rsidR="00883224" w:rsidRPr="00AB4BAC" w:rsidRDefault="00883224" w:rsidP="00883224">
            <w:pPr>
              <w:spacing w:after="0" w:line="240" w:lineRule="auto"/>
              <w:jc w:val="center"/>
              <w:rPr>
                <w:rFonts w:cs="Arial"/>
                <w:color w:val="000000" w:themeColor="text1"/>
                <w:sz w:val="20"/>
                <w:szCs w:val="20"/>
                <w:lang w:val="fr-FR"/>
              </w:rPr>
            </w:pPr>
            <w:r w:rsidRPr="00AB4BAC">
              <w:rPr>
                <w:rFonts w:cs="Arial"/>
                <w:color w:val="000000" w:themeColor="text1"/>
                <w:sz w:val="20"/>
                <w:szCs w:val="20"/>
                <w:lang w:val="fr-FR"/>
              </w:rPr>
              <w:t>25/09/1987</w:t>
            </w:r>
          </w:p>
        </w:tc>
      </w:tr>
      <w:tr w:rsidR="00883224" w:rsidRPr="00AB4BAC" w14:paraId="6BC3CBF1" w14:textId="77777777" w:rsidTr="00883224">
        <w:trPr>
          <w:jc w:val="center"/>
        </w:trPr>
        <w:tc>
          <w:tcPr>
            <w:tcW w:w="8031" w:type="dxa"/>
            <w:tcBorders>
              <w:top w:val="single" w:sz="4" w:space="0" w:color="auto"/>
              <w:left w:val="single" w:sz="4" w:space="0" w:color="auto"/>
              <w:bottom w:val="single" w:sz="4" w:space="0" w:color="auto"/>
              <w:right w:val="single" w:sz="4" w:space="0" w:color="auto"/>
            </w:tcBorders>
          </w:tcPr>
          <w:p w14:paraId="3FE61DB6" w14:textId="77777777" w:rsidR="00883224" w:rsidRPr="00AB4BAC" w:rsidRDefault="00883224" w:rsidP="00883224">
            <w:pPr>
              <w:spacing w:after="0" w:line="240" w:lineRule="auto"/>
              <w:rPr>
                <w:rFonts w:cs="Arial"/>
                <w:color w:val="000000" w:themeColor="text1"/>
                <w:sz w:val="20"/>
                <w:szCs w:val="20"/>
                <w:lang w:val="fr-FR"/>
              </w:rPr>
            </w:pPr>
            <w:r w:rsidRPr="00B36404">
              <w:rPr>
                <w:rFonts w:cs="Arial"/>
                <w:color w:val="000000" w:themeColor="text1"/>
                <w:sz w:val="20"/>
                <w:szCs w:val="20"/>
                <w:lang w:val="fr-FR"/>
              </w:rPr>
              <w:t>Convention établissant un Comité Inter-états de Lutte contre la Sécheresse dans le Sahel</w:t>
            </w:r>
          </w:p>
        </w:tc>
        <w:tc>
          <w:tcPr>
            <w:tcW w:w="1440" w:type="dxa"/>
            <w:tcBorders>
              <w:top w:val="single" w:sz="4" w:space="0" w:color="auto"/>
              <w:left w:val="single" w:sz="4" w:space="0" w:color="auto"/>
              <w:bottom w:val="single" w:sz="4" w:space="0" w:color="auto"/>
              <w:right w:val="single" w:sz="4" w:space="0" w:color="auto"/>
            </w:tcBorders>
            <w:vAlign w:val="center"/>
          </w:tcPr>
          <w:p w14:paraId="7A0E9FA9" w14:textId="77777777" w:rsidR="00883224" w:rsidRPr="00AB4BAC" w:rsidRDefault="00883224" w:rsidP="00883224">
            <w:pPr>
              <w:spacing w:after="0" w:line="240" w:lineRule="auto"/>
              <w:jc w:val="center"/>
              <w:rPr>
                <w:rFonts w:cs="Arial"/>
                <w:color w:val="000000" w:themeColor="text1"/>
                <w:sz w:val="20"/>
                <w:szCs w:val="20"/>
                <w:lang w:val="fr-FR"/>
              </w:rPr>
            </w:pPr>
            <w:r w:rsidRPr="00AB4BAC">
              <w:rPr>
                <w:rFonts w:cs="Arial"/>
                <w:color w:val="000000" w:themeColor="text1"/>
                <w:sz w:val="20"/>
                <w:szCs w:val="20"/>
                <w:lang w:val="fr-FR"/>
              </w:rPr>
              <w:t>12/09/1973</w:t>
            </w:r>
          </w:p>
        </w:tc>
        <w:tc>
          <w:tcPr>
            <w:tcW w:w="1440" w:type="dxa"/>
            <w:tcBorders>
              <w:top w:val="single" w:sz="4" w:space="0" w:color="auto"/>
              <w:left w:val="single" w:sz="4" w:space="0" w:color="auto"/>
              <w:bottom w:val="single" w:sz="4" w:space="0" w:color="auto"/>
              <w:right w:val="single" w:sz="4" w:space="0" w:color="auto"/>
            </w:tcBorders>
            <w:vAlign w:val="center"/>
          </w:tcPr>
          <w:p w14:paraId="1E1020B7" w14:textId="77777777" w:rsidR="00883224" w:rsidRPr="00AB4BAC" w:rsidRDefault="00883224" w:rsidP="00883224">
            <w:pPr>
              <w:spacing w:after="0" w:line="240" w:lineRule="auto"/>
              <w:jc w:val="center"/>
              <w:rPr>
                <w:rFonts w:cs="Arial"/>
                <w:color w:val="000000" w:themeColor="text1"/>
                <w:sz w:val="20"/>
                <w:szCs w:val="20"/>
                <w:lang w:val="fr-FR"/>
              </w:rPr>
            </w:pPr>
          </w:p>
        </w:tc>
      </w:tr>
      <w:tr w:rsidR="00883224" w:rsidRPr="00AB4BAC" w14:paraId="4F93078A" w14:textId="77777777" w:rsidTr="00883224">
        <w:trPr>
          <w:jc w:val="center"/>
        </w:trPr>
        <w:tc>
          <w:tcPr>
            <w:tcW w:w="8031" w:type="dxa"/>
          </w:tcPr>
          <w:p w14:paraId="5173D6FC" w14:textId="77777777" w:rsidR="00883224" w:rsidRPr="00AB4BAC" w:rsidRDefault="00883224" w:rsidP="00883224">
            <w:pPr>
              <w:pStyle w:val="En-tte"/>
              <w:tabs>
                <w:tab w:val="clear" w:pos="4536"/>
                <w:tab w:val="clear" w:pos="9072"/>
              </w:tabs>
              <w:rPr>
                <w:rFonts w:cs="Arial"/>
                <w:color w:val="000000" w:themeColor="text1"/>
                <w:sz w:val="20"/>
                <w:szCs w:val="20"/>
                <w:lang w:val="fr-FR"/>
              </w:rPr>
            </w:pPr>
            <w:r w:rsidRPr="00AB4BAC">
              <w:rPr>
                <w:rFonts w:cs="Arial"/>
                <w:color w:val="000000" w:themeColor="text1"/>
                <w:sz w:val="20"/>
                <w:szCs w:val="20"/>
                <w:lang w:val="fr-FR"/>
              </w:rPr>
              <w:t>Convention de l</w:t>
            </w:r>
            <w:r>
              <w:rPr>
                <w:rFonts w:cs="Arial"/>
                <w:color w:val="000000" w:themeColor="text1"/>
                <w:sz w:val="20"/>
                <w:szCs w:val="20"/>
                <w:lang w:val="fr-FR"/>
              </w:rPr>
              <w:t>’</w:t>
            </w:r>
            <w:r w:rsidRPr="00AB4BAC">
              <w:rPr>
                <w:rFonts w:cs="Arial"/>
                <w:color w:val="000000" w:themeColor="text1"/>
                <w:sz w:val="20"/>
                <w:szCs w:val="20"/>
                <w:lang w:val="fr-FR"/>
              </w:rPr>
              <w:t>UNESCO sur le patrimoine mondial, culturel et naturel / 1972</w:t>
            </w:r>
          </w:p>
        </w:tc>
        <w:tc>
          <w:tcPr>
            <w:tcW w:w="1440" w:type="dxa"/>
          </w:tcPr>
          <w:p w14:paraId="640B53E4" w14:textId="77777777" w:rsidR="00883224" w:rsidRPr="00AB4BAC" w:rsidRDefault="00883224" w:rsidP="00883224">
            <w:pPr>
              <w:spacing w:after="0" w:line="240" w:lineRule="auto"/>
              <w:jc w:val="center"/>
              <w:rPr>
                <w:rFonts w:cs="Arial"/>
                <w:color w:val="000000" w:themeColor="text1"/>
                <w:sz w:val="20"/>
                <w:szCs w:val="20"/>
                <w:lang w:val="fr-FR"/>
              </w:rPr>
            </w:pPr>
            <w:r w:rsidRPr="00AB4BAC">
              <w:rPr>
                <w:rFonts w:cs="Arial"/>
                <w:color w:val="000000" w:themeColor="text1"/>
                <w:sz w:val="20"/>
                <w:szCs w:val="20"/>
                <w:lang w:val="fr-FR"/>
              </w:rPr>
              <w:t>05/04/1977</w:t>
            </w:r>
          </w:p>
        </w:tc>
        <w:tc>
          <w:tcPr>
            <w:tcW w:w="1440" w:type="dxa"/>
            <w:vAlign w:val="center"/>
          </w:tcPr>
          <w:p w14:paraId="219E4392" w14:textId="77777777" w:rsidR="00883224" w:rsidRPr="00AB4BAC" w:rsidRDefault="00883224" w:rsidP="00883224">
            <w:pPr>
              <w:spacing w:after="0" w:line="240" w:lineRule="auto"/>
              <w:jc w:val="center"/>
              <w:rPr>
                <w:rFonts w:cs="Arial"/>
                <w:color w:val="000000" w:themeColor="text1"/>
                <w:sz w:val="20"/>
                <w:szCs w:val="20"/>
                <w:lang w:val="fr-FR"/>
              </w:rPr>
            </w:pPr>
          </w:p>
        </w:tc>
      </w:tr>
      <w:tr w:rsidR="00883224" w:rsidRPr="00AB4BAC" w14:paraId="75835577" w14:textId="77777777" w:rsidTr="00883224">
        <w:trPr>
          <w:jc w:val="center"/>
        </w:trPr>
        <w:tc>
          <w:tcPr>
            <w:tcW w:w="8031" w:type="dxa"/>
            <w:tcBorders>
              <w:top w:val="single" w:sz="4" w:space="0" w:color="auto"/>
              <w:left w:val="single" w:sz="4" w:space="0" w:color="auto"/>
              <w:bottom w:val="single" w:sz="4" w:space="0" w:color="auto"/>
              <w:right w:val="single" w:sz="4" w:space="0" w:color="auto"/>
            </w:tcBorders>
          </w:tcPr>
          <w:p w14:paraId="56950842" w14:textId="77777777" w:rsidR="00883224" w:rsidRPr="00B36404" w:rsidRDefault="00883224" w:rsidP="00883224">
            <w:pPr>
              <w:autoSpaceDE w:val="0"/>
              <w:autoSpaceDN w:val="0"/>
              <w:adjustRightInd w:val="0"/>
              <w:spacing w:after="0" w:line="240" w:lineRule="auto"/>
              <w:rPr>
                <w:rFonts w:eastAsia="Times New Roman" w:cs="Arial"/>
                <w:color w:val="000000" w:themeColor="text1"/>
                <w:sz w:val="20"/>
                <w:szCs w:val="20"/>
                <w:lang w:val="fr-FR" w:eastAsia="fr-FR"/>
              </w:rPr>
            </w:pPr>
            <w:r w:rsidRPr="00B36404">
              <w:rPr>
                <w:rFonts w:eastAsia="Times New Roman" w:cs="Arial"/>
                <w:color w:val="000000" w:themeColor="text1"/>
                <w:sz w:val="20"/>
                <w:szCs w:val="20"/>
                <w:lang w:val="fr-FR" w:eastAsia="fr-FR"/>
              </w:rPr>
              <w:t>Convention de Bonn sur la conservation des espèces migratrices appartenant à la faune sauvage de 1979, incluant les Memoranda sur les tortues marines de la côte Atlantique d’Afrique et sur les populations Ouest africaines de l’éléphant d’Afrique)</w:t>
            </w:r>
          </w:p>
        </w:tc>
        <w:tc>
          <w:tcPr>
            <w:tcW w:w="1440" w:type="dxa"/>
            <w:tcBorders>
              <w:top w:val="single" w:sz="4" w:space="0" w:color="auto"/>
              <w:left w:val="single" w:sz="4" w:space="0" w:color="auto"/>
              <w:bottom w:val="single" w:sz="4" w:space="0" w:color="auto"/>
              <w:right w:val="single" w:sz="4" w:space="0" w:color="auto"/>
            </w:tcBorders>
            <w:vAlign w:val="center"/>
          </w:tcPr>
          <w:p w14:paraId="2E6A9EA0" w14:textId="77777777" w:rsidR="00883224" w:rsidRPr="00AB4BAC" w:rsidRDefault="00883224" w:rsidP="00883224">
            <w:pPr>
              <w:spacing w:after="0" w:line="240" w:lineRule="auto"/>
              <w:jc w:val="center"/>
              <w:rPr>
                <w:rFonts w:cs="Arial"/>
                <w:color w:val="000000" w:themeColor="text1"/>
                <w:sz w:val="20"/>
                <w:szCs w:val="20"/>
                <w:lang w:val="fr-FR"/>
              </w:rPr>
            </w:pPr>
            <w:r w:rsidRPr="00AB4BAC">
              <w:rPr>
                <w:rFonts w:cs="Arial"/>
                <w:color w:val="000000" w:themeColor="text1"/>
                <w:sz w:val="20"/>
                <w:szCs w:val="20"/>
                <w:lang w:val="fr-FR"/>
              </w:rPr>
              <w:t>23/06/1979</w:t>
            </w:r>
          </w:p>
        </w:tc>
        <w:tc>
          <w:tcPr>
            <w:tcW w:w="1440" w:type="dxa"/>
            <w:tcBorders>
              <w:top w:val="single" w:sz="4" w:space="0" w:color="auto"/>
              <w:left w:val="single" w:sz="4" w:space="0" w:color="auto"/>
              <w:bottom w:val="single" w:sz="4" w:space="0" w:color="auto"/>
              <w:right w:val="single" w:sz="4" w:space="0" w:color="auto"/>
            </w:tcBorders>
            <w:vAlign w:val="center"/>
          </w:tcPr>
          <w:p w14:paraId="4B542103" w14:textId="77777777" w:rsidR="00883224" w:rsidRPr="00AB4BAC" w:rsidRDefault="00883224" w:rsidP="00883224">
            <w:pPr>
              <w:spacing w:after="0" w:line="240" w:lineRule="auto"/>
              <w:jc w:val="center"/>
              <w:rPr>
                <w:rFonts w:cs="Arial"/>
                <w:color w:val="000000" w:themeColor="text1"/>
                <w:sz w:val="20"/>
                <w:szCs w:val="20"/>
                <w:lang w:val="fr-FR"/>
              </w:rPr>
            </w:pPr>
            <w:r w:rsidRPr="00AB4BAC">
              <w:rPr>
                <w:rFonts w:cs="Arial"/>
                <w:color w:val="000000" w:themeColor="text1"/>
                <w:sz w:val="20"/>
                <w:szCs w:val="20"/>
                <w:lang w:val="fr-FR"/>
              </w:rPr>
              <w:t>01/10/1987</w:t>
            </w:r>
          </w:p>
        </w:tc>
      </w:tr>
      <w:tr w:rsidR="00883224" w:rsidRPr="00AB4BAC" w14:paraId="64C3FAD3" w14:textId="77777777" w:rsidTr="00883224">
        <w:trPr>
          <w:jc w:val="center"/>
        </w:trPr>
        <w:tc>
          <w:tcPr>
            <w:tcW w:w="8031" w:type="dxa"/>
          </w:tcPr>
          <w:p w14:paraId="4A72AD37" w14:textId="77777777" w:rsidR="00883224" w:rsidRPr="00AB4BAC" w:rsidRDefault="00883224" w:rsidP="00883224">
            <w:pPr>
              <w:spacing w:after="0" w:line="240" w:lineRule="auto"/>
              <w:rPr>
                <w:rFonts w:cs="Arial"/>
                <w:color w:val="000000" w:themeColor="text1"/>
                <w:sz w:val="20"/>
                <w:szCs w:val="20"/>
                <w:lang w:val="fr-FR"/>
              </w:rPr>
            </w:pPr>
            <w:r w:rsidRPr="00AB4BAC">
              <w:rPr>
                <w:rFonts w:cs="Arial"/>
                <w:color w:val="000000" w:themeColor="text1"/>
                <w:sz w:val="20"/>
                <w:szCs w:val="20"/>
                <w:lang w:val="fr-FR"/>
              </w:rPr>
              <w:t>Convention de Washington sur le commerce international des espèces de faune et flore sauvages menacées d</w:t>
            </w:r>
            <w:r>
              <w:rPr>
                <w:rFonts w:cs="Arial"/>
                <w:color w:val="000000" w:themeColor="text1"/>
                <w:sz w:val="20"/>
                <w:szCs w:val="20"/>
                <w:lang w:val="fr-FR"/>
              </w:rPr>
              <w:t>’</w:t>
            </w:r>
            <w:r w:rsidRPr="00AB4BAC">
              <w:rPr>
                <w:rFonts w:cs="Arial"/>
                <w:color w:val="000000" w:themeColor="text1"/>
                <w:sz w:val="20"/>
                <w:szCs w:val="20"/>
                <w:lang w:val="fr-FR"/>
              </w:rPr>
              <w:t>extinction (CITES) / 1975</w:t>
            </w:r>
          </w:p>
        </w:tc>
        <w:tc>
          <w:tcPr>
            <w:tcW w:w="1440" w:type="dxa"/>
            <w:vAlign w:val="center"/>
          </w:tcPr>
          <w:p w14:paraId="2C6C01E8" w14:textId="77777777" w:rsidR="00883224" w:rsidRPr="00AB4BAC" w:rsidRDefault="00883224" w:rsidP="00883224">
            <w:pPr>
              <w:spacing w:after="0" w:line="240" w:lineRule="auto"/>
              <w:jc w:val="center"/>
              <w:rPr>
                <w:rFonts w:cs="Arial"/>
                <w:color w:val="000000" w:themeColor="text1"/>
                <w:sz w:val="20"/>
                <w:szCs w:val="20"/>
                <w:lang w:val="fr-FR"/>
              </w:rPr>
            </w:pPr>
            <w:r w:rsidRPr="00AB4BAC">
              <w:rPr>
                <w:rFonts w:cs="Arial"/>
                <w:color w:val="000000" w:themeColor="text1"/>
                <w:sz w:val="20"/>
                <w:szCs w:val="20"/>
                <w:lang w:val="fr-FR"/>
              </w:rPr>
              <w:t>07/03/1994</w:t>
            </w:r>
          </w:p>
        </w:tc>
        <w:tc>
          <w:tcPr>
            <w:tcW w:w="1440" w:type="dxa"/>
            <w:tcBorders>
              <w:bottom w:val="single" w:sz="4" w:space="0" w:color="auto"/>
            </w:tcBorders>
            <w:vAlign w:val="center"/>
          </w:tcPr>
          <w:p w14:paraId="4691DC79" w14:textId="77777777" w:rsidR="00883224" w:rsidRPr="00AB4BAC" w:rsidRDefault="00883224" w:rsidP="00883224">
            <w:pPr>
              <w:spacing w:after="0" w:line="240" w:lineRule="auto"/>
              <w:jc w:val="center"/>
              <w:rPr>
                <w:rFonts w:cs="Arial"/>
                <w:color w:val="000000" w:themeColor="text1"/>
                <w:sz w:val="20"/>
                <w:szCs w:val="20"/>
                <w:lang w:val="fr-FR"/>
              </w:rPr>
            </w:pPr>
            <w:r w:rsidRPr="00AB4BAC">
              <w:rPr>
                <w:rFonts w:cs="Arial"/>
                <w:color w:val="000000" w:themeColor="text1"/>
                <w:sz w:val="20"/>
                <w:szCs w:val="20"/>
                <w:lang w:val="fr-FR"/>
              </w:rPr>
              <w:t>16/10/1994</w:t>
            </w:r>
          </w:p>
        </w:tc>
      </w:tr>
      <w:tr w:rsidR="00883224" w:rsidRPr="00AB4BAC" w14:paraId="499D501F" w14:textId="77777777" w:rsidTr="00883224">
        <w:trPr>
          <w:jc w:val="center"/>
        </w:trPr>
        <w:tc>
          <w:tcPr>
            <w:tcW w:w="8031" w:type="dxa"/>
          </w:tcPr>
          <w:p w14:paraId="4D7A6DEF" w14:textId="77777777" w:rsidR="00883224" w:rsidRPr="00AB4BAC" w:rsidRDefault="00883224" w:rsidP="00883224">
            <w:pPr>
              <w:spacing w:after="0" w:line="240" w:lineRule="auto"/>
              <w:rPr>
                <w:rFonts w:cs="Arial"/>
                <w:color w:val="000000" w:themeColor="text1"/>
                <w:sz w:val="20"/>
                <w:szCs w:val="20"/>
                <w:lang w:val="fr-FR"/>
              </w:rPr>
            </w:pPr>
            <w:r w:rsidRPr="00AB4BAC">
              <w:rPr>
                <w:rFonts w:cs="Arial"/>
                <w:color w:val="000000" w:themeColor="text1"/>
                <w:sz w:val="20"/>
                <w:szCs w:val="20"/>
                <w:lang w:val="fr-FR"/>
              </w:rPr>
              <w:t>Convention de Vienne pour la protection de la couche d</w:t>
            </w:r>
            <w:r>
              <w:rPr>
                <w:rFonts w:cs="Arial"/>
                <w:color w:val="000000" w:themeColor="text1"/>
                <w:sz w:val="20"/>
                <w:szCs w:val="20"/>
                <w:lang w:val="fr-FR"/>
              </w:rPr>
              <w:t>’</w:t>
            </w:r>
            <w:r w:rsidRPr="00AB4BAC">
              <w:rPr>
                <w:rFonts w:cs="Arial"/>
                <w:color w:val="000000" w:themeColor="text1"/>
                <w:sz w:val="20"/>
                <w:szCs w:val="20"/>
                <w:lang w:val="fr-FR"/>
              </w:rPr>
              <w:t>ozone / 1985</w:t>
            </w:r>
          </w:p>
        </w:tc>
        <w:tc>
          <w:tcPr>
            <w:tcW w:w="1440" w:type="dxa"/>
          </w:tcPr>
          <w:p w14:paraId="6CD83846" w14:textId="77777777" w:rsidR="00883224" w:rsidRPr="00AB4BAC" w:rsidRDefault="00883224" w:rsidP="00883224">
            <w:pPr>
              <w:spacing w:after="0" w:line="240" w:lineRule="auto"/>
              <w:jc w:val="center"/>
              <w:rPr>
                <w:rFonts w:cs="Arial"/>
                <w:color w:val="000000" w:themeColor="text1"/>
                <w:sz w:val="20"/>
                <w:szCs w:val="20"/>
                <w:lang w:val="fr-FR"/>
              </w:rPr>
            </w:pPr>
            <w:r w:rsidRPr="00AB4BAC">
              <w:rPr>
                <w:rFonts w:cs="Arial"/>
                <w:color w:val="000000" w:themeColor="text1"/>
                <w:sz w:val="20"/>
                <w:szCs w:val="20"/>
                <w:lang w:val="fr-FR"/>
              </w:rPr>
              <w:t>28/10/1994</w:t>
            </w:r>
          </w:p>
        </w:tc>
        <w:tc>
          <w:tcPr>
            <w:tcW w:w="1440" w:type="dxa"/>
            <w:shd w:val="clear" w:color="auto" w:fill="auto"/>
            <w:vAlign w:val="center"/>
          </w:tcPr>
          <w:p w14:paraId="3DF3B616" w14:textId="77777777" w:rsidR="00883224" w:rsidRPr="00AB4BAC" w:rsidRDefault="00883224" w:rsidP="00883224">
            <w:pPr>
              <w:spacing w:after="0" w:line="240" w:lineRule="auto"/>
              <w:jc w:val="center"/>
              <w:rPr>
                <w:rFonts w:cs="Arial"/>
                <w:color w:val="000000" w:themeColor="text1"/>
                <w:sz w:val="20"/>
                <w:szCs w:val="20"/>
                <w:lang w:val="fr-FR"/>
              </w:rPr>
            </w:pPr>
          </w:p>
        </w:tc>
      </w:tr>
      <w:tr w:rsidR="00883224" w:rsidRPr="00AB4BAC" w14:paraId="1C2D5B1C" w14:textId="77777777" w:rsidTr="00883224">
        <w:trPr>
          <w:jc w:val="center"/>
        </w:trPr>
        <w:tc>
          <w:tcPr>
            <w:tcW w:w="8031" w:type="dxa"/>
          </w:tcPr>
          <w:p w14:paraId="33177ED8" w14:textId="77777777" w:rsidR="00883224" w:rsidRPr="00AB4BAC" w:rsidRDefault="00883224" w:rsidP="00883224">
            <w:pPr>
              <w:spacing w:after="0" w:line="240" w:lineRule="auto"/>
              <w:rPr>
                <w:rFonts w:cs="Arial"/>
                <w:color w:val="000000" w:themeColor="text1"/>
                <w:sz w:val="20"/>
                <w:szCs w:val="20"/>
                <w:lang w:val="fr-FR"/>
              </w:rPr>
            </w:pPr>
            <w:r w:rsidRPr="00AB4BAC">
              <w:rPr>
                <w:rFonts w:cs="Arial"/>
                <w:color w:val="000000" w:themeColor="text1"/>
                <w:sz w:val="20"/>
                <w:szCs w:val="20"/>
                <w:lang w:val="fr-FR"/>
              </w:rPr>
              <w:t>Protocole de Montréal relatif aux substances qui appauvrissent la couche d</w:t>
            </w:r>
            <w:r>
              <w:rPr>
                <w:rFonts w:cs="Arial"/>
                <w:color w:val="000000" w:themeColor="text1"/>
                <w:sz w:val="20"/>
                <w:szCs w:val="20"/>
                <w:lang w:val="fr-FR"/>
              </w:rPr>
              <w:t>’</w:t>
            </w:r>
            <w:r w:rsidRPr="00AB4BAC">
              <w:rPr>
                <w:rFonts w:cs="Arial"/>
                <w:color w:val="000000" w:themeColor="text1"/>
                <w:sz w:val="20"/>
                <w:szCs w:val="20"/>
                <w:lang w:val="fr-FR"/>
              </w:rPr>
              <w:t>ozone / 1989</w:t>
            </w:r>
          </w:p>
        </w:tc>
        <w:tc>
          <w:tcPr>
            <w:tcW w:w="1440" w:type="dxa"/>
            <w:vAlign w:val="center"/>
          </w:tcPr>
          <w:p w14:paraId="2769E62F" w14:textId="77777777" w:rsidR="00883224" w:rsidRPr="00AB4BAC" w:rsidRDefault="00883224" w:rsidP="00883224">
            <w:pPr>
              <w:spacing w:after="0" w:line="240" w:lineRule="auto"/>
              <w:jc w:val="center"/>
              <w:rPr>
                <w:rFonts w:cs="Arial"/>
                <w:color w:val="000000" w:themeColor="text1"/>
                <w:sz w:val="20"/>
                <w:szCs w:val="20"/>
                <w:lang w:val="fr-FR"/>
              </w:rPr>
            </w:pPr>
            <w:r w:rsidRPr="00AB4BAC">
              <w:rPr>
                <w:rFonts w:cs="Arial"/>
                <w:color w:val="000000" w:themeColor="text1"/>
                <w:sz w:val="20"/>
                <w:szCs w:val="20"/>
                <w:lang w:val="fr-FR"/>
              </w:rPr>
              <w:t>28/101994</w:t>
            </w:r>
          </w:p>
        </w:tc>
        <w:tc>
          <w:tcPr>
            <w:tcW w:w="1440" w:type="dxa"/>
            <w:tcBorders>
              <w:bottom w:val="single" w:sz="4" w:space="0" w:color="auto"/>
            </w:tcBorders>
            <w:shd w:val="clear" w:color="auto" w:fill="auto"/>
            <w:vAlign w:val="center"/>
          </w:tcPr>
          <w:p w14:paraId="24B05804" w14:textId="77777777" w:rsidR="00883224" w:rsidRPr="00AB4BAC" w:rsidRDefault="00883224" w:rsidP="00883224">
            <w:pPr>
              <w:spacing w:after="0" w:line="240" w:lineRule="auto"/>
              <w:jc w:val="center"/>
              <w:rPr>
                <w:rFonts w:cs="Arial"/>
                <w:color w:val="000000" w:themeColor="text1"/>
                <w:sz w:val="20"/>
                <w:szCs w:val="20"/>
                <w:lang w:val="fr-FR"/>
              </w:rPr>
            </w:pPr>
          </w:p>
        </w:tc>
      </w:tr>
      <w:tr w:rsidR="00883224" w:rsidRPr="00AB4BAC" w14:paraId="66BE5C39" w14:textId="77777777" w:rsidTr="00883224">
        <w:trPr>
          <w:jc w:val="center"/>
        </w:trPr>
        <w:tc>
          <w:tcPr>
            <w:tcW w:w="8031" w:type="dxa"/>
          </w:tcPr>
          <w:p w14:paraId="130D09DB" w14:textId="77777777" w:rsidR="00883224" w:rsidRPr="00AB4BAC" w:rsidRDefault="00883224" w:rsidP="00883224">
            <w:pPr>
              <w:spacing w:after="0" w:line="240" w:lineRule="auto"/>
              <w:rPr>
                <w:rFonts w:cs="Arial"/>
                <w:color w:val="000000" w:themeColor="text1"/>
                <w:sz w:val="20"/>
                <w:szCs w:val="20"/>
                <w:lang w:val="fr-FR"/>
              </w:rPr>
            </w:pPr>
            <w:r w:rsidRPr="00AB4BAC">
              <w:rPr>
                <w:rFonts w:cs="Arial"/>
                <w:color w:val="000000" w:themeColor="text1"/>
                <w:sz w:val="20"/>
                <w:szCs w:val="20"/>
                <w:lang w:val="fr-FR"/>
              </w:rPr>
              <w:t>Amendement de Londres / 1992</w:t>
            </w:r>
          </w:p>
        </w:tc>
        <w:tc>
          <w:tcPr>
            <w:tcW w:w="1440" w:type="dxa"/>
            <w:vAlign w:val="center"/>
          </w:tcPr>
          <w:p w14:paraId="763FD160" w14:textId="77777777" w:rsidR="00883224" w:rsidRPr="00AB4BAC" w:rsidRDefault="00883224" w:rsidP="00883224">
            <w:pPr>
              <w:spacing w:after="0" w:line="240" w:lineRule="auto"/>
              <w:jc w:val="center"/>
              <w:rPr>
                <w:rFonts w:cs="Arial"/>
                <w:color w:val="000000" w:themeColor="text1"/>
                <w:sz w:val="20"/>
                <w:szCs w:val="20"/>
                <w:lang w:val="fr-FR"/>
              </w:rPr>
            </w:pPr>
            <w:r w:rsidRPr="00AB4BAC">
              <w:rPr>
                <w:rFonts w:cs="Arial"/>
                <w:color w:val="000000" w:themeColor="text1"/>
                <w:sz w:val="20"/>
                <w:szCs w:val="20"/>
                <w:lang w:val="fr-FR"/>
              </w:rPr>
              <w:t>28/10/1994</w:t>
            </w:r>
          </w:p>
        </w:tc>
        <w:tc>
          <w:tcPr>
            <w:tcW w:w="1440" w:type="dxa"/>
            <w:tcBorders>
              <w:bottom w:val="single" w:sz="4" w:space="0" w:color="auto"/>
            </w:tcBorders>
            <w:shd w:val="clear" w:color="auto" w:fill="auto"/>
            <w:vAlign w:val="center"/>
          </w:tcPr>
          <w:p w14:paraId="09504045" w14:textId="77777777" w:rsidR="00883224" w:rsidRPr="00AB4BAC" w:rsidRDefault="00883224" w:rsidP="00883224">
            <w:pPr>
              <w:spacing w:after="0" w:line="240" w:lineRule="auto"/>
              <w:jc w:val="center"/>
              <w:rPr>
                <w:rFonts w:cs="Arial"/>
                <w:color w:val="000000" w:themeColor="text1"/>
                <w:sz w:val="20"/>
                <w:szCs w:val="20"/>
                <w:lang w:val="fr-FR"/>
              </w:rPr>
            </w:pPr>
          </w:p>
        </w:tc>
      </w:tr>
      <w:tr w:rsidR="00883224" w:rsidRPr="00AB4BAC" w14:paraId="4CD3A243" w14:textId="77777777" w:rsidTr="00883224">
        <w:trPr>
          <w:jc w:val="center"/>
        </w:trPr>
        <w:tc>
          <w:tcPr>
            <w:tcW w:w="8031" w:type="dxa"/>
          </w:tcPr>
          <w:p w14:paraId="2FE4E9A6" w14:textId="77777777" w:rsidR="00883224" w:rsidRPr="00AB4BAC" w:rsidRDefault="00883224" w:rsidP="00883224">
            <w:pPr>
              <w:spacing w:after="0" w:line="240" w:lineRule="auto"/>
              <w:rPr>
                <w:rFonts w:cs="Arial"/>
                <w:color w:val="000000" w:themeColor="text1"/>
                <w:sz w:val="20"/>
                <w:szCs w:val="20"/>
                <w:lang w:val="fr-FR"/>
              </w:rPr>
            </w:pPr>
            <w:r w:rsidRPr="00AB4BAC">
              <w:rPr>
                <w:rFonts w:cs="Arial"/>
                <w:color w:val="000000" w:themeColor="text1"/>
                <w:sz w:val="20"/>
                <w:szCs w:val="20"/>
                <w:lang w:val="fr-FR"/>
              </w:rPr>
              <w:t>Amendement de Copenhague / 1994</w:t>
            </w:r>
          </w:p>
        </w:tc>
        <w:tc>
          <w:tcPr>
            <w:tcW w:w="1440" w:type="dxa"/>
            <w:vAlign w:val="center"/>
          </w:tcPr>
          <w:p w14:paraId="7BE45134" w14:textId="77777777" w:rsidR="00883224" w:rsidRPr="00AB4BAC" w:rsidRDefault="00883224" w:rsidP="00883224">
            <w:pPr>
              <w:spacing w:after="0" w:line="240" w:lineRule="auto"/>
              <w:jc w:val="center"/>
              <w:rPr>
                <w:rFonts w:cs="Arial"/>
                <w:color w:val="000000" w:themeColor="text1"/>
                <w:sz w:val="20"/>
                <w:szCs w:val="20"/>
                <w:lang w:val="fr-FR"/>
              </w:rPr>
            </w:pPr>
          </w:p>
        </w:tc>
        <w:tc>
          <w:tcPr>
            <w:tcW w:w="1440" w:type="dxa"/>
            <w:shd w:val="clear" w:color="auto" w:fill="auto"/>
            <w:vAlign w:val="center"/>
          </w:tcPr>
          <w:p w14:paraId="010C382C" w14:textId="77777777" w:rsidR="00883224" w:rsidRPr="00AB4BAC" w:rsidRDefault="00883224" w:rsidP="00883224">
            <w:pPr>
              <w:spacing w:after="0" w:line="240" w:lineRule="auto"/>
              <w:jc w:val="center"/>
              <w:rPr>
                <w:rFonts w:cs="Arial"/>
                <w:color w:val="000000" w:themeColor="text1"/>
                <w:sz w:val="20"/>
                <w:szCs w:val="20"/>
                <w:lang w:val="fr-FR"/>
              </w:rPr>
            </w:pPr>
            <w:r w:rsidRPr="00AB4BAC">
              <w:rPr>
                <w:rFonts w:cs="Arial"/>
                <w:color w:val="000000" w:themeColor="text1"/>
                <w:sz w:val="20"/>
                <w:szCs w:val="20"/>
                <w:lang w:val="fr-FR"/>
              </w:rPr>
              <w:t>07/03/1994</w:t>
            </w:r>
          </w:p>
        </w:tc>
      </w:tr>
      <w:tr w:rsidR="00883224" w:rsidRPr="00AB4BAC" w14:paraId="37AECF25" w14:textId="77777777" w:rsidTr="00883224">
        <w:trPr>
          <w:jc w:val="center"/>
        </w:trPr>
        <w:tc>
          <w:tcPr>
            <w:tcW w:w="8031" w:type="dxa"/>
          </w:tcPr>
          <w:p w14:paraId="6E04B99B" w14:textId="77777777" w:rsidR="00883224" w:rsidRPr="00AB4BAC" w:rsidRDefault="00883224" w:rsidP="00883224">
            <w:pPr>
              <w:spacing w:after="0" w:line="240" w:lineRule="auto"/>
              <w:rPr>
                <w:rFonts w:cs="Arial"/>
                <w:color w:val="000000" w:themeColor="text1"/>
                <w:sz w:val="20"/>
                <w:szCs w:val="20"/>
                <w:lang w:val="fr-FR"/>
              </w:rPr>
            </w:pPr>
            <w:r w:rsidRPr="00AB4BAC">
              <w:rPr>
                <w:rFonts w:cs="Arial"/>
                <w:color w:val="000000" w:themeColor="text1"/>
                <w:sz w:val="20"/>
                <w:szCs w:val="20"/>
                <w:lang w:val="fr-FR"/>
              </w:rPr>
              <w:t>Amendement de Montréal / 1999</w:t>
            </w:r>
          </w:p>
        </w:tc>
        <w:tc>
          <w:tcPr>
            <w:tcW w:w="1440" w:type="dxa"/>
            <w:vAlign w:val="center"/>
          </w:tcPr>
          <w:p w14:paraId="46516FBC" w14:textId="77777777" w:rsidR="00883224" w:rsidRPr="00AB4BAC" w:rsidRDefault="00883224" w:rsidP="00883224">
            <w:pPr>
              <w:spacing w:after="0" w:line="240" w:lineRule="auto"/>
              <w:jc w:val="center"/>
              <w:rPr>
                <w:rFonts w:cs="Arial"/>
                <w:color w:val="000000" w:themeColor="text1"/>
                <w:sz w:val="20"/>
                <w:szCs w:val="20"/>
                <w:lang w:val="fr-FR"/>
              </w:rPr>
            </w:pPr>
          </w:p>
        </w:tc>
        <w:tc>
          <w:tcPr>
            <w:tcW w:w="1440" w:type="dxa"/>
            <w:shd w:val="clear" w:color="auto" w:fill="auto"/>
            <w:vAlign w:val="center"/>
          </w:tcPr>
          <w:p w14:paraId="3D386606" w14:textId="77777777" w:rsidR="00883224" w:rsidRPr="00AB4BAC" w:rsidRDefault="00883224" w:rsidP="00883224">
            <w:pPr>
              <w:spacing w:after="0" w:line="240" w:lineRule="auto"/>
              <w:jc w:val="center"/>
              <w:rPr>
                <w:rFonts w:cs="Arial"/>
                <w:color w:val="000000" w:themeColor="text1"/>
                <w:sz w:val="20"/>
                <w:szCs w:val="20"/>
                <w:lang w:val="fr-FR"/>
              </w:rPr>
            </w:pPr>
            <w:r w:rsidRPr="00AB4BAC">
              <w:rPr>
                <w:rFonts w:cs="Arial"/>
                <w:color w:val="000000" w:themeColor="text1"/>
                <w:sz w:val="20"/>
                <w:szCs w:val="20"/>
                <w:lang w:val="fr-FR"/>
              </w:rPr>
              <w:t>07/03/2003</w:t>
            </w:r>
          </w:p>
        </w:tc>
      </w:tr>
      <w:tr w:rsidR="00883224" w:rsidRPr="00AB4BAC" w14:paraId="097B2252" w14:textId="77777777" w:rsidTr="00883224">
        <w:trPr>
          <w:jc w:val="center"/>
        </w:trPr>
        <w:tc>
          <w:tcPr>
            <w:tcW w:w="8031" w:type="dxa"/>
          </w:tcPr>
          <w:p w14:paraId="484D858C" w14:textId="77777777" w:rsidR="00883224" w:rsidRPr="00AB4BAC" w:rsidRDefault="00883224" w:rsidP="00883224">
            <w:pPr>
              <w:spacing w:after="0" w:line="240" w:lineRule="auto"/>
              <w:rPr>
                <w:rFonts w:cs="Arial"/>
                <w:color w:val="000000" w:themeColor="text1"/>
                <w:sz w:val="20"/>
                <w:szCs w:val="20"/>
                <w:lang w:val="fr-FR"/>
              </w:rPr>
            </w:pPr>
            <w:r w:rsidRPr="00AB4BAC">
              <w:rPr>
                <w:rFonts w:cs="Arial"/>
                <w:color w:val="000000" w:themeColor="text1"/>
                <w:sz w:val="20"/>
                <w:szCs w:val="20"/>
                <w:lang w:val="fr-FR"/>
              </w:rPr>
              <w:t>Amendement de Beijing / 2002</w:t>
            </w:r>
          </w:p>
        </w:tc>
        <w:tc>
          <w:tcPr>
            <w:tcW w:w="1440" w:type="dxa"/>
            <w:vAlign w:val="center"/>
          </w:tcPr>
          <w:p w14:paraId="61093428" w14:textId="77777777" w:rsidR="00883224" w:rsidRPr="00AB4BAC" w:rsidRDefault="00883224" w:rsidP="00883224">
            <w:pPr>
              <w:spacing w:after="0" w:line="240" w:lineRule="auto"/>
              <w:jc w:val="center"/>
              <w:rPr>
                <w:rFonts w:cs="Arial"/>
                <w:color w:val="000000" w:themeColor="text1"/>
                <w:sz w:val="20"/>
                <w:szCs w:val="20"/>
                <w:lang w:val="fr-FR"/>
              </w:rPr>
            </w:pPr>
          </w:p>
        </w:tc>
        <w:tc>
          <w:tcPr>
            <w:tcW w:w="1440" w:type="dxa"/>
            <w:shd w:val="clear" w:color="auto" w:fill="auto"/>
            <w:vAlign w:val="center"/>
          </w:tcPr>
          <w:p w14:paraId="3922DCBD" w14:textId="77777777" w:rsidR="00883224" w:rsidRPr="00AB4BAC" w:rsidRDefault="00883224" w:rsidP="00883224">
            <w:pPr>
              <w:spacing w:after="0" w:line="240" w:lineRule="auto"/>
              <w:jc w:val="center"/>
              <w:rPr>
                <w:rFonts w:cs="Arial"/>
                <w:color w:val="000000" w:themeColor="text1"/>
                <w:sz w:val="20"/>
                <w:szCs w:val="20"/>
                <w:lang w:val="fr-FR"/>
              </w:rPr>
            </w:pPr>
            <w:r w:rsidRPr="00AB4BAC">
              <w:rPr>
                <w:rFonts w:cs="Arial"/>
                <w:color w:val="000000" w:themeColor="text1"/>
                <w:sz w:val="20"/>
                <w:szCs w:val="20"/>
                <w:lang w:val="fr-FR"/>
              </w:rPr>
              <w:t>25 03 2004</w:t>
            </w:r>
          </w:p>
        </w:tc>
      </w:tr>
      <w:tr w:rsidR="00883224" w:rsidRPr="00D65E1F" w14:paraId="18FD048A" w14:textId="77777777" w:rsidTr="00883224">
        <w:trPr>
          <w:jc w:val="center"/>
        </w:trPr>
        <w:tc>
          <w:tcPr>
            <w:tcW w:w="8031" w:type="dxa"/>
          </w:tcPr>
          <w:p w14:paraId="53E0473B" w14:textId="77777777" w:rsidR="00883224" w:rsidRPr="00D65E1F" w:rsidRDefault="00883224" w:rsidP="00883224">
            <w:pPr>
              <w:spacing w:after="0" w:line="240" w:lineRule="auto"/>
              <w:rPr>
                <w:rFonts w:cs="Arial"/>
                <w:color w:val="000000" w:themeColor="text1"/>
                <w:sz w:val="20"/>
                <w:szCs w:val="20"/>
                <w:lang w:val="fr-FR"/>
              </w:rPr>
            </w:pPr>
            <w:r w:rsidRPr="00D65E1F">
              <w:rPr>
                <w:rFonts w:cs="Arial"/>
                <w:color w:val="000000" w:themeColor="text1"/>
                <w:sz w:val="20"/>
                <w:szCs w:val="20"/>
                <w:lang w:val="fr-FR"/>
              </w:rPr>
              <w:t>Amendement de Kigali</w:t>
            </w:r>
          </w:p>
        </w:tc>
        <w:tc>
          <w:tcPr>
            <w:tcW w:w="1440" w:type="dxa"/>
            <w:vAlign w:val="center"/>
          </w:tcPr>
          <w:p w14:paraId="5E19790D" w14:textId="77777777" w:rsidR="00883224" w:rsidRPr="00D65E1F" w:rsidRDefault="00883224" w:rsidP="00883224">
            <w:pPr>
              <w:spacing w:after="0" w:line="240" w:lineRule="auto"/>
              <w:jc w:val="center"/>
              <w:rPr>
                <w:rFonts w:cs="Arial"/>
                <w:color w:val="000000" w:themeColor="text1"/>
                <w:sz w:val="20"/>
                <w:szCs w:val="20"/>
                <w:lang w:val="fr-FR"/>
              </w:rPr>
            </w:pPr>
            <w:r w:rsidRPr="00D65E1F">
              <w:rPr>
                <w:rFonts w:cs="Arial"/>
                <w:color w:val="000000" w:themeColor="text1"/>
                <w:sz w:val="20"/>
                <w:szCs w:val="20"/>
                <w:lang w:val="fr-FR"/>
              </w:rPr>
              <w:t>15/10/2016</w:t>
            </w:r>
          </w:p>
        </w:tc>
        <w:tc>
          <w:tcPr>
            <w:tcW w:w="1440" w:type="dxa"/>
            <w:shd w:val="clear" w:color="auto" w:fill="auto"/>
            <w:vAlign w:val="center"/>
          </w:tcPr>
          <w:p w14:paraId="1245C0AA" w14:textId="77777777" w:rsidR="00883224" w:rsidRPr="00D65E1F" w:rsidRDefault="00883224" w:rsidP="00883224">
            <w:pPr>
              <w:spacing w:after="0" w:line="240" w:lineRule="auto"/>
              <w:jc w:val="center"/>
              <w:rPr>
                <w:rFonts w:cs="Arial"/>
                <w:color w:val="000000" w:themeColor="text1"/>
                <w:sz w:val="20"/>
                <w:szCs w:val="20"/>
                <w:lang w:val="fr-FR"/>
              </w:rPr>
            </w:pPr>
            <w:r w:rsidRPr="00D65E1F">
              <w:rPr>
                <w:rFonts w:cs="Arial"/>
                <w:color w:val="000000" w:themeColor="text1"/>
                <w:sz w:val="20"/>
                <w:szCs w:val="20"/>
                <w:lang w:val="fr-FR"/>
              </w:rPr>
              <w:t>31/03/2017</w:t>
            </w:r>
          </w:p>
        </w:tc>
      </w:tr>
      <w:tr w:rsidR="00883224" w:rsidRPr="00AB4BAC" w14:paraId="3D2AC471" w14:textId="77777777" w:rsidTr="00883224">
        <w:trPr>
          <w:jc w:val="center"/>
        </w:trPr>
        <w:tc>
          <w:tcPr>
            <w:tcW w:w="8031" w:type="dxa"/>
          </w:tcPr>
          <w:p w14:paraId="3DA3E040" w14:textId="77777777" w:rsidR="00883224" w:rsidRPr="00AB4BAC" w:rsidRDefault="00883224" w:rsidP="00883224">
            <w:pPr>
              <w:spacing w:after="0" w:line="240" w:lineRule="auto"/>
              <w:rPr>
                <w:rFonts w:cs="Arial"/>
                <w:color w:val="000000" w:themeColor="text1"/>
                <w:sz w:val="20"/>
                <w:szCs w:val="20"/>
                <w:lang w:val="fr-FR"/>
              </w:rPr>
            </w:pPr>
            <w:r w:rsidRPr="00AB4BAC">
              <w:rPr>
                <w:rFonts w:cs="Arial"/>
                <w:color w:val="000000" w:themeColor="text1"/>
                <w:sz w:val="20"/>
                <w:szCs w:val="20"/>
                <w:lang w:val="fr-FR"/>
              </w:rPr>
              <w:t>Convention de Bâle sur le contrôle des mouvements transfrontaliers des déchets dangereux et de leur élimination / 1989</w:t>
            </w:r>
          </w:p>
        </w:tc>
        <w:tc>
          <w:tcPr>
            <w:tcW w:w="1440" w:type="dxa"/>
            <w:vAlign w:val="center"/>
          </w:tcPr>
          <w:p w14:paraId="52DEC0FB" w14:textId="77777777" w:rsidR="00883224" w:rsidRPr="00AB4BAC" w:rsidRDefault="00883224" w:rsidP="00883224">
            <w:pPr>
              <w:spacing w:after="0" w:line="240" w:lineRule="auto"/>
              <w:jc w:val="center"/>
              <w:rPr>
                <w:rFonts w:cs="Arial"/>
                <w:color w:val="000000" w:themeColor="text1"/>
                <w:sz w:val="20"/>
                <w:szCs w:val="20"/>
                <w:lang w:val="fr-FR"/>
              </w:rPr>
            </w:pPr>
            <w:r w:rsidRPr="00AB4BAC">
              <w:rPr>
                <w:rFonts w:cs="Arial"/>
                <w:color w:val="000000" w:themeColor="text1"/>
                <w:sz w:val="20"/>
                <w:szCs w:val="20"/>
                <w:lang w:val="fr-FR"/>
              </w:rPr>
              <w:t>05/12/2000</w:t>
            </w:r>
          </w:p>
        </w:tc>
        <w:tc>
          <w:tcPr>
            <w:tcW w:w="1440" w:type="dxa"/>
            <w:shd w:val="clear" w:color="auto" w:fill="auto"/>
            <w:vAlign w:val="center"/>
          </w:tcPr>
          <w:p w14:paraId="469E2CD5" w14:textId="77777777" w:rsidR="00883224" w:rsidRPr="00AB4BAC" w:rsidRDefault="00883224" w:rsidP="00883224">
            <w:pPr>
              <w:spacing w:after="0" w:line="240" w:lineRule="auto"/>
              <w:jc w:val="center"/>
              <w:rPr>
                <w:rFonts w:cs="Arial"/>
                <w:color w:val="000000" w:themeColor="text1"/>
                <w:sz w:val="20"/>
                <w:szCs w:val="20"/>
                <w:lang w:val="fr-FR"/>
              </w:rPr>
            </w:pPr>
            <w:r w:rsidRPr="00AB4BAC">
              <w:rPr>
                <w:rFonts w:cs="Arial"/>
                <w:color w:val="000000" w:themeColor="text1"/>
                <w:sz w:val="20"/>
                <w:szCs w:val="20"/>
                <w:lang w:val="fr-FR"/>
              </w:rPr>
              <w:t>-</w:t>
            </w:r>
          </w:p>
        </w:tc>
      </w:tr>
      <w:tr w:rsidR="00883224" w:rsidRPr="00AB4BAC" w14:paraId="63FDC248" w14:textId="77777777" w:rsidTr="00883224">
        <w:trPr>
          <w:jc w:val="center"/>
        </w:trPr>
        <w:tc>
          <w:tcPr>
            <w:tcW w:w="8031" w:type="dxa"/>
          </w:tcPr>
          <w:p w14:paraId="2CBEED75" w14:textId="77777777" w:rsidR="00883224" w:rsidRPr="00AB4BAC" w:rsidRDefault="00883224" w:rsidP="00883224">
            <w:pPr>
              <w:spacing w:after="0" w:line="240" w:lineRule="auto"/>
              <w:rPr>
                <w:rFonts w:cs="Arial"/>
                <w:color w:val="000000" w:themeColor="text1"/>
                <w:sz w:val="20"/>
                <w:szCs w:val="20"/>
                <w:lang w:val="fr-FR"/>
              </w:rPr>
            </w:pPr>
            <w:r w:rsidRPr="00AB4BAC">
              <w:rPr>
                <w:rFonts w:cs="Arial"/>
                <w:color w:val="000000" w:themeColor="text1"/>
                <w:sz w:val="20"/>
                <w:szCs w:val="20"/>
                <w:lang w:val="fr-FR"/>
              </w:rPr>
              <w:t>Convention de Bamako sur l</w:t>
            </w:r>
            <w:r>
              <w:rPr>
                <w:rFonts w:cs="Arial"/>
                <w:color w:val="000000" w:themeColor="text1"/>
                <w:sz w:val="20"/>
                <w:szCs w:val="20"/>
                <w:lang w:val="fr-FR"/>
              </w:rPr>
              <w:t>’</w:t>
            </w:r>
            <w:r w:rsidRPr="00AB4BAC">
              <w:rPr>
                <w:rFonts w:cs="Arial"/>
                <w:color w:val="000000" w:themeColor="text1"/>
                <w:sz w:val="20"/>
                <w:szCs w:val="20"/>
                <w:lang w:val="fr-FR"/>
              </w:rPr>
              <w:t>interdiction d</w:t>
            </w:r>
            <w:r>
              <w:rPr>
                <w:rFonts w:cs="Arial"/>
                <w:color w:val="000000" w:themeColor="text1"/>
                <w:sz w:val="20"/>
                <w:szCs w:val="20"/>
                <w:lang w:val="fr-FR"/>
              </w:rPr>
              <w:t>’</w:t>
            </w:r>
            <w:r w:rsidRPr="00AB4BAC">
              <w:rPr>
                <w:rFonts w:cs="Arial"/>
                <w:color w:val="000000" w:themeColor="text1"/>
                <w:sz w:val="20"/>
                <w:szCs w:val="20"/>
                <w:lang w:val="fr-FR"/>
              </w:rPr>
              <w:t>importer en Afrique des déchets dangereux / 1991</w:t>
            </w:r>
          </w:p>
        </w:tc>
        <w:tc>
          <w:tcPr>
            <w:tcW w:w="1440" w:type="dxa"/>
            <w:vAlign w:val="center"/>
          </w:tcPr>
          <w:p w14:paraId="33A86324" w14:textId="77777777" w:rsidR="00883224" w:rsidRPr="00AB4BAC" w:rsidRDefault="00883224" w:rsidP="00883224">
            <w:pPr>
              <w:spacing w:after="0" w:line="240" w:lineRule="auto"/>
              <w:jc w:val="center"/>
              <w:rPr>
                <w:rFonts w:cs="Arial"/>
                <w:color w:val="000000" w:themeColor="text1"/>
                <w:sz w:val="20"/>
                <w:szCs w:val="20"/>
                <w:lang w:val="fr-FR"/>
              </w:rPr>
            </w:pPr>
            <w:r w:rsidRPr="00AB4BAC">
              <w:rPr>
                <w:rFonts w:cs="Arial"/>
                <w:color w:val="000000" w:themeColor="text1"/>
                <w:sz w:val="20"/>
                <w:szCs w:val="20"/>
                <w:lang w:val="fr-FR"/>
              </w:rPr>
              <w:t>30/01/1991</w:t>
            </w:r>
          </w:p>
        </w:tc>
        <w:tc>
          <w:tcPr>
            <w:tcW w:w="1440" w:type="dxa"/>
            <w:shd w:val="clear" w:color="auto" w:fill="auto"/>
            <w:vAlign w:val="center"/>
          </w:tcPr>
          <w:p w14:paraId="5DF03A69" w14:textId="77777777" w:rsidR="00883224" w:rsidRPr="00AB4BAC" w:rsidRDefault="00883224" w:rsidP="00883224">
            <w:pPr>
              <w:spacing w:after="0" w:line="240" w:lineRule="auto"/>
              <w:jc w:val="center"/>
              <w:rPr>
                <w:rFonts w:cs="Arial"/>
                <w:color w:val="000000" w:themeColor="text1"/>
                <w:sz w:val="20"/>
                <w:szCs w:val="20"/>
                <w:lang w:val="fr-FR"/>
              </w:rPr>
            </w:pPr>
          </w:p>
        </w:tc>
      </w:tr>
      <w:tr w:rsidR="00883224" w:rsidRPr="00AB4BAC" w14:paraId="050821F4" w14:textId="77777777" w:rsidTr="00883224">
        <w:trPr>
          <w:jc w:val="center"/>
        </w:trPr>
        <w:tc>
          <w:tcPr>
            <w:tcW w:w="8031" w:type="dxa"/>
          </w:tcPr>
          <w:p w14:paraId="191332D4" w14:textId="77777777" w:rsidR="00883224" w:rsidRPr="00AB4BAC" w:rsidRDefault="00883224" w:rsidP="00883224">
            <w:pPr>
              <w:spacing w:after="0" w:line="240" w:lineRule="auto"/>
              <w:rPr>
                <w:rFonts w:cs="Arial"/>
                <w:color w:val="000000" w:themeColor="text1"/>
                <w:sz w:val="20"/>
                <w:szCs w:val="20"/>
                <w:lang w:val="fr-FR"/>
              </w:rPr>
            </w:pPr>
            <w:r w:rsidRPr="00AB4BAC">
              <w:rPr>
                <w:rFonts w:cs="Arial"/>
                <w:color w:val="000000" w:themeColor="text1"/>
                <w:sz w:val="20"/>
                <w:szCs w:val="20"/>
                <w:lang w:val="fr-FR"/>
              </w:rPr>
              <w:t>Traité établissant la Communauté Economique Africaine sur la coordination des politiques de protections environnementales entre Etats</w:t>
            </w:r>
          </w:p>
        </w:tc>
        <w:tc>
          <w:tcPr>
            <w:tcW w:w="1440" w:type="dxa"/>
            <w:vAlign w:val="center"/>
          </w:tcPr>
          <w:p w14:paraId="1091AD5C" w14:textId="77777777" w:rsidR="00883224" w:rsidRPr="00AB4BAC" w:rsidRDefault="00883224" w:rsidP="00883224">
            <w:pPr>
              <w:spacing w:after="0" w:line="240" w:lineRule="auto"/>
              <w:jc w:val="center"/>
              <w:rPr>
                <w:rFonts w:cs="Arial"/>
                <w:color w:val="000000" w:themeColor="text1"/>
                <w:sz w:val="20"/>
                <w:szCs w:val="20"/>
                <w:lang w:val="fr-FR"/>
              </w:rPr>
            </w:pPr>
            <w:r w:rsidRPr="00AB4BAC">
              <w:rPr>
                <w:rFonts w:cs="Arial"/>
                <w:color w:val="000000" w:themeColor="text1"/>
                <w:sz w:val="20"/>
                <w:szCs w:val="20"/>
                <w:lang w:val="fr-FR"/>
              </w:rPr>
              <w:t>03/06/1991</w:t>
            </w:r>
          </w:p>
        </w:tc>
        <w:tc>
          <w:tcPr>
            <w:tcW w:w="1440" w:type="dxa"/>
            <w:vAlign w:val="center"/>
          </w:tcPr>
          <w:p w14:paraId="3FB45AB2" w14:textId="77777777" w:rsidR="00883224" w:rsidRPr="00AB4BAC" w:rsidRDefault="00883224" w:rsidP="00883224">
            <w:pPr>
              <w:spacing w:after="0" w:line="240" w:lineRule="auto"/>
              <w:jc w:val="center"/>
              <w:rPr>
                <w:rFonts w:cs="Arial"/>
                <w:color w:val="000000" w:themeColor="text1"/>
                <w:sz w:val="20"/>
                <w:szCs w:val="20"/>
                <w:lang w:val="fr-FR"/>
              </w:rPr>
            </w:pPr>
            <w:r w:rsidRPr="00AB4BAC">
              <w:rPr>
                <w:rFonts w:cs="Arial"/>
                <w:color w:val="000000" w:themeColor="text1"/>
                <w:sz w:val="20"/>
                <w:szCs w:val="20"/>
                <w:lang w:val="fr-FR"/>
              </w:rPr>
              <w:t>27/05/1992</w:t>
            </w:r>
          </w:p>
        </w:tc>
      </w:tr>
      <w:tr w:rsidR="00883224" w:rsidRPr="00AB4BAC" w14:paraId="28491CF3" w14:textId="77777777" w:rsidTr="00883224">
        <w:trPr>
          <w:jc w:val="center"/>
        </w:trPr>
        <w:tc>
          <w:tcPr>
            <w:tcW w:w="8031" w:type="dxa"/>
          </w:tcPr>
          <w:p w14:paraId="240B4577" w14:textId="77777777" w:rsidR="00883224" w:rsidRPr="00AB4BAC" w:rsidRDefault="00883224" w:rsidP="00883224">
            <w:pPr>
              <w:spacing w:after="0" w:line="240" w:lineRule="auto"/>
              <w:rPr>
                <w:rFonts w:cs="Arial"/>
                <w:color w:val="000000" w:themeColor="text1"/>
                <w:sz w:val="20"/>
                <w:szCs w:val="20"/>
                <w:lang w:val="fr-FR"/>
              </w:rPr>
            </w:pPr>
            <w:r w:rsidRPr="00AB4BAC">
              <w:rPr>
                <w:rFonts w:cs="Arial"/>
                <w:color w:val="000000" w:themeColor="text1"/>
                <w:sz w:val="20"/>
                <w:szCs w:val="20"/>
                <w:lang w:val="fr-FR"/>
              </w:rPr>
              <w:t xml:space="preserve">Convention </w:t>
            </w:r>
            <w:r>
              <w:rPr>
                <w:rFonts w:cs="Arial"/>
                <w:color w:val="000000" w:themeColor="text1"/>
                <w:sz w:val="20"/>
                <w:szCs w:val="20"/>
                <w:lang w:val="fr-FR"/>
              </w:rPr>
              <w:t>–</w:t>
            </w:r>
            <w:r w:rsidRPr="00AB4BAC">
              <w:rPr>
                <w:rFonts w:cs="Arial"/>
                <w:color w:val="000000" w:themeColor="text1"/>
                <w:sz w:val="20"/>
                <w:szCs w:val="20"/>
                <w:lang w:val="fr-FR"/>
              </w:rPr>
              <w:t xml:space="preserve"> cadre des NU sur les changements climatiques (UNFCCC) / 1992</w:t>
            </w:r>
          </w:p>
        </w:tc>
        <w:tc>
          <w:tcPr>
            <w:tcW w:w="1440" w:type="dxa"/>
          </w:tcPr>
          <w:p w14:paraId="5F74A611" w14:textId="77777777" w:rsidR="00883224" w:rsidRPr="00AB4BAC" w:rsidRDefault="00883224" w:rsidP="00883224">
            <w:pPr>
              <w:spacing w:after="0" w:line="240" w:lineRule="auto"/>
              <w:jc w:val="center"/>
              <w:rPr>
                <w:rFonts w:cs="Arial"/>
                <w:color w:val="000000" w:themeColor="text1"/>
                <w:sz w:val="20"/>
                <w:szCs w:val="20"/>
                <w:lang w:val="fr-FR"/>
              </w:rPr>
            </w:pPr>
            <w:r w:rsidRPr="00AB4BAC">
              <w:rPr>
                <w:rFonts w:cs="Arial"/>
                <w:color w:val="000000" w:themeColor="text1"/>
                <w:sz w:val="20"/>
                <w:szCs w:val="20"/>
                <w:lang w:val="fr-FR"/>
              </w:rPr>
              <w:t>22/09/1992</w:t>
            </w:r>
          </w:p>
        </w:tc>
        <w:tc>
          <w:tcPr>
            <w:tcW w:w="1440" w:type="dxa"/>
            <w:vAlign w:val="center"/>
          </w:tcPr>
          <w:p w14:paraId="1913D117" w14:textId="77777777" w:rsidR="00883224" w:rsidRPr="00AB4BAC" w:rsidRDefault="00883224" w:rsidP="00883224">
            <w:pPr>
              <w:spacing w:after="0" w:line="240" w:lineRule="auto"/>
              <w:jc w:val="center"/>
              <w:rPr>
                <w:rFonts w:cs="Arial"/>
                <w:color w:val="000000" w:themeColor="text1"/>
                <w:sz w:val="20"/>
                <w:szCs w:val="20"/>
                <w:lang w:val="fr-FR"/>
              </w:rPr>
            </w:pPr>
            <w:r w:rsidRPr="00AB4BAC">
              <w:rPr>
                <w:rFonts w:cs="Arial"/>
                <w:color w:val="000000" w:themeColor="text1"/>
                <w:sz w:val="20"/>
                <w:szCs w:val="20"/>
                <w:lang w:val="fr-FR"/>
              </w:rPr>
              <w:t>28/12/94</w:t>
            </w:r>
          </w:p>
        </w:tc>
      </w:tr>
      <w:tr w:rsidR="00883224" w:rsidRPr="00D65E1F" w14:paraId="2681F469" w14:textId="77777777" w:rsidTr="00883224">
        <w:trPr>
          <w:jc w:val="center"/>
        </w:trPr>
        <w:tc>
          <w:tcPr>
            <w:tcW w:w="8031" w:type="dxa"/>
          </w:tcPr>
          <w:p w14:paraId="17E85598" w14:textId="77777777" w:rsidR="00883224" w:rsidRPr="00D65E1F" w:rsidRDefault="00883224" w:rsidP="00883224">
            <w:pPr>
              <w:spacing w:after="0" w:line="240" w:lineRule="auto"/>
              <w:rPr>
                <w:rFonts w:cs="Arial"/>
                <w:color w:val="000000" w:themeColor="text1"/>
                <w:sz w:val="20"/>
                <w:szCs w:val="20"/>
                <w:lang w:val="fr-FR"/>
              </w:rPr>
            </w:pPr>
            <w:r w:rsidRPr="00D65E1F">
              <w:rPr>
                <w:rFonts w:cs="Arial"/>
                <w:color w:val="000000" w:themeColor="text1"/>
                <w:sz w:val="20"/>
                <w:szCs w:val="20"/>
                <w:lang w:val="fr-FR"/>
              </w:rPr>
              <w:t>Accord de Paris sur le climat</w:t>
            </w:r>
          </w:p>
        </w:tc>
        <w:tc>
          <w:tcPr>
            <w:tcW w:w="1440" w:type="dxa"/>
          </w:tcPr>
          <w:p w14:paraId="47286E5A" w14:textId="77777777" w:rsidR="00883224" w:rsidRPr="00D65E1F" w:rsidRDefault="00883224" w:rsidP="00883224">
            <w:pPr>
              <w:spacing w:after="0" w:line="240" w:lineRule="auto"/>
              <w:jc w:val="center"/>
              <w:rPr>
                <w:rFonts w:cs="Arial"/>
                <w:color w:val="000000" w:themeColor="text1"/>
                <w:sz w:val="20"/>
                <w:szCs w:val="20"/>
                <w:lang w:val="fr-FR"/>
              </w:rPr>
            </w:pPr>
            <w:r w:rsidRPr="00D65E1F">
              <w:rPr>
                <w:rFonts w:cs="Arial"/>
                <w:color w:val="000000" w:themeColor="text1"/>
                <w:sz w:val="20"/>
                <w:szCs w:val="20"/>
                <w:lang w:val="fr-FR"/>
              </w:rPr>
              <w:t>12/12/2015</w:t>
            </w:r>
          </w:p>
        </w:tc>
        <w:tc>
          <w:tcPr>
            <w:tcW w:w="1440" w:type="dxa"/>
            <w:vAlign w:val="center"/>
          </w:tcPr>
          <w:p w14:paraId="751E4D21" w14:textId="77777777" w:rsidR="00883224" w:rsidRPr="00D65E1F" w:rsidRDefault="00883224" w:rsidP="00883224">
            <w:pPr>
              <w:spacing w:after="0" w:line="240" w:lineRule="auto"/>
              <w:jc w:val="center"/>
              <w:rPr>
                <w:rFonts w:cs="Arial"/>
                <w:color w:val="000000" w:themeColor="text1"/>
                <w:sz w:val="20"/>
                <w:szCs w:val="20"/>
                <w:lang w:val="fr-FR"/>
              </w:rPr>
            </w:pPr>
            <w:r w:rsidRPr="00D65E1F">
              <w:rPr>
                <w:rFonts w:cs="Arial"/>
                <w:color w:val="000000" w:themeColor="text1"/>
                <w:sz w:val="20"/>
                <w:szCs w:val="20"/>
                <w:lang w:val="fr-FR"/>
              </w:rPr>
              <w:t>23/09/2016</w:t>
            </w:r>
          </w:p>
        </w:tc>
      </w:tr>
      <w:tr w:rsidR="00883224" w:rsidRPr="00AB4BAC" w14:paraId="2286237F" w14:textId="77777777" w:rsidTr="00883224">
        <w:trPr>
          <w:jc w:val="center"/>
        </w:trPr>
        <w:tc>
          <w:tcPr>
            <w:tcW w:w="8031" w:type="dxa"/>
          </w:tcPr>
          <w:p w14:paraId="628A18B7" w14:textId="77777777" w:rsidR="00883224" w:rsidRPr="00AB4BAC" w:rsidRDefault="00883224" w:rsidP="00883224">
            <w:pPr>
              <w:spacing w:after="0" w:line="240" w:lineRule="auto"/>
              <w:rPr>
                <w:rFonts w:cs="Arial"/>
                <w:color w:val="000000" w:themeColor="text1"/>
                <w:sz w:val="20"/>
                <w:szCs w:val="20"/>
                <w:lang w:val="fr-FR"/>
              </w:rPr>
            </w:pPr>
            <w:r w:rsidRPr="00AB4BAC">
              <w:rPr>
                <w:rFonts w:cs="Arial"/>
                <w:color w:val="000000" w:themeColor="text1"/>
                <w:sz w:val="20"/>
                <w:szCs w:val="20"/>
                <w:lang w:val="fr-FR"/>
              </w:rPr>
              <w:t xml:space="preserve">Convention </w:t>
            </w:r>
            <w:r>
              <w:rPr>
                <w:rFonts w:cs="Arial"/>
                <w:color w:val="000000" w:themeColor="text1"/>
                <w:sz w:val="20"/>
                <w:szCs w:val="20"/>
                <w:lang w:val="fr-FR"/>
              </w:rPr>
              <w:t>–</w:t>
            </w:r>
            <w:r w:rsidRPr="00AB4BAC">
              <w:rPr>
                <w:rFonts w:cs="Arial"/>
                <w:color w:val="000000" w:themeColor="text1"/>
                <w:sz w:val="20"/>
                <w:szCs w:val="20"/>
                <w:lang w:val="fr-FR"/>
              </w:rPr>
              <w:t xml:space="preserve"> cadre des Nations Unies sur la diversité biologique / 1992</w:t>
            </w:r>
          </w:p>
        </w:tc>
        <w:tc>
          <w:tcPr>
            <w:tcW w:w="1440" w:type="dxa"/>
          </w:tcPr>
          <w:p w14:paraId="66E303A3" w14:textId="77777777" w:rsidR="00883224" w:rsidRPr="00AB4BAC" w:rsidRDefault="00883224" w:rsidP="00883224">
            <w:pPr>
              <w:spacing w:after="0" w:line="240" w:lineRule="auto"/>
              <w:jc w:val="center"/>
              <w:rPr>
                <w:rFonts w:cs="Arial"/>
                <w:color w:val="000000" w:themeColor="text1"/>
                <w:sz w:val="20"/>
                <w:szCs w:val="20"/>
                <w:lang w:val="fr-FR"/>
              </w:rPr>
            </w:pPr>
            <w:r w:rsidRPr="00AB4BAC">
              <w:rPr>
                <w:rFonts w:cs="Arial"/>
                <w:color w:val="000000" w:themeColor="text1"/>
                <w:sz w:val="20"/>
                <w:szCs w:val="20"/>
                <w:lang w:val="fr-FR"/>
              </w:rPr>
              <w:t>22/091993</w:t>
            </w:r>
          </w:p>
        </w:tc>
        <w:tc>
          <w:tcPr>
            <w:tcW w:w="1440" w:type="dxa"/>
            <w:vAlign w:val="center"/>
          </w:tcPr>
          <w:p w14:paraId="2E0F7848" w14:textId="77777777" w:rsidR="00883224" w:rsidRPr="00AB4BAC" w:rsidRDefault="00883224" w:rsidP="00883224">
            <w:pPr>
              <w:spacing w:after="0" w:line="240" w:lineRule="auto"/>
              <w:jc w:val="center"/>
              <w:rPr>
                <w:rFonts w:cs="Arial"/>
                <w:color w:val="000000" w:themeColor="text1"/>
                <w:sz w:val="20"/>
                <w:szCs w:val="20"/>
                <w:lang w:val="fr-FR"/>
              </w:rPr>
            </w:pPr>
            <w:r w:rsidRPr="00AB4BAC">
              <w:rPr>
                <w:rFonts w:cs="Arial"/>
                <w:color w:val="000000" w:themeColor="text1"/>
                <w:sz w:val="20"/>
                <w:szCs w:val="20"/>
                <w:lang w:val="fr-FR"/>
              </w:rPr>
              <w:t>29/09/1995</w:t>
            </w:r>
          </w:p>
        </w:tc>
      </w:tr>
      <w:tr w:rsidR="00883224" w:rsidRPr="00AB4BAC" w14:paraId="41FBC94C" w14:textId="77777777" w:rsidTr="00883224">
        <w:trPr>
          <w:trHeight w:val="171"/>
          <w:jc w:val="center"/>
        </w:trPr>
        <w:tc>
          <w:tcPr>
            <w:tcW w:w="8031" w:type="dxa"/>
          </w:tcPr>
          <w:p w14:paraId="0F0C819A" w14:textId="77777777" w:rsidR="00883224" w:rsidRPr="00AB4BAC" w:rsidRDefault="00883224" w:rsidP="00883224">
            <w:pPr>
              <w:spacing w:after="0" w:line="240" w:lineRule="auto"/>
              <w:rPr>
                <w:rFonts w:cs="Arial"/>
                <w:color w:val="000000" w:themeColor="text1"/>
                <w:sz w:val="20"/>
                <w:szCs w:val="20"/>
                <w:lang w:val="fr-FR"/>
              </w:rPr>
            </w:pPr>
            <w:r w:rsidRPr="00AB4BAC">
              <w:rPr>
                <w:rFonts w:cs="Arial"/>
                <w:color w:val="000000" w:themeColor="text1"/>
                <w:sz w:val="20"/>
                <w:szCs w:val="20"/>
                <w:lang w:val="fr-FR"/>
              </w:rPr>
              <w:t>Convention de Moscou sur l’interdiction du développement, production et du stockage des armes bactériologiques (biologiques) et toxiques et sur leur destruction /1972</w:t>
            </w:r>
          </w:p>
        </w:tc>
        <w:tc>
          <w:tcPr>
            <w:tcW w:w="1440" w:type="dxa"/>
            <w:vAlign w:val="center"/>
          </w:tcPr>
          <w:p w14:paraId="6DD4A8D7" w14:textId="77777777" w:rsidR="00883224" w:rsidRPr="00AB4BAC" w:rsidRDefault="00883224" w:rsidP="00883224">
            <w:pPr>
              <w:spacing w:after="0" w:line="240" w:lineRule="auto"/>
              <w:jc w:val="center"/>
              <w:rPr>
                <w:rFonts w:cs="Arial"/>
                <w:color w:val="000000" w:themeColor="text1"/>
                <w:sz w:val="20"/>
                <w:szCs w:val="20"/>
                <w:lang w:val="fr-FR"/>
              </w:rPr>
            </w:pPr>
            <w:r w:rsidRPr="00AB4BAC">
              <w:rPr>
                <w:rFonts w:cs="Arial"/>
                <w:color w:val="000000" w:themeColor="text1"/>
                <w:sz w:val="20"/>
                <w:szCs w:val="20"/>
                <w:lang w:val="fr-FR"/>
              </w:rPr>
              <w:t>13/01/1993</w:t>
            </w:r>
          </w:p>
        </w:tc>
        <w:tc>
          <w:tcPr>
            <w:tcW w:w="1440" w:type="dxa"/>
            <w:vAlign w:val="center"/>
          </w:tcPr>
          <w:p w14:paraId="125E2D47" w14:textId="77777777" w:rsidR="00883224" w:rsidRPr="00AB4BAC" w:rsidRDefault="00883224" w:rsidP="00883224">
            <w:pPr>
              <w:spacing w:after="0" w:line="240" w:lineRule="auto"/>
              <w:jc w:val="center"/>
              <w:rPr>
                <w:rFonts w:cs="Arial"/>
                <w:color w:val="000000" w:themeColor="text1"/>
                <w:sz w:val="20"/>
                <w:szCs w:val="20"/>
                <w:lang w:val="fr-FR"/>
              </w:rPr>
            </w:pPr>
          </w:p>
        </w:tc>
      </w:tr>
      <w:tr w:rsidR="00883224" w:rsidRPr="00AB4BAC" w14:paraId="0BB6D726" w14:textId="77777777" w:rsidTr="00883224">
        <w:trPr>
          <w:trHeight w:val="171"/>
          <w:jc w:val="center"/>
        </w:trPr>
        <w:tc>
          <w:tcPr>
            <w:tcW w:w="8031" w:type="dxa"/>
          </w:tcPr>
          <w:p w14:paraId="73662D8A" w14:textId="77777777" w:rsidR="00883224" w:rsidRPr="00AB4BAC" w:rsidRDefault="00883224" w:rsidP="00883224">
            <w:pPr>
              <w:spacing w:after="0" w:line="240" w:lineRule="auto"/>
              <w:rPr>
                <w:rFonts w:cs="Arial"/>
                <w:color w:val="000000" w:themeColor="text1"/>
                <w:sz w:val="20"/>
                <w:szCs w:val="20"/>
                <w:lang w:val="fr-FR"/>
              </w:rPr>
            </w:pPr>
            <w:r w:rsidRPr="00AB4BAC">
              <w:rPr>
                <w:rFonts w:cs="Arial"/>
                <w:color w:val="000000" w:themeColor="text1"/>
                <w:sz w:val="20"/>
                <w:szCs w:val="20"/>
                <w:lang w:val="fr-FR"/>
              </w:rPr>
              <w:t>Convention sur la lutte contre la désertification dans les pays gravement touchés par la sécheresse et/ou par la désertification (CCD) / 1994</w:t>
            </w:r>
          </w:p>
        </w:tc>
        <w:tc>
          <w:tcPr>
            <w:tcW w:w="1440" w:type="dxa"/>
            <w:vAlign w:val="center"/>
          </w:tcPr>
          <w:p w14:paraId="31EE0B88" w14:textId="77777777" w:rsidR="00883224" w:rsidRPr="00AB4BAC" w:rsidRDefault="00883224" w:rsidP="00883224">
            <w:pPr>
              <w:spacing w:after="0" w:line="240" w:lineRule="auto"/>
              <w:jc w:val="center"/>
              <w:rPr>
                <w:rFonts w:cs="Arial"/>
                <w:color w:val="000000" w:themeColor="text1"/>
                <w:sz w:val="20"/>
                <w:szCs w:val="20"/>
                <w:lang w:val="fr-FR"/>
              </w:rPr>
            </w:pPr>
            <w:r w:rsidRPr="00AB4BAC">
              <w:rPr>
                <w:rFonts w:cs="Arial"/>
                <w:color w:val="000000" w:themeColor="text1"/>
                <w:sz w:val="20"/>
                <w:szCs w:val="20"/>
                <w:lang w:val="fr-FR"/>
              </w:rPr>
              <w:t>15/10/1994</w:t>
            </w:r>
          </w:p>
        </w:tc>
        <w:tc>
          <w:tcPr>
            <w:tcW w:w="1440" w:type="dxa"/>
            <w:vAlign w:val="center"/>
          </w:tcPr>
          <w:p w14:paraId="143D38C0" w14:textId="77777777" w:rsidR="00883224" w:rsidRPr="00AB4BAC" w:rsidRDefault="00883224" w:rsidP="00883224">
            <w:pPr>
              <w:spacing w:after="0" w:line="240" w:lineRule="auto"/>
              <w:jc w:val="center"/>
              <w:rPr>
                <w:rFonts w:cs="Arial"/>
                <w:color w:val="000000" w:themeColor="text1"/>
                <w:sz w:val="20"/>
                <w:szCs w:val="20"/>
                <w:lang w:val="fr-FR"/>
              </w:rPr>
            </w:pPr>
            <w:r w:rsidRPr="00AB4BAC">
              <w:rPr>
                <w:rFonts w:cs="Arial"/>
                <w:color w:val="000000" w:themeColor="text1"/>
                <w:sz w:val="20"/>
                <w:szCs w:val="20"/>
                <w:lang w:val="fr-FR"/>
              </w:rPr>
              <w:t>31/10/1995</w:t>
            </w:r>
          </w:p>
        </w:tc>
      </w:tr>
      <w:tr w:rsidR="00883224" w:rsidRPr="00AB4BAC" w14:paraId="7EA5F995" w14:textId="77777777" w:rsidTr="00883224">
        <w:trPr>
          <w:trHeight w:val="171"/>
          <w:jc w:val="center"/>
        </w:trPr>
        <w:tc>
          <w:tcPr>
            <w:tcW w:w="8031" w:type="dxa"/>
            <w:tcBorders>
              <w:bottom w:val="single" w:sz="4" w:space="0" w:color="auto"/>
            </w:tcBorders>
          </w:tcPr>
          <w:p w14:paraId="00688588" w14:textId="77777777" w:rsidR="00883224" w:rsidRPr="00AB4BAC" w:rsidRDefault="00883224" w:rsidP="00883224">
            <w:pPr>
              <w:spacing w:after="0" w:line="240" w:lineRule="auto"/>
              <w:rPr>
                <w:rFonts w:cs="Arial"/>
                <w:color w:val="000000" w:themeColor="text1"/>
                <w:sz w:val="20"/>
                <w:szCs w:val="20"/>
                <w:lang w:val="fr-FR"/>
              </w:rPr>
            </w:pPr>
            <w:r w:rsidRPr="00AB4BAC">
              <w:rPr>
                <w:rFonts w:cs="Arial"/>
                <w:color w:val="000000" w:themeColor="text1"/>
                <w:sz w:val="20"/>
                <w:szCs w:val="20"/>
                <w:lang w:val="fr-FR"/>
              </w:rPr>
              <w:t>Convention de Rotterdam sur […] produits chimiques et pesticides dangereux qui font l</w:t>
            </w:r>
            <w:r>
              <w:rPr>
                <w:rFonts w:cs="Arial"/>
                <w:color w:val="000000" w:themeColor="text1"/>
                <w:sz w:val="20"/>
                <w:szCs w:val="20"/>
                <w:lang w:val="fr-FR"/>
              </w:rPr>
              <w:t>’</w:t>
            </w:r>
            <w:r w:rsidRPr="00AB4BAC">
              <w:rPr>
                <w:rFonts w:cs="Arial"/>
                <w:color w:val="000000" w:themeColor="text1"/>
                <w:sz w:val="20"/>
                <w:szCs w:val="20"/>
                <w:lang w:val="fr-FR"/>
              </w:rPr>
              <w:t>objet d</w:t>
            </w:r>
            <w:r>
              <w:rPr>
                <w:rFonts w:cs="Arial"/>
                <w:color w:val="000000" w:themeColor="text1"/>
                <w:sz w:val="20"/>
                <w:szCs w:val="20"/>
                <w:lang w:val="fr-FR"/>
              </w:rPr>
              <w:t>’</w:t>
            </w:r>
            <w:r w:rsidRPr="00AB4BAC">
              <w:rPr>
                <w:rFonts w:cs="Arial"/>
                <w:color w:val="000000" w:themeColor="text1"/>
                <w:sz w:val="20"/>
                <w:szCs w:val="20"/>
                <w:lang w:val="fr-FR"/>
              </w:rPr>
              <w:t>un commerce international / 1998</w:t>
            </w:r>
          </w:p>
        </w:tc>
        <w:tc>
          <w:tcPr>
            <w:tcW w:w="1440" w:type="dxa"/>
            <w:tcBorders>
              <w:bottom w:val="single" w:sz="4" w:space="0" w:color="auto"/>
            </w:tcBorders>
            <w:vAlign w:val="center"/>
          </w:tcPr>
          <w:p w14:paraId="44D752C6" w14:textId="77777777" w:rsidR="00883224" w:rsidRPr="00AB4BAC" w:rsidRDefault="00883224" w:rsidP="00883224">
            <w:pPr>
              <w:spacing w:after="0" w:line="240" w:lineRule="auto"/>
              <w:jc w:val="center"/>
              <w:rPr>
                <w:rFonts w:cs="Arial"/>
                <w:color w:val="000000" w:themeColor="text1"/>
                <w:sz w:val="20"/>
                <w:szCs w:val="20"/>
                <w:lang w:val="fr-FR"/>
              </w:rPr>
            </w:pPr>
          </w:p>
        </w:tc>
        <w:tc>
          <w:tcPr>
            <w:tcW w:w="1440" w:type="dxa"/>
            <w:tcBorders>
              <w:bottom w:val="single" w:sz="4" w:space="0" w:color="auto"/>
            </w:tcBorders>
            <w:vAlign w:val="center"/>
          </w:tcPr>
          <w:p w14:paraId="138F61C2" w14:textId="77777777" w:rsidR="00883224" w:rsidRPr="00AB4BAC" w:rsidRDefault="00883224" w:rsidP="00883224">
            <w:pPr>
              <w:spacing w:after="0" w:line="240" w:lineRule="auto"/>
              <w:jc w:val="center"/>
              <w:rPr>
                <w:rFonts w:cs="Arial"/>
                <w:color w:val="000000" w:themeColor="text1"/>
                <w:sz w:val="20"/>
                <w:szCs w:val="20"/>
                <w:lang w:val="fr-FR"/>
              </w:rPr>
            </w:pPr>
            <w:r w:rsidRPr="00AB4BAC">
              <w:rPr>
                <w:rFonts w:cs="Arial"/>
                <w:color w:val="000000" w:themeColor="text1"/>
                <w:sz w:val="20"/>
                <w:szCs w:val="20"/>
                <w:lang w:val="fr-FR"/>
              </w:rPr>
              <w:t>13/11/2002</w:t>
            </w:r>
          </w:p>
        </w:tc>
      </w:tr>
      <w:tr w:rsidR="00883224" w:rsidRPr="00AB4BAC" w14:paraId="3B4A24AB" w14:textId="77777777" w:rsidTr="00883224">
        <w:trPr>
          <w:trHeight w:val="171"/>
          <w:jc w:val="center"/>
        </w:trPr>
        <w:tc>
          <w:tcPr>
            <w:tcW w:w="8031" w:type="dxa"/>
          </w:tcPr>
          <w:p w14:paraId="4064CC7A" w14:textId="77777777" w:rsidR="00883224" w:rsidRPr="00AB4BAC" w:rsidRDefault="00883224" w:rsidP="00883224">
            <w:pPr>
              <w:spacing w:after="0" w:line="240" w:lineRule="auto"/>
              <w:rPr>
                <w:rFonts w:cs="Arial"/>
                <w:color w:val="000000" w:themeColor="text1"/>
                <w:sz w:val="20"/>
                <w:szCs w:val="20"/>
                <w:lang w:val="fr-FR"/>
              </w:rPr>
            </w:pPr>
            <w:r w:rsidRPr="00AB4BAC">
              <w:rPr>
                <w:rFonts w:cs="Arial"/>
                <w:color w:val="000000" w:themeColor="text1"/>
                <w:sz w:val="20"/>
                <w:szCs w:val="20"/>
                <w:lang w:val="fr-FR"/>
              </w:rPr>
              <w:t>Convention de Stockholm sur les polluants organiques persistants (POPs) / 2001</w:t>
            </w:r>
          </w:p>
        </w:tc>
        <w:tc>
          <w:tcPr>
            <w:tcW w:w="1440" w:type="dxa"/>
          </w:tcPr>
          <w:p w14:paraId="76054E31" w14:textId="77777777" w:rsidR="00883224" w:rsidRPr="00AB4BAC" w:rsidRDefault="00883224" w:rsidP="00883224">
            <w:pPr>
              <w:spacing w:after="0" w:line="240" w:lineRule="auto"/>
              <w:jc w:val="center"/>
              <w:rPr>
                <w:rFonts w:cs="Arial"/>
                <w:color w:val="000000" w:themeColor="text1"/>
                <w:sz w:val="20"/>
                <w:szCs w:val="20"/>
                <w:lang w:val="fr-FR"/>
              </w:rPr>
            </w:pPr>
            <w:r w:rsidRPr="00AB4BAC">
              <w:rPr>
                <w:rFonts w:cs="Arial"/>
                <w:color w:val="000000" w:themeColor="text1"/>
                <w:sz w:val="20"/>
                <w:szCs w:val="20"/>
                <w:lang w:val="fr-FR"/>
              </w:rPr>
              <w:t>22/05/2001</w:t>
            </w:r>
          </w:p>
        </w:tc>
        <w:tc>
          <w:tcPr>
            <w:tcW w:w="1440" w:type="dxa"/>
            <w:shd w:val="clear" w:color="auto" w:fill="auto"/>
            <w:vAlign w:val="center"/>
          </w:tcPr>
          <w:p w14:paraId="4495A0E4" w14:textId="77777777" w:rsidR="00883224" w:rsidRPr="00AB4BAC" w:rsidRDefault="00883224" w:rsidP="00883224">
            <w:pPr>
              <w:spacing w:after="0" w:line="240" w:lineRule="auto"/>
              <w:jc w:val="center"/>
              <w:rPr>
                <w:rFonts w:cs="Arial"/>
                <w:color w:val="000000" w:themeColor="text1"/>
                <w:sz w:val="20"/>
                <w:szCs w:val="20"/>
                <w:lang w:val="fr-FR"/>
              </w:rPr>
            </w:pPr>
            <w:r w:rsidRPr="00AB4BAC">
              <w:rPr>
                <w:rFonts w:cs="Arial"/>
                <w:color w:val="000000" w:themeColor="text1"/>
                <w:sz w:val="20"/>
                <w:szCs w:val="20"/>
                <w:lang w:val="fr-FR"/>
              </w:rPr>
              <w:t>24/04/2003</w:t>
            </w:r>
          </w:p>
        </w:tc>
      </w:tr>
      <w:tr w:rsidR="00883224" w:rsidRPr="00AB4BAC" w14:paraId="4F7D0B4D" w14:textId="77777777" w:rsidTr="00883224">
        <w:trPr>
          <w:trHeight w:val="171"/>
          <w:jc w:val="center"/>
        </w:trPr>
        <w:tc>
          <w:tcPr>
            <w:tcW w:w="8031" w:type="dxa"/>
          </w:tcPr>
          <w:p w14:paraId="266D85CB" w14:textId="77777777" w:rsidR="00883224" w:rsidRPr="00AB4BAC" w:rsidRDefault="00883224" w:rsidP="00883224">
            <w:pPr>
              <w:spacing w:after="0" w:line="240" w:lineRule="auto"/>
              <w:rPr>
                <w:rFonts w:cs="Arial"/>
                <w:color w:val="000000" w:themeColor="text1"/>
                <w:sz w:val="20"/>
                <w:szCs w:val="20"/>
                <w:lang w:val="fr-FR"/>
              </w:rPr>
            </w:pPr>
            <w:r w:rsidRPr="00AB4BAC">
              <w:rPr>
                <w:rFonts w:cs="Arial"/>
                <w:color w:val="000000" w:themeColor="text1"/>
                <w:sz w:val="20"/>
                <w:szCs w:val="20"/>
                <w:lang w:val="fr-FR"/>
              </w:rPr>
              <w:t>Traité international sur les ressources phytogénétiques pour l’alimentation et l’agriculture</w:t>
            </w:r>
          </w:p>
        </w:tc>
        <w:tc>
          <w:tcPr>
            <w:tcW w:w="1440" w:type="dxa"/>
            <w:vAlign w:val="center"/>
          </w:tcPr>
          <w:p w14:paraId="52B29622" w14:textId="77777777" w:rsidR="00883224" w:rsidRPr="00AB4BAC" w:rsidRDefault="00883224" w:rsidP="00883224">
            <w:pPr>
              <w:spacing w:after="0" w:line="240" w:lineRule="auto"/>
              <w:jc w:val="center"/>
              <w:rPr>
                <w:rFonts w:cs="Arial"/>
                <w:color w:val="000000" w:themeColor="text1"/>
                <w:sz w:val="20"/>
                <w:szCs w:val="20"/>
                <w:lang w:val="fr-FR"/>
              </w:rPr>
            </w:pPr>
            <w:r w:rsidRPr="00AB4BAC">
              <w:rPr>
                <w:rFonts w:cs="Arial"/>
                <w:color w:val="000000" w:themeColor="text1"/>
                <w:sz w:val="20"/>
                <w:szCs w:val="20"/>
                <w:lang w:val="fr-FR"/>
              </w:rPr>
              <w:t>03/11/2001</w:t>
            </w:r>
          </w:p>
        </w:tc>
        <w:tc>
          <w:tcPr>
            <w:tcW w:w="1440" w:type="dxa"/>
            <w:vAlign w:val="center"/>
          </w:tcPr>
          <w:p w14:paraId="28368AF1" w14:textId="77777777" w:rsidR="00883224" w:rsidRPr="00AB4BAC" w:rsidRDefault="00883224" w:rsidP="00883224">
            <w:pPr>
              <w:spacing w:after="0" w:line="240" w:lineRule="auto"/>
              <w:jc w:val="center"/>
              <w:rPr>
                <w:rFonts w:cs="Arial"/>
                <w:color w:val="000000" w:themeColor="text1"/>
                <w:sz w:val="20"/>
                <w:szCs w:val="20"/>
                <w:lang w:val="fr-FR"/>
              </w:rPr>
            </w:pPr>
            <w:r w:rsidRPr="00AB4BAC">
              <w:rPr>
                <w:rFonts w:cs="Arial"/>
                <w:color w:val="000000" w:themeColor="text1"/>
                <w:sz w:val="20"/>
                <w:szCs w:val="20"/>
                <w:lang w:val="fr-FR"/>
              </w:rPr>
              <w:t>2004</w:t>
            </w:r>
          </w:p>
        </w:tc>
      </w:tr>
      <w:tr w:rsidR="00883224" w:rsidRPr="00D65E1F" w14:paraId="3B0F1BF8" w14:textId="77777777" w:rsidTr="00883224">
        <w:trPr>
          <w:trHeight w:val="171"/>
          <w:jc w:val="center"/>
        </w:trPr>
        <w:tc>
          <w:tcPr>
            <w:tcW w:w="8031" w:type="dxa"/>
          </w:tcPr>
          <w:p w14:paraId="0B277B51" w14:textId="77777777" w:rsidR="00883224" w:rsidRPr="00D65E1F" w:rsidRDefault="00883224" w:rsidP="00883224">
            <w:pPr>
              <w:spacing w:after="0" w:line="240" w:lineRule="auto"/>
              <w:rPr>
                <w:rFonts w:cs="Arial"/>
                <w:color w:val="000000" w:themeColor="text1"/>
                <w:sz w:val="20"/>
                <w:szCs w:val="20"/>
                <w:lang w:val="fr-FR"/>
              </w:rPr>
            </w:pPr>
            <w:r w:rsidRPr="00D65E1F">
              <w:rPr>
                <w:rFonts w:cs="Arial"/>
                <w:color w:val="000000" w:themeColor="text1"/>
                <w:sz w:val="20"/>
                <w:szCs w:val="20"/>
                <w:lang w:val="fr-FR"/>
              </w:rPr>
              <w:t>Convention de Minamata sur le mercure</w:t>
            </w:r>
          </w:p>
        </w:tc>
        <w:tc>
          <w:tcPr>
            <w:tcW w:w="1440" w:type="dxa"/>
            <w:vAlign w:val="center"/>
          </w:tcPr>
          <w:p w14:paraId="04B28CF3" w14:textId="77777777" w:rsidR="00883224" w:rsidRPr="00D65E1F" w:rsidRDefault="00883224" w:rsidP="00883224">
            <w:pPr>
              <w:spacing w:after="0" w:line="240" w:lineRule="auto"/>
              <w:jc w:val="center"/>
              <w:rPr>
                <w:rFonts w:cs="Arial"/>
                <w:color w:val="000000" w:themeColor="text1"/>
                <w:sz w:val="20"/>
                <w:szCs w:val="20"/>
                <w:lang w:val="fr-FR"/>
              </w:rPr>
            </w:pPr>
            <w:r w:rsidRPr="00D65E1F">
              <w:rPr>
                <w:rFonts w:cs="Arial"/>
                <w:color w:val="000000" w:themeColor="text1"/>
                <w:sz w:val="20"/>
                <w:szCs w:val="20"/>
                <w:lang w:val="fr-FR"/>
              </w:rPr>
              <w:t>10/10/2013</w:t>
            </w:r>
          </w:p>
        </w:tc>
        <w:tc>
          <w:tcPr>
            <w:tcW w:w="1440" w:type="dxa"/>
            <w:vAlign w:val="center"/>
          </w:tcPr>
          <w:p w14:paraId="50D5F46F" w14:textId="77777777" w:rsidR="00883224" w:rsidRPr="00D65E1F" w:rsidRDefault="00883224" w:rsidP="00883224">
            <w:pPr>
              <w:spacing w:after="0" w:line="240" w:lineRule="auto"/>
              <w:jc w:val="center"/>
              <w:rPr>
                <w:rFonts w:cs="Arial"/>
                <w:color w:val="000000" w:themeColor="text1"/>
                <w:sz w:val="20"/>
                <w:szCs w:val="20"/>
                <w:lang w:val="fr-FR"/>
              </w:rPr>
            </w:pPr>
            <w:r w:rsidRPr="00D65E1F">
              <w:rPr>
                <w:rFonts w:cs="Arial"/>
                <w:color w:val="000000" w:themeColor="text1"/>
                <w:sz w:val="20"/>
                <w:szCs w:val="20"/>
                <w:lang w:val="fr-FR"/>
              </w:rPr>
              <w:t>17/05/2016</w:t>
            </w:r>
          </w:p>
        </w:tc>
      </w:tr>
      <w:tr w:rsidR="00883224" w:rsidRPr="00AB4BAC" w14:paraId="04AF5A54" w14:textId="77777777" w:rsidTr="00883224">
        <w:trPr>
          <w:trHeight w:val="171"/>
          <w:jc w:val="center"/>
        </w:trPr>
        <w:tc>
          <w:tcPr>
            <w:tcW w:w="8031" w:type="dxa"/>
          </w:tcPr>
          <w:p w14:paraId="4DB0C42C" w14:textId="77777777" w:rsidR="00883224" w:rsidRPr="00AB4BAC" w:rsidRDefault="00883224" w:rsidP="00883224">
            <w:pPr>
              <w:spacing w:after="0" w:line="240" w:lineRule="auto"/>
              <w:rPr>
                <w:rFonts w:cs="Arial"/>
                <w:color w:val="000000" w:themeColor="text1"/>
                <w:sz w:val="20"/>
                <w:szCs w:val="20"/>
                <w:lang w:val="fr-FR"/>
              </w:rPr>
            </w:pPr>
            <w:r w:rsidRPr="00AB4BAC">
              <w:rPr>
                <w:rFonts w:cs="Arial"/>
                <w:color w:val="000000" w:themeColor="text1"/>
                <w:sz w:val="20"/>
                <w:szCs w:val="20"/>
                <w:lang w:val="fr-FR"/>
              </w:rPr>
              <w:t>Protocole de Cartagena sur la prévention des risques biotechnologiques relatif à la convention sur la diversité biologique</w:t>
            </w:r>
          </w:p>
        </w:tc>
        <w:tc>
          <w:tcPr>
            <w:tcW w:w="1440" w:type="dxa"/>
            <w:vAlign w:val="center"/>
          </w:tcPr>
          <w:p w14:paraId="1162A5FA" w14:textId="77777777" w:rsidR="00883224" w:rsidRPr="00AB4BAC" w:rsidRDefault="00883224" w:rsidP="00883224">
            <w:pPr>
              <w:spacing w:after="0" w:line="240" w:lineRule="auto"/>
              <w:jc w:val="center"/>
              <w:rPr>
                <w:rFonts w:cs="Arial"/>
                <w:color w:val="000000" w:themeColor="text1"/>
                <w:sz w:val="20"/>
                <w:szCs w:val="20"/>
                <w:lang w:val="fr-FR"/>
              </w:rPr>
            </w:pPr>
            <w:r w:rsidRPr="00AB4BAC">
              <w:rPr>
                <w:rFonts w:cs="Arial"/>
                <w:color w:val="000000" w:themeColor="text1"/>
                <w:sz w:val="20"/>
                <w:szCs w:val="20"/>
                <w:lang w:val="fr-FR"/>
              </w:rPr>
              <w:t>20/01/2001</w:t>
            </w:r>
          </w:p>
        </w:tc>
        <w:tc>
          <w:tcPr>
            <w:tcW w:w="1440" w:type="dxa"/>
            <w:vAlign w:val="center"/>
          </w:tcPr>
          <w:p w14:paraId="10862112" w14:textId="77777777" w:rsidR="00883224" w:rsidRPr="00AB4BAC" w:rsidRDefault="00883224" w:rsidP="00883224">
            <w:pPr>
              <w:spacing w:after="0" w:line="240" w:lineRule="auto"/>
              <w:jc w:val="center"/>
              <w:rPr>
                <w:rFonts w:cs="Arial"/>
                <w:color w:val="000000" w:themeColor="text1"/>
                <w:sz w:val="20"/>
                <w:szCs w:val="20"/>
                <w:lang w:val="fr-FR"/>
              </w:rPr>
            </w:pPr>
            <w:r w:rsidRPr="00AB4BAC">
              <w:rPr>
                <w:rFonts w:cs="Arial"/>
                <w:color w:val="000000" w:themeColor="text1"/>
                <w:sz w:val="20"/>
                <w:szCs w:val="20"/>
                <w:lang w:val="fr-FR"/>
              </w:rPr>
              <w:t>04/06/2002</w:t>
            </w:r>
          </w:p>
        </w:tc>
      </w:tr>
      <w:tr w:rsidR="00883224" w:rsidRPr="00AB4BAC" w14:paraId="45F92A29" w14:textId="77777777" w:rsidTr="00883224">
        <w:trPr>
          <w:trHeight w:val="171"/>
          <w:jc w:val="center"/>
        </w:trPr>
        <w:tc>
          <w:tcPr>
            <w:tcW w:w="8031" w:type="dxa"/>
          </w:tcPr>
          <w:p w14:paraId="5628F120" w14:textId="77777777" w:rsidR="00883224" w:rsidRPr="00AB4BAC" w:rsidRDefault="00883224" w:rsidP="00883224">
            <w:pPr>
              <w:spacing w:after="0" w:line="240" w:lineRule="auto"/>
              <w:rPr>
                <w:rFonts w:cs="Arial"/>
                <w:color w:val="000000" w:themeColor="text1"/>
                <w:sz w:val="20"/>
                <w:szCs w:val="20"/>
                <w:lang w:val="fr-FR"/>
              </w:rPr>
            </w:pPr>
            <w:r w:rsidRPr="00AB4BAC">
              <w:rPr>
                <w:rFonts w:cs="Arial"/>
                <w:color w:val="000000" w:themeColor="text1"/>
                <w:sz w:val="20"/>
                <w:szCs w:val="20"/>
                <w:lang w:val="fr-FR"/>
              </w:rPr>
              <w:t>Protocole de Kyoto</w:t>
            </w:r>
          </w:p>
        </w:tc>
        <w:tc>
          <w:tcPr>
            <w:tcW w:w="1440" w:type="dxa"/>
          </w:tcPr>
          <w:p w14:paraId="7BB743B2" w14:textId="77777777" w:rsidR="00883224" w:rsidRPr="00AB4BAC" w:rsidRDefault="00883224" w:rsidP="00883224">
            <w:pPr>
              <w:spacing w:after="0" w:line="240" w:lineRule="auto"/>
              <w:jc w:val="center"/>
              <w:rPr>
                <w:rFonts w:cs="Arial"/>
                <w:color w:val="000000" w:themeColor="text1"/>
                <w:sz w:val="20"/>
                <w:szCs w:val="20"/>
                <w:lang w:val="fr-FR"/>
              </w:rPr>
            </w:pPr>
            <w:r w:rsidRPr="00AB4BAC">
              <w:rPr>
                <w:rFonts w:cs="Arial"/>
                <w:color w:val="000000" w:themeColor="text1"/>
                <w:sz w:val="20"/>
                <w:szCs w:val="20"/>
                <w:lang w:val="fr-FR"/>
              </w:rPr>
              <w:t>27/01/1999</w:t>
            </w:r>
          </w:p>
        </w:tc>
        <w:tc>
          <w:tcPr>
            <w:tcW w:w="1440" w:type="dxa"/>
            <w:vAlign w:val="center"/>
          </w:tcPr>
          <w:p w14:paraId="40ACF328" w14:textId="77777777" w:rsidR="00883224" w:rsidRPr="00AB4BAC" w:rsidRDefault="00883224" w:rsidP="00883224">
            <w:pPr>
              <w:spacing w:after="0" w:line="240" w:lineRule="auto"/>
              <w:jc w:val="center"/>
              <w:rPr>
                <w:rFonts w:cs="Arial"/>
                <w:color w:val="000000" w:themeColor="text1"/>
                <w:sz w:val="20"/>
                <w:szCs w:val="20"/>
                <w:lang w:val="fr-FR"/>
              </w:rPr>
            </w:pPr>
            <w:r w:rsidRPr="00AB4BAC">
              <w:rPr>
                <w:rFonts w:cs="Arial"/>
                <w:color w:val="000000" w:themeColor="text1"/>
                <w:sz w:val="20"/>
                <w:szCs w:val="20"/>
                <w:lang w:val="fr-FR"/>
              </w:rPr>
              <w:t>28/03/2002</w:t>
            </w:r>
          </w:p>
        </w:tc>
      </w:tr>
      <w:tr w:rsidR="00883224" w:rsidRPr="00D65E1F" w14:paraId="3A2F6078" w14:textId="77777777" w:rsidTr="00883224">
        <w:trPr>
          <w:trHeight w:val="171"/>
          <w:jc w:val="center"/>
        </w:trPr>
        <w:tc>
          <w:tcPr>
            <w:tcW w:w="8031" w:type="dxa"/>
          </w:tcPr>
          <w:p w14:paraId="02D33E91" w14:textId="77777777" w:rsidR="00883224" w:rsidRPr="00D65E1F" w:rsidRDefault="00883224" w:rsidP="00883224">
            <w:pPr>
              <w:spacing w:after="0" w:line="240" w:lineRule="auto"/>
              <w:rPr>
                <w:rFonts w:cs="Arial"/>
                <w:color w:val="000000" w:themeColor="text1"/>
                <w:sz w:val="20"/>
                <w:szCs w:val="20"/>
                <w:lang w:val="fr-FR"/>
              </w:rPr>
            </w:pPr>
            <w:r w:rsidRPr="00D65E1F">
              <w:rPr>
                <w:rFonts w:cs="Arial"/>
                <w:color w:val="000000" w:themeColor="text1"/>
                <w:sz w:val="20"/>
                <w:szCs w:val="20"/>
                <w:lang w:val="fr-FR"/>
              </w:rPr>
              <w:t>Amendement de Doha au protocole de Kyoto</w:t>
            </w:r>
          </w:p>
        </w:tc>
        <w:tc>
          <w:tcPr>
            <w:tcW w:w="1440" w:type="dxa"/>
          </w:tcPr>
          <w:p w14:paraId="7D13E1B7" w14:textId="77777777" w:rsidR="00883224" w:rsidRPr="00D65E1F" w:rsidRDefault="00883224" w:rsidP="00883224">
            <w:pPr>
              <w:spacing w:after="0" w:line="240" w:lineRule="auto"/>
              <w:jc w:val="center"/>
              <w:rPr>
                <w:rFonts w:cs="Arial"/>
                <w:color w:val="000000" w:themeColor="text1"/>
                <w:sz w:val="20"/>
                <w:szCs w:val="20"/>
                <w:lang w:val="fr-FR"/>
              </w:rPr>
            </w:pPr>
            <w:r w:rsidRPr="00D65E1F">
              <w:rPr>
                <w:rFonts w:cs="Arial"/>
                <w:color w:val="000000" w:themeColor="text1"/>
                <w:sz w:val="20"/>
                <w:szCs w:val="20"/>
                <w:lang w:val="fr-FR"/>
              </w:rPr>
              <w:t>8/12/2012</w:t>
            </w:r>
          </w:p>
        </w:tc>
        <w:tc>
          <w:tcPr>
            <w:tcW w:w="1440" w:type="dxa"/>
            <w:vAlign w:val="center"/>
          </w:tcPr>
          <w:p w14:paraId="7EC72DA7" w14:textId="77777777" w:rsidR="00883224" w:rsidRPr="00D65E1F" w:rsidRDefault="00883224" w:rsidP="00883224">
            <w:pPr>
              <w:spacing w:after="0" w:line="240" w:lineRule="auto"/>
              <w:jc w:val="center"/>
              <w:rPr>
                <w:rFonts w:cs="Arial"/>
                <w:color w:val="000000" w:themeColor="text1"/>
                <w:sz w:val="20"/>
                <w:szCs w:val="20"/>
                <w:lang w:val="fr-FR"/>
              </w:rPr>
            </w:pPr>
            <w:r w:rsidRPr="00D65E1F">
              <w:rPr>
                <w:rFonts w:cs="Arial"/>
                <w:color w:val="000000" w:themeColor="text1"/>
                <w:sz w:val="20"/>
                <w:szCs w:val="20"/>
                <w:lang w:val="fr-FR"/>
              </w:rPr>
              <w:t>12/2015</w:t>
            </w:r>
          </w:p>
        </w:tc>
      </w:tr>
      <w:tr w:rsidR="00883224" w:rsidRPr="00AB4BAC" w14:paraId="3C4757E9" w14:textId="77777777" w:rsidTr="00883224">
        <w:trPr>
          <w:trHeight w:val="171"/>
          <w:jc w:val="center"/>
        </w:trPr>
        <w:tc>
          <w:tcPr>
            <w:tcW w:w="8031" w:type="dxa"/>
          </w:tcPr>
          <w:p w14:paraId="4694BEB9" w14:textId="77777777" w:rsidR="00883224" w:rsidRPr="00AB4BAC" w:rsidRDefault="00883224" w:rsidP="00883224">
            <w:pPr>
              <w:spacing w:after="0" w:line="240" w:lineRule="auto"/>
              <w:rPr>
                <w:rFonts w:cs="Arial"/>
                <w:color w:val="000000" w:themeColor="text1"/>
                <w:sz w:val="20"/>
                <w:szCs w:val="20"/>
                <w:lang w:val="fr-FR"/>
              </w:rPr>
            </w:pPr>
            <w:r w:rsidRPr="00AB4BAC">
              <w:rPr>
                <w:rFonts w:cs="Arial"/>
                <w:color w:val="000000" w:themeColor="text1"/>
                <w:sz w:val="20"/>
                <w:szCs w:val="20"/>
                <w:lang w:val="fr-FR"/>
              </w:rPr>
              <w:t>Charte africaine de la jeunesse de Banjul</w:t>
            </w:r>
          </w:p>
        </w:tc>
        <w:tc>
          <w:tcPr>
            <w:tcW w:w="1440" w:type="dxa"/>
          </w:tcPr>
          <w:p w14:paraId="5365A4F5" w14:textId="77777777" w:rsidR="00883224" w:rsidRPr="00AB4BAC" w:rsidRDefault="00883224" w:rsidP="00883224">
            <w:pPr>
              <w:spacing w:after="0" w:line="240" w:lineRule="auto"/>
              <w:jc w:val="center"/>
              <w:rPr>
                <w:rFonts w:cs="Arial"/>
                <w:color w:val="000000" w:themeColor="text1"/>
                <w:sz w:val="20"/>
                <w:szCs w:val="20"/>
                <w:lang w:val="fr-FR"/>
              </w:rPr>
            </w:pPr>
            <w:r w:rsidRPr="00AB4BAC">
              <w:rPr>
                <w:rFonts w:cs="Arial"/>
                <w:color w:val="000000" w:themeColor="text1"/>
                <w:sz w:val="20"/>
                <w:szCs w:val="20"/>
                <w:lang w:val="fr-FR"/>
              </w:rPr>
              <w:t>02/07/2006</w:t>
            </w:r>
          </w:p>
        </w:tc>
        <w:tc>
          <w:tcPr>
            <w:tcW w:w="1440" w:type="dxa"/>
            <w:vAlign w:val="center"/>
          </w:tcPr>
          <w:p w14:paraId="7D763E77" w14:textId="77777777" w:rsidR="00883224" w:rsidRPr="00AB4BAC" w:rsidRDefault="00883224" w:rsidP="00883224">
            <w:pPr>
              <w:spacing w:after="0" w:line="240" w:lineRule="auto"/>
              <w:jc w:val="center"/>
              <w:rPr>
                <w:rFonts w:cs="Arial"/>
                <w:color w:val="000000" w:themeColor="text1"/>
                <w:sz w:val="20"/>
                <w:szCs w:val="20"/>
                <w:lang w:val="fr-FR"/>
              </w:rPr>
            </w:pPr>
            <w:r w:rsidRPr="00AB4BAC">
              <w:rPr>
                <w:rFonts w:cs="Arial"/>
                <w:color w:val="000000" w:themeColor="text1"/>
                <w:sz w:val="20"/>
                <w:szCs w:val="20"/>
                <w:lang w:val="fr-FR"/>
              </w:rPr>
              <w:t>29/07/2008</w:t>
            </w:r>
          </w:p>
        </w:tc>
      </w:tr>
      <w:tr w:rsidR="00883224" w:rsidRPr="00D65E1F" w14:paraId="6238130D" w14:textId="77777777" w:rsidTr="00883224">
        <w:trPr>
          <w:trHeight w:val="171"/>
          <w:jc w:val="center"/>
        </w:trPr>
        <w:tc>
          <w:tcPr>
            <w:tcW w:w="8031" w:type="dxa"/>
          </w:tcPr>
          <w:p w14:paraId="18046914" w14:textId="77777777" w:rsidR="00883224" w:rsidRPr="00D65E1F" w:rsidRDefault="00883224" w:rsidP="00883224">
            <w:pPr>
              <w:spacing w:after="0" w:line="240" w:lineRule="auto"/>
              <w:rPr>
                <w:color w:val="000000" w:themeColor="text1"/>
                <w:lang w:val="fr-FR"/>
              </w:rPr>
            </w:pPr>
            <w:r w:rsidRPr="00D65E1F">
              <w:rPr>
                <w:rFonts w:cs="Arial"/>
                <w:color w:val="000000" w:themeColor="text1"/>
                <w:sz w:val="20"/>
                <w:szCs w:val="20"/>
                <w:lang w:val="fr-FR"/>
              </w:rPr>
              <w:t xml:space="preserve">Convention des Nations Unies sur le droit relatif aux utilisations des cours d’eau internationaux à des fins autres que la navigation du 21 mai 1997 </w:t>
            </w:r>
          </w:p>
        </w:tc>
        <w:tc>
          <w:tcPr>
            <w:tcW w:w="1440" w:type="dxa"/>
          </w:tcPr>
          <w:p w14:paraId="7C3FD929" w14:textId="77777777" w:rsidR="00883224" w:rsidRPr="00D65E1F" w:rsidRDefault="00883224" w:rsidP="00883224">
            <w:pPr>
              <w:spacing w:after="0" w:line="240" w:lineRule="auto"/>
              <w:jc w:val="center"/>
              <w:rPr>
                <w:color w:val="000000" w:themeColor="text1"/>
                <w:sz w:val="20"/>
                <w:szCs w:val="20"/>
                <w:lang w:val="fr-FR"/>
              </w:rPr>
            </w:pPr>
            <w:r w:rsidRPr="00D65E1F">
              <w:rPr>
                <w:color w:val="000000" w:themeColor="text1"/>
                <w:sz w:val="20"/>
                <w:szCs w:val="20"/>
                <w:lang w:val="fr-FR"/>
              </w:rPr>
              <w:t>Non adhésion</w:t>
            </w:r>
          </w:p>
        </w:tc>
        <w:tc>
          <w:tcPr>
            <w:tcW w:w="1440" w:type="dxa"/>
          </w:tcPr>
          <w:p w14:paraId="387B033D" w14:textId="77777777" w:rsidR="00883224" w:rsidRPr="00D65E1F" w:rsidRDefault="00883224" w:rsidP="00883224">
            <w:pPr>
              <w:spacing w:after="0" w:line="240" w:lineRule="auto"/>
              <w:jc w:val="center"/>
              <w:rPr>
                <w:color w:val="000000" w:themeColor="text1"/>
                <w:sz w:val="20"/>
                <w:szCs w:val="20"/>
                <w:lang w:val="fr-FR"/>
              </w:rPr>
            </w:pPr>
            <w:r w:rsidRPr="00D65E1F">
              <w:rPr>
                <w:color w:val="000000" w:themeColor="text1"/>
                <w:sz w:val="20"/>
                <w:szCs w:val="20"/>
                <w:lang w:val="fr-FR"/>
              </w:rPr>
              <w:t>Non ratification</w:t>
            </w:r>
          </w:p>
        </w:tc>
      </w:tr>
    </w:tbl>
    <w:p w14:paraId="1C3FB609" w14:textId="77777777" w:rsidR="00883224" w:rsidRDefault="00883224" w:rsidP="00883224">
      <w:pPr>
        <w:rPr>
          <w:lang w:val="fr-FR"/>
        </w:rPr>
      </w:pPr>
    </w:p>
    <w:p w14:paraId="533748B7" w14:textId="77777777" w:rsidR="00883224" w:rsidRDefault="00883224" w:rsidP="00883224">
      <w:pPr>
        <w:spacing w:after="200" w:line="276" w:lineRule="auto"/>
        <w:jc w:val="left"/>
        <w:rPr>
          <w:lang w:val="fr-FR"/>
        </w:rPr>
      </w:pPr>
      <w:r>
        <w:rPr>
          <w:lang w:val="fr-FR"/>
        </w:rPr>
        <w:br w:type="page"/>
      </w:r>
    </w:p>
    <w:p w14:paraId="0AED7F55" w14:textId="77777777" w:rsidR="00883224" w:rsidRPr="00A25A95" w:rsidRDefault="00883224" w:rsidP="00525222">
      <w:pPr>
        <w:pStyle w:val="Titre3"/>
        <w:rPr>
          <w:rStyle w:val="Titre2Car"/>
          <w:b/>
        </w:rPr>
      </w:pPr>
      <w:bookmarkStart w:id="102" w:name="_Toc525930966"/>
      <w:bookmarkStart w:id="103" w:name="_Toc20505695"/>
      <w:r>
        <w:lastRenderedPageBreak/>
        <w:t>7.2.</w:t>
      </w:r>
      <w:r w:rsidRPr="00A7025B">
        <w:rPr>
          <w:rStyle w:val="Titre2Car"/>
          <w:rFonts w:ascii="Arial Narrow" w:hAnsi="Arial Narrow"/>
          <w:b/>
        </w:rPr>
        <w:t xml:space="preserve">3 </w:t>
      </w:r>
      <w:r>
        <w:rPr>
          <w:rStyle w:val="Titre2Car"/>
          <w:rFonts w:ascii="Arial Narrow" w:hAnsi="Arial Narrow"/>
          <w:b/>
          <w:caps w:val="0"/>
        </w:rPr>
        <w:t>Textes législatifs et ré</w:t>
      </w:r>
      <w:r w:rsidRPr="00A7025B">
        <w:rPr>
          <w:rStyle w:val="Titre2Car"/>
          <w:rFonts w:ascii="Arial Narrow" w:hAnsi="Arial Narrow"/>
          <w:b/>
          <w:caps w:val="0"/>
        </w:rPr>
        <w:t>gleme</w:t>
      </w:r>
      <w:r>
        <w:rPr>
          <w:rStyle w:val="Titre2Car"/>
          <w:rFonts w:ascii="Arial Narrow" w:hAnsi="Arial Narrow"/>
          <w:b/>
          <w:caps w:val="0"/>
        </w:rPr>
        <w:t>ntaires principaux ayant trait à</w:t>
      </w:r>
      <w:r w:rsidRPr="00A7025B">
        <w:rPr>
          <w:rStyle w:val="Titre2Car"/>
          <w:rFonts w:ascii="Arial Narrow" w:hAnsi="Arial Narrow"/>
          <w:b/>
          <w:caps w:val="0"/>
        </w:rPr>
        <w:t xml:space="preserve"> l’environnement modifie</w:t>
      </w:r>
      <w:bookmarkEnd w:id="102"/>
      <w:bookmarkEnd w:id="103"/>
    </w:p>
    <w:p w14:paraId="543A941A" w14:textId="77777777" w:rsidR="00883224" w:rsidRPr="00CE03E2" w:rsidRDefault="00883224" w:rsidP="00883224">
      <w:pPr>
        <w:spacing w:after="0" w:line="240" w:lineRule="auto"/>
        <w:rPr>
          <w:rFonts w:cs="Arial"/>
          <w:b/>
          <w:bCs/>
          <w:i/>
          <w:sz w:val="20"/>
          <w:szCs w:val="20"/>
          <w:lang w:val="fr-FR"/>
        </w:rPr>
      </w:pPr>
    </w:p>
    <w:p w14:paraId="66509A6F" w14:textId="77777777" w:rsidR="00883224" w:rsidRPr="00CE03E2" w:rsidRDefault="00883224" w:rsidP="00883224">
      <w:pPr>
        <w:pStyle w:val="PuceBleue"/>
        <w:spacing w:after="0" w:line="240" w:lineRule="auto"/>
        <w:ind w:left="709" w:hanging="567"/>
        <w:rPr>
          <w:rFonts w:cs="Arial"/>
          <w:sz w:val="20"/>
          <w:szCs w:val="20"/>
          <w:lang w:val="fr-FR"/>
        </w:rPr>
      </w:pPr>
      <w:r w:rsidRPr="00CE03E2">
        <w:rPr>
          <w:rFonts w:cs="Arial"/>
          <w:sz w:val="20"/>
          <w:szCs w:val="20"/>
          <w:lang w:val="fr-FR"/>
        </w:rPr>
        <w:t>Loi N°10-027 du 12 juillet 2010 portant création de l’Agence de l’Environnement et du Développement Durable (AEDD).</w:t>
      </w:r>
    </w:p>
    <w:p w14:paraId="3D41913B" w14:textId="77777777" w:rsidR="00883224" w:rsidRPr="00CE03E2" w:rsidRDefault="00883224" w:rsidP="00883224">
      <w:pPr>
        <w:pStyle w:val="PuceBleue"/>
        <w:spacing w:after="0" w:line="240" w:lineRule="auto"/>
        <w:ind w:left="709" w:hanging="567"/>
        <w:rPr>
          <w:rFonts w:cs="Arial"/>
          <w:sz w:val="20"/>
          <w:szCs w:val="20"/>
          <w:lang w:val="fr-FR"/>
        </w:rPr>
      </w:pPr>
      <w:r w:rsidRPr="00CE03E2">
        <w:rPr>
          <w:rFonts w:cs="Arial"/>
          <w:sz w:val="20"/>
          <w:szCs w:val="20"/>
          <w:lang w:val="fr-FR"/>
        </w:rPr>
        <w:t>Décret N°10-390/PM-RM du 26 juillet 2010 portant création et modalités de fonctionnement du Conseil National de l’Environnement</w:t>
      </w:r>
    </w:p>
    <w:p w14:paraId="176D5668" w14:textId="77777777" w:rsidR="00883224" w:rsidRPr="00CE03E2" w:rsidRDefault="00883224" w:rsidP="00883224">
      <w:pPr>
        <w:pStyle w:val="PuceBleue"/>
        <w:spacing w:after="0" w:line="240" w:lineRule="auto"/>
        <w:ind w:left="709" w:hanging="567"/>
        <w:rPr>
          <w:rFonts w:cs="Arial"/>
          <w:sz w:val="20"/>
          <w:szCs w:val="20"/>
          <w:lang w:val="fr-FR"/>
        </w:rPr>
      </w:pPr>
      <w:r w:rsidRPr="00CE03E2">
        <w:rPr>
          <w:rFonts w:cs="Arial"/>
          <w:sz w:val="20"/>
          <w:szCs w:val="20"/>
          <w:lang w:val="fr-FR"/>
        </w:rPr>
        <w:t xml:space="preserve"> Décret N°2011-107/PM-RM du 11 mars 2011 portant création du Comité National Changements Climatiques du Mali</w:t>
      </w:r>
    </w:p>
    <w:p w14:paraId="5898A2AE" w14:textId="77777777" w:rsidR="00883224" w:rsidRPr="00CE03E2" w:rsidRDefault="00883224" w:rsidP="00883224">
      <w:pPr>
        <w:pStyle w:val="PuceBleue"/>
        <w:spacing w:after="0"/>
        <w:ind w:left="709" w:hanging="567"/>
        <w:rPr>
          <w:rFonts w:cs="Arial"/>
          <w:sz w:val="20"/>
          <w:szCs w:val="20"/>
          <w:lang w:val="fr-FR"/>
        </w:rPr>
      </w:pPr>
      <w:r w:rsidRPr="00CE03E2">
        <w:rPr>
          <w:rFonts w:cs="Arial"/>
          <w:sz w:val="20"/>
          <w:szCs w:val="20"/>
          <w:lang w:val="fr-FR"/>
        </w:rPr>
        <w:t>Arrêté N° 2014-0230/ MEA-SG du 31 janvier 2014 fixant les modalités d’organisation et de fonctionnement du Comité National Changements Climatiques du Mali</w:t>
      </w:r>
    </w:p>
    <w:p w14:paraId="72A5D150" w14:textId="77777777" w:rsidR="00883224" w:rsidRPr="00CE03E2" w:rsidRDefault="00883224" w:rsidP="00883224">
      <w:pPr>
        <w:pStyle w:val="PuceBleue"/>
        <w:spacing w:after="0"/>
        <w:ind w:left="709" w:hanging="567"/>
        <w:rPr>
          <w:rFonts w:cs="Arial"/>
          <w:sz w:val="20"/>
          <w:szCs w:val="20"/>
          <w:lang w:val="fr-FR"/>
        </w:rPr>
      </w:pPr>
      <w:r w:rsidRPr="00CE03E2">
        <w:rPr>
          <w:rFonts w:cs="Arial"/>
          <w:sz w:val="20"/>
          <w:szCs w:val="20"/>
          <w:lang w:val="fr-FR"/>
        </w:rPr>
        <w:t>Arrêté N° 2017-2505/MEADD-SG du 01 Août 2017 portant création de la Cellule de Coordination et de Suivi de la mise en œuvre de la Contribution Déterminée au niveau National (CDN)</w:t>
      </w:r>
    </w:p>
    <w:p w14:paraId="5E5BDDAD" w14:textId="77777777" w:rsidR="00883224" w:rsidRPr="00CE03E2" w:rsidRDefault="00883224" w:rsidP="00883224">
      <w:pPr>
        <w:spacing w:after="0" w:line="240" w:lineRule="auto"/>
        <w:rPr>
          <w:rFonts w:cs="Arial"/>
          <w:bCs/>
          <w:sz w:val="20"/>
          <w:szCs w:val="20"/>
          <w:lang w:val="fr-FR"/>
        </w:rPr>
      </w:pPr>
    </w:p>
    <w:p w14:paraId="05541A2E" w14:textId="77777777" w:rsidR="00883224" w:rsidRPr="00CE03E2" w:rsidRDefault="00883224" w:rsidP="00883224">
      <w:pPr>
        <w:rPr>
          <w:rFonts w:cs="Arial"/>
          <w:b/>
          <w:i/>
          <w:lang w:val="fr-FR"/>
        </w:rPr>
      </w:pPr>
      <w:r w:rsidRPr="00CE03E2">
        <w:rPr>
          <w:rFonts w:cs="Arial"/>
          <w:b/>
          <w:i/>
          <w:lang w:val="fr-FR"/>
        </w:rPr>
        <w:t>Eau</w:t>
      </w:r>
    </w:p>
    <w:p w14:paraId="067D1282" w14:textId="77777777" w:rsidR="00883224" w:rsidRPr="00CE03E2" w:rsidRDefault="00883224" w:rsidP="00883224">
      <w:pPr>
        <w:numPr>
          <w:ilvl w:val="0"/>
          <w:numId w:val="1"/>
        </w:numPr>
        <w:tabs>
          <w:tab w:val="clear" w:pos="360"/>
        </w:tabs>
        <w:spacing w:after="0" w:line="240" w:lineRule="auto"/>
        <w:ind w:left="720" w:hanging="540"/>
        <w:rPr>
          <w:rFonts w:cs="Arial"/>
          <w:sz w:val="20"/>
          <w:szCs w:val="20"/>
          <w:lang w:val="fr-FR"/>
        </w:rPr>
      </w:pPr>
      <w:r w:rsidRPr="00CE03E2">
        <w:rPr>
          <w:rFonts w:cs="Arial"/>
          <w:sz w:val="20"/>
          <w:szCs w:val="20"/>
          <w:lang w:val="fr-FR"/>
        </w:rPr>
        <w:t xml:space="preserve">Loi N° 2-006 du 31 janvier 2002 portant sur le Code de l’eau et qui crée les Comités de bassins et de sous-bassins </w:t>
      </w:r>
    </w:p>
    <w:p w14:paraId="073BB6C2" w14:textId="77777777" w:rsidR="00883224" w:rsidRPr="00CE03E2" w:rsidRDefault="00883224" w:rsidP="00883224">
      <w:pPr>
        <w:numPr>
          <w:ilvl w:val="1"/>
          <w:numId w:val="1"/>
        </w:numPr>
        <w:spacing w:after="0" w:line="240" w:lineRule="auto"/>
        <w:rPr>
          <w:rFonts w:cs="Arial"/>
          <w:sz w:val="18"/>
          <w:szCs w:val="18"/>
          <w:lang w:val="fr-FR"/>
        </w:rPr>
      </w:pPr>
      <w:r w:rsidRPr="00CE03E2">
        <w:rPr>
          <w:rFonts w:cs="Arial"/>
          <w:sz w:val="18"/>
          <w:szCs w:val="18"/>
          <w:lang w:val="fr-FR"/>
        </w:rPr>
        <w:t xml:space="preserve">Arrête interministériel n°02-878/MMEE/MATCL du 4 septembre 2002 (et conformément au Code de l’eau)  portant sur la création du Comité du Bassin du Niger Supérieur </w:t>
      </w:r>
    </w:p>
    <w:p w14:paraId="18DEE66D" w14:textId="77777777" w:rsidR="00883224" w:rsidRDefault="00883224" w:rsidP="00883224">
      <w:pPr>
        <w:numPr>
          <w:ilvl w:val="1"/>
          <w:numId w:val="1"/>
        </w:numPr>
        <w:spacing w:after="0" w:line="240" w:lineRule="auto"/>
        <w:rPr>
          <w:rFonts w:cs="Arial"/>
          <w:sz w:val="18"/>
          <w:szCs w:val="18"/>
          <w:lang w:val="fr-FR"/>
        </w:rPr>
      </w:pPr>
      <w:r w:rsidRPr="00CE03E2">
        <w:rPr>
          <w:rFonts w:cs="Arial"/>
          <w:sz w:val="18"/>
          <w:szCs w:val="18"/>
          <w:lang w:val="fr-FR"/>
        </w:rPr>
        <w:t>Ordonnance n°02-049/P-RM du 29 mars 2002 créant l’Agence du Bassin du Fleuve Niger (ABFN</w:t>
      </w:r>
      <w:r w:rsidRPr="00643D65">
        <w:rPr>
          <w:rFonts w:cs="Arial"/>
          <w:sz w:val="18"/>
          <w:szCs w:val="18"/>
          <w:lang w:val="fr-FR"/>
        </w:rPr>
        <w:t>), organe consultatif et de coordination sous tutelle du MEA</w:t>
      </w:r>
    </w:p>
    <w:p w14:paraId="3A3AB50C" w14:textId="77777777" w:rsidR="00883224" w:rsidRDefault="00883224" w:rsidP="00883224">
      <w:pPr>
        <w:spacing w:after="0" w:line="240" w:lineRule="auto"/>
        <w:rPr>
          <w:rFonts w:cs="Arial"/>
          <w:b/>
          <w:bCs/>
          <w:i/>
          <w:sz w:val="20"/>
          <w:szCs w:val="20"/>
          <w:lang w:val="fr-FR"/>
        </w:rPr>
      </w:pPr>
    </w:p>
    <w:p w14:paraId="794051D7" w14:textId="77777777" w:rsidR="00883224" w:rsidRPr="00A73FCE" w:rsidRDefault="00883224" w:rsidP="00883224">
      <w:pPr>
        <w:spacing w:after="0" w:line="240" w:lineRule="auto"/>
        <w:rPr>
          <w:rFonts w:cs="Arial"/>
          <w:b/>
          <w:i/>
          <w:lang w:val="fr-FR"/>
        </w:rPr>
      </w:pPr>
      <w:r w:rsidRPr="00A73FCE">
        <w:rPr>
          <w:rFonts w:cs="Arial"/>
          <w:b/>
          <w:i/>
          <w:lang w:val="fr-FR"/>
        </w:rPr>
        <w:t>Forêts</w:t>
      </w:r>
    </w:p>
    <w:p w14:paraId="3390A60F" w14:textId="77777777" w:rsidR="00883224" w:rsidRPr="00244609" w:rsidRDefault="00883224" w:rsidP="00883224">
      <w:pPr>
        <w:numPr>
          <w:ilvl w:val="0"/>
          <w:numId w:val="1"/>
        </w:numPr>
        <w:spacing w:after="0" w:line="240" w:lineRule="auto"/>
        <w:rPr>
          <w:rFonts w:cs="Arial"/>
          <w:sz w:val="20"/>
          <w:szCs w:val="20"/>
          <w:lang w:val="fr-FR"/>
        </w:rPr>
      </w:pPr>
      <w:r w:rsidRPr="00244609">
        <w:rPr>
          <w:rFonts w:cs="Arial"/>
          <w:sz w:val="20"/>
          <w:szCs w:val="20"/>
          <w:lang w:val="fr-FR"/>
        </w:rPr>
        <w:t xml:space="preserve">Loi n° 95-003 du 18 janvier 1995, portant organisation de l’exploitation, du transport et du commerce du bois et ses décrets </w:t>
      </w:r>
    </w:p>
    <w:p w14:paraId="4F3F5827" w14:textId="77777777" w:rsidR="00883224" w:rsidRPr="00C66585" w:rsidRDefault="00883224" w:rsidP="00883224">
      <w:pPr>
        <w:numPr>
          <w:ilvl w:val="1"/>
          <w:numId w:val="1"/>
        </w:numPr>
        <w:spacing w:after="0" w:line="240" w:lineRule="auto"/>
        <w:rPr>
          <w:rFonts w:cs="Arial"/>
          <w:sz w:val="18"/>
          <w:szCs w:val="18"/>
          <w:lang w:val="fr-FR"/>
        </w:rPr>
      </w:pPr>
      <w:r w:rsidRPr="00C66585">
        <w:rPr>
          <w:rFonts w:cs="Arial"/>
          <w:sz w:val="18"/>
          <w:szCs w:val="18"/>
          <w:lang w:val="fr-FR"/>
        </w:rPr>
        <w:t>1- Arrêté n° 96-0753/MDRE-SG du 13 mai 1995 fixant les règles d’approvisionnement et de fonctionnement des marchés ruraux,</w:t>
      </w:r>
    </w:p>
    <w:p w14:paraId="4C25ADAE" w14:textId="77777777" w:rsidR="00883224" w:rsidRPr="00C66585" w:rsidRDefault="00883224" w:rsidP="00883224">
      <w:pPr>
        <w:numPr>
          <w:ilvl w:val="1"/>
          <w:numId w:val="1"/>
        </w:numPr>
        <w:spacing w:after="0" w:line="240" w:lineRule="auto"/>
        <w:rPr>
          <w:rFonts w:cs="Arial"/>
          <w:sz w:val="18"/>
          <w:szCs w:val="18"/>
          <w:lang w:val="fr-FR"/>
        </w:rPr>
      </w:pPr>
      <w:r w:rsidRPr="00C66585">
        <w:rPr>
          <w:rFonts w:cs="Arial"/>
          <w:sz w:val="18"/>
          <w:szCs w:val="18"/>
          <w:lang w:val="fr-FR"/>
        </w:rPr>
        <w:t>2- Arrêté n° 96-0793/MDRE-SG du 17 mai 1995 portant composition et fonctionnement des commissions régionales chargées d’arbitrer des conflits relatifs à la fixation des quotas annuels d’exploitation du bois,</w:t>
      </w:r>
    </w:p>
    <w:p w14:paraId="5C84BA0F" w14:textId="77777777" w:rsidR="00883224" w:rsidRPr="00525222" w:rsidRDefault="00883224" w:rsidP="00883224">
      <w:pPr>
        <w:numPr>
          <w:ilvl w:val="1"/>
          <w:numId w:val="1"/>
        </w:numPr>
        <w:spacing w:after="0" w:line="240" w:lineRule="auto"/>
        <w:rPr>
          <w:rFonts w:cs="Arial"/>
          <w:sz w:val="18"/>
          <w:szCs w:val="18"/>
          <w:lang w:val="fr-FR"/>
        </w:rPr>
      </w:pPr>
      <w:r w:rsidRPr="00C66585">
        <w:rPr>
          <w:rFonts w:cs="Arial"/>
          <w:sz w:val="18"/>
          <w:szCs w:val="18"/>
          <w:lang w:val="fr-FR"/>
        </w:rPr>
        <w:t xml:space="preserve">3- Arrêté n°96-1023/MDRE-SG du 26 juin 1996 déterminant les types et modèles de coupons, les modalités d’attribution, de </w:t>
      </w:r>
      <w:r w:rsidRPr="00525222">
        <w:rPr>
          <w:rFonts w:cs="Arial"/>
          <w:sz w:val="18"/>
          <w:szCs w:val="18"/>
          <w:lang w:val="fr-FR"/>
        </w:rPr>
        <w:t>délivrance et de contrôle des coupons de transport de bois.</w:t>
      </w:r>
    </w:p>
    <w:p w14:paraId="6AE2C716" w14:textId="77777777" w:rsidR="00EA2CFE" w:rsidRPr="00525222" w:rsidRDefault="00EA2CFE" w:rsidP="00883224">
      <w:pPr>
        <w:numPr>
          <w:ilvl w:val="1"/>
          <w:numId w:val="1"/>
        </w:numPr>
        <w:spacing w:after="0" w:line="240" w:lineRule="auto"/>
        <w:rPr>
          <w:rFonts w:cs="Arial"/>
          <w:sz w:val="18"/>
          <w:szCs w:val="18"/>
          <w:lang w:val="fr-FR"/>
        </w:rPr>
      </w:pPr>
      <w:r w:rsidRPr="00525222">
        <w:rPr>
          <w:rFonts w:cs="Arial"/>
          <w:sz w:val="18"/>
          <w:szCs w:val="18"/>
          <w:lang w:val="fr-FR"/>
        </w:rPr>
        <w:t>Arrêté Interministériel N°2015-1535/MCI/MEF-SG du 05 juin 2015 fixant la liste des produits prohibés à l’importation et à l’exportation.</w:t>
      </w:r>
    </w:p>
    <w:p w14:paraId="18FC7794" w14:textId="77777777" w:rsidR="00883224" w:rsidRPr="00C66585" w:rsidRDefault="00883224" w:rsidP="00883224">
      <w:pPr>
        <w:spacing w:after="0" w:line="240" w:lineRule="auto"/>
        <w:ind w:left="1080"/>
        <w:rPr>
          <w:rFonts w:cs="Arial"/>
          <w:sz w:val="18"/>
          <w:szCs w:val="18"/>
          <w:lang w:val="fr-FR"/>
        </w:rPr>
      </w:pPr>
    </w:p>
    <w:p w14:paraId="2884217D" w14:textId="77777777" w:rsidR="00883224" w:rsidRPr="00244609" w:rsidRDefault="00883224" w:rsidP="00883224">
      <w:pPr>
        <w:numPr>
          <w:ilvl w:val="0"/>
          <w:numId w:val="1"/>
        </w:numPr>
        <w:spacing w:after="0" w:line="240" w:lineRule="auto"/>
        <w:rPr>
          <w:rFonts w:cs="Arial"/>
          <w:sz w:val="20"/>
          <w:szCs w:val="20"/>
          <w:lang w:val="fr-FR"/>
        </w:rPr>
      </w:pPr>
      <w:r w:rsidRPr="00244609">
        <w:rPr>
          <w:rFonts w:cs="Arial"/>
          <w:sz w:val="20"/>
          <w:szCs w:val="20"/>
          <w:lang w:val="fr-FR"/>
        </w:rPr>
        <w:t xml:space="preserve">Loi n° 95-004 du 18 janvier 1995 fixant les conditions de gestion des ressources forestières et ses décrets </w:t>
      </w:r>
    </w:p>
    <w:p w14:paraId="70057F24" w14:textId="77777777" w:rsidR="00883224" w:rsidRPr="00C66585" w:rsidRDefault="00883224" w:rsidP="00883224">
      <w:pPr>
        <w:numPr>
          <w:ilvl w:val="1"/>
          <w:numId w:val="1"/>
        </w:numPr>
        <w:spacing w:after="0" w:line="240" w:lineRule="auto"/>
        <w:rPr>
          <w:rFonts w:cs="Arial"/>
          <w:sz w:val="18"/>
          <w:szCs w:val="18"/>
          <w:lang w:val="fr-FR"/>
        </w:rPr>
      </w:pPr>
      <w:r w:rsidRPr="00C66585">
        <w:rPr>
          <w:rFonts w:cs="Arial"/>
          <w:sz w:val="18"/>
          <w:szCs w:val="18"/>
          <w:lang w:val="fr-FR"/>
        </w:rPr>
        <w:t>1- Décret n° 00-022/P-RM du 19 janvier 2000 fixant les modalités de classement et de déclassement des forêts, des périmètres de reboisement et des périmètres de protection dans le domaine forestier de l’Etat</w:t>
      </w:r>
      <w:r>
        <w:rPr>
          <w:rFonts w:cs="Arial"/>
          <w:sz w:val="18"/>
          <w:szCs w:val="18"/>
          <w:lang w:val="fr-FR"/>
        </w:rPr>
        <w:t> </w:t>
      </w:r>
      <w:r w:rsidRPr="00C66585">
        <w:rPr>
          <w:rFonts w:cs="Arial"/>
          <w:sz w:val="18"/>
          <w:szCs w:val="18"/>
          <w:lang w:val="fr-FR"/>
        </w:rPr>
        <w:t>;</w:t>
      </w:r>
    </w:p>
    <w:p w14:paraId="1DEB73E7" w14:textId="77777777" w:rsidR="00883224" w:rsidRPr="00C66585" w:rsidRDefault="00883224" w:rsidP="00883224">
      <w:pPr>
        <w:numPr>
          <w:ilvl w:val="1"/>
          <w:numId w:val="1"/>
        </w:numPr>
        <w:spacing w:after="0" w:line="240" w:lineRule="auto"/>
        <w:rPr>
          <w:rFonts w:cs="Arial"/>
          <w:sz w:val="18"/>
          <w:szCs w:val="18"/>
          <w:lang w:val="fr-FR"/>
        </w:rPr>
      </w:pPr>
      <w:r w:rsidRPr="00C66585">
        <w:rPr>
          <w:rFonts w:cs="Arial"/>
          <w:sz w:val="18"/>
          <w:szCs w:val="18"/>
          <w:lang w:val="fr-FR"/>
        </w:rPr>
        <w:t>2- Décret n°97-053/P-RM du 31 janvier 1997 fixant les taux de redevances de défrichement dans le domaine forestier de l’Etat et définissant la limite sud, officielle de la zone sahélienne</w:t>
      </w:r>
      <w:r>
        <w:rPr>
          <w:rFonts w:cs="Arial"/>
          <w:sz w:val="18"/>
          <w:szCs w:val="18"/>
          <w:lang w:val="fr-FR"/>
        </w:rPr>
        <w:t> </w:t>
      </w:r>
      <w:r w:rsidRPr="00C66585">
        <w:rPr>
          <w:rFonts w:cs="Arial"/>
          <w:sz w:val="18"/>
          <w:szCs w:val="18"/>
          <w:lang w:val="fr-FR"/>
        </w:rPr>
        <w:t>;</w:t>
      </w:r>
    </w:p>
    <w:p w14:paraId="6CCA2714" w14:textId="77777777" w:rsidR="00883224" w:rsidRPr="00C66585" w:rsidRDefault="00883224" w:rsidP="00883224">
      <w:pPr>
        <w:numPr>
          <w:ilvl w:val="1"/>
          <w:numId w:val="1"/>
        </w:numPr>
        <w:spacing w:after="0" w:line="240" w:lineRule="auto"/>
        <w:rPr>
          <w:rFonts w:cs="Arial"/>
          <w:sz w:val="18"/>
          <w:szCs w:val="18"/>
          <w:lang w:val="fr-FR"/>
        </w:rPr>
      </w:pPr>
      <w:r w:rsidRPr="00C66585">
        <w:rPr>
          <w:rFonts w:cs="Arial"/>
          <w:sz w:val="18"/>
          <w:szCs w:val="18"/>
          <w:lang w:val="fr-FR"/>
        </w:rPr>
        <w:t>3- Décret n°29-189/P-RM du 15 juillet 1999 portant protection de l’environnement à l’occasion de la réalisation des grands travaux</w:t>
      </w:r>
      <w:r>
        <w:rPr>
          <w:rFonts w:cs="Arial"/>
          <w:sz w:val="18"/>
          <w:szCs w:val="18"/>
          <w:lang w:val="fr-FR"/>
        </w:rPr>
        <w:t> </w:t>
      </w:r>
      <w:r w:rsidRPr="00C66585">
        <w:rPr>
          <w:rFonts w:cs="Arial"/>
          <w:sz w:val="18"/>
          <w:szCs w:val="18"/>
          <w:lang w:val="fr-FR"/>
        </w:rPr>
        <w:t>;</w:t>
      </w:r>
    </w:p>
    <w:p w14:paraId="224A1304" w14:textId="77777777" w:rsidR="00883224" w:rsidRPr="00C66585" w:rsidRDefault="00883224" w:rsidP="00883224">
      <w:pPr>
        <w:numPr>
          <w:ilvl w:val="1"/>
          <w:numId w:val="1"/>
        </w:numPr>
        <w:spacing w:after="0" w:line="240" w:lineRule="auto"/>
        <w:rPr>
          <w:rFonts w:cs="Arial"/>
          <w:sz w:val="18"/>
          <w:szCs w:val="18"/>
          <w:lang w:val="fr-FR"/>
        </w:rPr>
      </w:pPr>
      <w:r w:rsidRPr="00C66585">
        <w:rPr>
          <w:rFonts w:cs="Arial"/>
          <w:sz w:val="18"/>
          <w:szCs w:val="18"/>
          <w:lang w:val="fr-FR"/>
        </w:rPr>
        <w:t>4- Décret n° 03-594/P-RM du 31 décembre 2003 relatif à l’Études d’Impacts sur l’Environnement</w:t>
      </w:r>
      <w:r>
        <w:rPr>
          <w:rFonts w:cs="Arial"/>
          <w:sz w:val="18"/>
          <w:szCs w:val="18"/>
          <w:lang w:val="fr-FR"/>
        </w:rPr>
        <w:t> </w:t>
      </w:r>
      <w:r w:rsidRPr="00C66585">
        <w:rPr>
          <w:rFonts w:cs="Arial"/>
          <w:sz w:val="18"/>
          <w:szCs w:val="18"/>
          <w:lang w:val="fr-FR"/>
        </w:rPr>
        <w:t>;</w:t>
      </w:r>
    </w:p>
    <w:p w14:paraId="0EC857E6" w14:textId="77777777" w:rsidR="00883224" w:rsidRPr="00C66585" w:rsidRDefault="00883224" w:rsidP="00883224">
      <w:pPr>
        <w:numPr>
          <w:ilvl w:val="1"/>
          <w:numId w:val="1"/>
        </w:numPr>
        <w:spacing w:after="0" w:line="240" w:lineRule="auto"/>
        <w:rPr>
          <w:rFonts w:cs="Arial"/>
          <w:sz w:val="18"/>
          <w:szCs w:val="18"/>
          <w:lang w:val="fr-FR"/>
        </w:rPr>
      </w:pPr>
      <w:r w:rsidRPr="00C66585">
        <w:rPr>
          <w:rFonts w:cs="Arial"/>
          <w:sz w:val="18"/>
          <w:szCs w:val="18"/>
          <w:lang w:val="fr-FR"/>
        </w:rPr>
        <w:t xml:space="preserve">5- Décret n°98-402/P-RM du 17 décembre </w:t>
      </w:r>
      <w:r>
        <w:rPr>
          <w:rFonts w:cs="Arial"/>
          <w:sz w:val="18"/>
          <w:szCs w:val="18"/>
          <w:lang w:val="fr-FR"/>
        </w:rPr>
        <w:t>19</w:t>
      </w:r>
      <w:r w:rsidRPr="00C66585">
        <w:rPr>
          <w:rFonts w:cs="Arial"/>
          <w:sz w:val="18"/>
          <w:szCs w:val="18"/>
          <w:lang w:val="fr-FR"/>
        </w:rPr>
        <w:t>98 fixant les taux et la répartition des taxes perçues à l’occasion de l’exploitation du bois</w:t>
      </w:r>
      <w:r>
        <w:rPr>
          <w:rFonts w:cs="Arial"/>
          <w:sz w:val="18"/>
          <w:szCs w:val="18"/>
          <w:lang w:val="fr-FR"/>
        </w:rPr>
        <w:t> </w:t>
      </w:r>
      <w:r w:rsidRPr="00C66585">
        <w:rPr>
          <w:rFonts w:cs="Arial"/>
          <w:sz w:val="18"/>
          <w:szCs w:val="18"/>
          <w:lang w:val="fr-FR"/>
        </w:rPr>
        <w:t>;</w:t>
      </w:r>
    </w:p>
    <w:p w14:paraId="36E0C50F" w14:textId="77777777" w:rsidR="00883224" w:rsidRPr="00C66585" w:rsidRDefault="00883224" w:rsidP="00883224">
      <w:pPr>
        <w:numPr>
          <w:ilvl w:val="1"/>
          <w:numId w:val="1"/>
        </w:numPr>
        <w:spacing w:after="0" w:line="240" w:lineRule="auto"/>
        <w:rPr>
          <w:rFonts w:cs="Arial"/>
          <w:sz w:val="18"/>
          <w:szCs w:val="18"/>
          <w:lang w:val="fr-FR"/>
        </w:rPr>
      </w:pPr>
      <w:r w:rsidRPr="00C66585">
        <w:rPr>
          <w:rFonts w:cs="Arial"/>
          <w:sz w:val="18"/>
          <w:szCs w:val="18"/>
          <w:lang w:val="fr-FR"/>
        </w:rPr>
        <w:t>6- Décret n°98-402/P-RM du 17 Décembre 1998 fixant les taux, les modalités de recouvrement et de répartition des taxes perçues à l’occasion de l’exploitation du bois dans le domaine forestier de l’Etat</w:t>
      </w:r>
      <w:r>
        <w:rPr>
          <w:rFonts w:cs="Arial"/>
          <w:sz w:val="18"/>
          <w:szCs w:val="18"/>
          <w:lang w:val="fr-FR"/>
        </w:rPr>
        <w:t> </w:t>
      </w:r>
      <w:r w:rsidRPr="00C66585">
        <w:rPr>
          <w:rFonts w:cs="Arial"/>
          <w:sz w:val="18"/>
          <w:szCs w:val="18"/>
          <w:lang w:val="fr-FR"/>
        </w:rPr>
        <w:t>;</w:t>
      </w:r>
    </w:p>
    <w:p w14:paraId="67F49442" w14:textId="77777777" w:rsidR="00883224" w:rsidRPr="00C66585" w:rsidRDefault="00883224" w:rsidP="00883224">
      <w:pPr>
        <w:numPr>
          <w:ilvl w:val="1"/>
          <w:numId w:val="1"/>
        </w:numPr>
        <w:spacing w:after="0" w:line="240" w:lineRule="auto"/>
        <w:rPr>
          <w:rFonts w:cs="Arial"/>
          <w:sz w:val="18"/>
          <w:szCs w:val="18"/>
          <w:lang w:val="fr-FR"/>
        </w:rPr>
      </w:pPr>
      <w:r w:rsidRPr="00C66585">
        <w:rPr>
          <w:rFonts w:cs="Arial"/>
          <w:sz w:val="18"/>
          <w:szCs w:val="18"/>
          <w:lang w:val="fr-FR"/>
        </w:rPr>
        <w:t>7- Décret n°01-404 du 17 septembre 2001 déterminant les conditions et modalités d’exercice des droits conférés par les titres d’exploitation des ressources forestières</w:t>
      </w:r>
      <w:r>
        <w:rPr>
          <w:rFonts w:cs="Arial"/>
          <w:sz w:val="18"/>
          <w:szCs w:val="18"/>
          <w:lang w:val="fr-FR"/>
        </w:rPr>
        <w:t> </w:t>
      </w:r>
      <w:r w:rsidRPr="00C66585">
        <w:rPr>
          <w:rFonts w:cs="Arial"/>
          <w:sz w:val="18"/>
          <w:szCs w:val="18"/>
          <w:lang w:val="fr-FR"/>
        </w:rPr>
        <w:t>;</w:t>
      </w:r>
    </w:p>
    <w:p w14:paraId="2CE89094" w14:textId="77777777" w:rsidR="00883224" w:rsidRPr="00C66585" w:rsidRDefault="00883224" w:rsidP="00883224">
      <w:pPr>
        <w:numPr>
          <w:ilvl w:val="1"/>
          <w:numId w:val="1"/>
        </w:numPr>
        <w:spacing w:after="0" w:line="240" w:lineRule="auto"/>
        <w:rPr>
          <w:rFonts w:cs="Arial"/>
          <w:sz w:val="18"/>
          <w:szCs w:val="18"/>
          <w:lang w:val="fr-FR"/>
        </w:rPr>
      </w:pPr>
      <w:r w:rsidRPr="00C66585">
        <w:rPr>
          <w:rFonts w:cs="Arial"/>
          <w:sz w:val="18"/>
          <w:szCs w:val="18"/>
          <w:lang w:val="fr-FR"/>
        </w:rPr>
        <w:t>8- Arrêté n°95-2487/MDRE-SG du 14 novembre 1995 déterminant les modalités de mise à feu précoce dans le domaine forestier de l’Etat et des Collectivités décentralisées.</w:t>
      </w:r>
    </w:p>
    <w:p w14:paraId="70FF471E" w14:textId="77777777" w:rsidR="00883224" w:rsidRDefault="00883224" w:rsidP="00883224">
      <w:pPr>
        <w:numPr>
          <w:ilvl w:val="1"/>
          <w:numId w:val="1"/>
        </w:numPr>
        <w:spacing w:after="0" w:line="240" w:lineRule="auto"/>
        <w:rPr>
          <w:rFonts w:cs="Arial"/>
          <w:sz w:val="18"/>
          <w:szCs w:val="18"/>
          <w:lang w:val="fr-FR"/>
        </w:rPr>
      </w:pPr>
      <w:r w:rsidRPr="00E21942">
        <w:rPr>
          <w:rFonts w:cs="Arial"/>
          <w:sz w:val="18"/>
          <w:szCs w:val="18"/>
          <w:lang w:val="fr-FR"/>
        </w:rPr>
        <w:t>Décret n°04-091/P-RM du 24 mars 2004 fixant l’organisation et les modalités de gestion du fonds d’aménagement et de protection des forêts et du fonds d’aménagement et de protection de la faune dans les domaines de l’Etat</w:t>
      </w:r>
      <w:r>
        <w:rPr>
          <w:rFonts w:cs="Arial"/>
          <w:sz w:val="18"/>
          <w:szCs w:val="18"/>
          <w:lang w:val="fr-FR"/>
        </w:rPr>
        <w:t>.</w:t>
      </w:r>
    </w:p>
    <w:p w14:paraId="0C584370" w14:textId="77777777" w:rsidR="00883224" w:rsidRPr="00E21942" w:rsidRDefault="00883224" w:rsidP="00883224">
      <w:pPr>
        <w:spacing w:after="0" w:line="240" w:lineRule="auto"/>
        <w:ind w:left="1080"/>
        <w:rPr>
          <w:rFonts w:cs="Arial"/>
          <w:sz w:val="18"/>
          <w:szCs w:val="18"/>
          <w:lang w:val="fr-FR"/>
        </w:rPr>
      </w:pPr>
    </w:p>
    <w:p w14:paraId="311FC4C7" w14:textId="77777777" w:rsidR="00883224" w:rsidRPr="006F16DA" w:rsidRDefault="00883224" w:rsidP="00883224">
      <w:pPr>
        <w:pStyle w:val="Pardeliste"/>
        <w:numPr>
          <w:ilvl w:val="0"/>
          <w:numId w:val="1"/>
        </w:numPr>
        <w:tabs>
          <w:tab w:val="clear" w:pos="360"/>
          <w:tab w:val="num" w:pos="426"/>
        </w:tabs>
        <w:spacing w:after="0" w:line="240" w:lineRule="auto"/>
        <w:rPr>
          <w:rFonts w:cs="Arial"/>
          <w:color w:val="000000" w:themeColor="text1"/>
          <w:sz w:val="20"/>
          <w:szCs w:val="20"/>
          <w:lang w:val="fr-FR"/>
        </w:rPr>
      </w:pPr>
      <w:r w:rsidRPr="006F16DA">
        <w:rPr>
          <w:rFonts w:cs="Arial"/>
          <w:color w:val="000000" w:themeColor="text1"/>
          <w:sz w:val="20"/>
          <w:szCs w:val="20"/>
          <w:lang w:val="fr-FR"/>
        </w:rPr>
        <w:t>Loi N°10-028 du 12 juillet 2010 déterminant les principes de gestion des ressources du domaine forestier national.</w:t>
      </w:r>
    </w:p>
    <w:p w14:paraId="2ACCDCC3" w14:textId="77777777" w:rsidR="00883224" w:rsidRPr="006F16DA" w:rsidRDefault="00883224" w:rsidP="00883224">
      <w:pPr>
        <w:pStyle w:val="Pardeliste"/>
        <w:numPr>
          <w:ilvl w:val="1"/>
          <w:numId w:val="1"/>
        </w:numPr>
        <w:spacing w:after="0" w:line="240" w:lineRule="auto"/>
        <w:rPr>
          <w:rFonts w:cs="Arial"/>
          <w:color w:val="000000" w:themeColor="text1"/>
          <w:sz w:val="18"/>
          <w:szCs w:val="18"/>
          <w:lang w:val="fr-FR"/>
        </w:rPr>
      </w:pPr>
      <w:r w:rsidRPr="006F16DA">
        <w:rPr>
          <w:rFonts w:cs="Arial"/>
          <w:color w:val="000000" w:themeColor="text1"/>
          <w:sz w:val="18"/>
          <w:szCs w:val="18"/>
          <w:lang w:val="fr-FR"/>
        </w:rPr>
        <w:t>Décret N°10-387/P-RM du 26 juillet 2010 fixant la liste des essences forestières protégées et des essences forestières de valeur économique.</w:t>
      </w:r>
    </w:p>
    <w:p w14:paraId="103DEFD9" w14:textId="77777777" w:rsidR="00883224" w:rsidRPr="006F16DA" w:rsidRDefault="00883224" w:rsidP="00883224">
      <w:pPr>
        <w:pStyle w:val="Pardeliste"/>
        <w:numPr>
          <w:ilvl w:val="1"/>
          <w:numId w:val="1"/>
        </w:numPr>
        <w:spacing w:after="0" w:line="240" w:lineRule="auto"/>
        <w:rPr>
          <w:rFonts w:cs="Arial"/>
          <w:color w:val="000000" w:themeColor="text1"/>
          <w:sz w:val="18"/>
          <w:szCs w:val="18"/>
          <w:lang w:val="fr-FR"/>
        </w:rPr>
      </w:pPr>
      <w:r w:rsidRPr="006F16DA">
        <w:rPr>
          <w:rFonts w:cs="Arial"/>
          <w:color w:val="000000" w:themeColor="text1"/>
          <w:sz w:val="18"/>
          <w:szCs w:val="18"/>
          <w:lang w:val="fr-FR"/>
        </w:rPr>
        <w:t>Décret N°10-388/P-RM du 26 juillet 2010 fixant les taux des redevances perçues à l’occasion de l’exploitation des produits forestiers dans le domaine de l’Etat.</w:t>
      </w:r>
    </w:p>
    <w:p w14:paraId="3327047E" w14:textId="77777777" w:rsidR="00883224" w:rsidRPr="00CE03E2" w:rsidRDefault="00883224" w:rsidP="00883224">
      <w:pPr>
        <w:pStyle w:val="Pardeliste"/>
        <w:numPr>
          <w:ilvl w:val="1"/>
          <w:numId w:val="1"/>
        </w:numPr>
        <w:spacing w:after="0" w:line="240" w:lineRule="auto"/>
        <w:rPr>
          <w:rFonts w:cs="Arial"/>
          <w:sz w:val="18"/>
          <w:szCs w:val="18"/>
          <w:lang w:val="fr-FR"/>
        </w:rPr>
      </w:pPr>
      <w:r w:rsidRPr="006F16DA">
        <w:rPr>
          <w:rFonts w:cs="Arial"/>
          <w:color w:val="000000" w:themeColor="text1"/>
          <w:sz w:val="18"/>
          <w:szCs w:val="18"/>
          <w:lang w:val="fr-FR"/>
        </w:rPr>
        <w:t xml:space="preserve">Décret 2011-637/P-RM du 20 </w:t>
      </w:r>
      <w:r w:rsidRPr="00CE03E2">
        <w:rPr>
          <w:rFonts w:cs="Arial"/>
          <w:sz w:val="18"/>
          <w:szCs w:val="18"/>
          <w:lang w:val="fr-FR"/>
        </w:rPr>
        <w:t>septembre 2011 déterminant les conditions et modalités d’exercice des droits conférés par les titres d’exploitation et de transport des produits forestiers.</w:t>
      </w:r>
    </w:p>
    <w:p w14:paraId="7AE41323" w14:textId="77777777" w:rsidR="00883224" w:rsidRPr="00CE03E2" w:rsidRDefault="00883224" w:rsidP="00883224">
      <w:pPr>
        <w:pStyle w:val="Pardeliste"/>
        <w:numPr>
          <w:ilvl w:val="1"/>
          <w:numId w:val="1"/>
        </w:numPr>
        <w:spacing w:after="0" w:line="240" w:lineRule="auto"/>
        <w:rPr>
          <w:rFonts w:cs="Arial"/>
          <w:sz w:val="18"/>
          <w:szCs w:val="18"/>
          <w:lang w:val="fr-FR"/>
        </w:rPr>
      </w:pPr>
      <w:r w:rsidRPr="00CE03E2">
        <w:rPr>
          <w:rFonts w:cs="Arial"/>
          <w:sz w:val="18"/>
          <w:szCs w:val="18"/>
          <w:lang w:val="fr-FR"/>
        </w:rPr>
        <w:t>Décret N°2017-0845/P-RM du 09 octobre 2017 portant approbation de la politique forestière nationale et son plan d’actions 2018-2022.</w:t>
      </w:r>
    </w:p>
    <w:p w14:paraId="1ABF1CDA" w14:textId="77777777" w:rsidR="00883224" w:rsidRPr="00CE03E2" w:rsidRDefault="00883224" w:rsidP="00883224">
      <w:pPr>
        <w:pStyle w:val="Pardeliste"/>
        <w:spacing w:after="0" w:line="240" w:lineRule="auto"/>
        <w:ind w:left="1080"/>
        <w:rPr>
          <w:rFonts w:cs="Arial"/>
          <w:sz w:val="18"/>
          <w:szCs w:val="18"/>
          <w:lang w:val="fr-FR"/>
        </w:rPr>
      </w:pPr>
    </w:p>
    <w:p w14:paraId="30C2A9D8" w14:textId="77777777" w:rsidR="00883224" w:rsidRPr="00A73FCE" w:rsidRDefault="00883224" w:rsidP="00883224">
      <w:pPr>
        <w:spacing w:after="0" w:line="240" w:lineRule="auto"/>
        <w:rPr>
          <w:rFonts w:cs="Arial"/>
          <w:b/>
          <w:i/>
          <w:lang w:val="fr-FR"/>
        </w:rPr>
      </w:pPr>
      <w:r w:rsidRPr="00A73FCE">
        <w:rPr>
          <w:rFonts w:cs="Arial"/>
          <w:b/>
          <w:i/>
          <w:lang w:val="fr-FR"/>
        </w:rPr>
        <w:lastRenderedPageBreak/>
        <w:t>Faune</w:t>
      </w:r>
    </w:p>
    <w:p w14:paraId="36FA845C" w14:textId="77777777" w:rsidR="00883224" w:rsidRPr="00244609" w:rsidRDefault="00883224" w:rsidP="00883224">
      <w:pPr>
        <w:numPr>
          <w:ilvl w:val="0"/>
          <w:numId w:val="1"/>
        </w:numPr>
        <w:tabs>
          <w:tab w:val="clear" w:pos="360"/>
        </w:tabs>
        <w:spacing w:after="0" w:line="240" w:lineRule="auto"/>
        <w:ind w:left="540" w:hanging="540"/>
        <w:rPr>
          <w:rFonts w:cs="Arial"/>
          <w:sz w:val="20"/>
          <w:szCs w:val="20"/>
          <w:lang w:val="fr-FR"/>
        </w:rPr>
      </w:pPr>
      <w:r w:rsidRPr="00244609">
        <w:rPr>
          <w:rFonts w:cs="Arial"/>
          <w:sz w:val="20"/>
          <w:szCs w:val="20"/>
          <w:lang w:val="fr-FR"/>
        </w:rPr>
        <w:t xml:space="preserve">La loi n° 95-031 du 20 mars 1995, fixant les conditions de gestion de la faune sauvage et de son habitat </w:t>
      </w:r>
    </w:p>
    <w:p w14:paraId="43B47C70" w14:textId="77777777" w:rsidR="00883224" w:rsidRPr="00E21942" w:rsidRDefault="00883224" w:rsidP="00883224">
      <w:pPr>
        <w:spacing w:after="0" w:line="240" w:lineRule="auto"/>
        <w:ind w:left="708"/>
        <w:rPr>
          <w:rFonts w:cs="Arial"/>
          <w:sz w:val="18"/>
          <w:szCs w:val="18"/>
          <w:lang w:val="fr-FR"/>
        </w:rPr>
      </w:pPr>
      <w:r w:rsidRPr="00E21942">
        <w:rPr>
          <w:rFonts w:cs="Arial"/>
          <w:sz w:val="18"/>
          <w:szCs w:val="18"/>
          <w:lang w:val="fr-FR"/>
        </w:rPr>
        <w:t>Cette loi définit une « Réserve de Faune » comme une « aire mise à part pour la conservation, l’aménagement et la propagation de la vie animale sauvage ainsi pour la protection et l’aménagement de son habitat » (Article 16)</w:t>
      </w:r>
    </w:p>
    <w:p w14:paraId="7E16A54F" w14:textId="77777777" w:rsidR="00883224" w:rsidRPr="00E21942" w:rsidRDefault="00883224" w:rsidP="00883224">
      <w:pPr>
        <w:spacing w:after="0" w:line="240" w:lineRule="auto"/>
        <w:ind w:left="708"/>
        <w:rPr>
          <w:rFonts w:cs="Arial"/>
          <w:sz w:val="18"/>
          <w:szCs w:val="18"/>
          <w:lang w:val="fr-FR"/>
        </w:rPr>
      </w:pPr>
      <w:r w:rsidRPr="00E21942">
        <w:rPr>
          <w:rFonts w:cs="Arial"/>
          <w:sz w:val="18"/>
          <w:szCs w:val="18"/>
          <w:lang w:val="fr-FR"/>
        </w:rPr>
        <w:t>La loi stipule dans son Article 43, que dans la Réserve de Faune sont interdits la chasse, l’abattage ou la capture de la faune, sauf pour les besoins de l’aménagement pour atteindre les buts visés à l’Article 16, et seulement, lorsque ces mesures sont entreprises par les autorités de la réserve. Ainsi, ajoute-t-elle en son Article 44 que l’habitation et les autres activités humaines sont réglementées dans une réserve de faune dont le décret de création détermine les conditions particulières.</w:t>
      </w:r>
    </w:p>
    <w:p w14:paraId="45D0B29F" w14:textId="77777777" w:rsidR="00883224" w:rsidRDefault="00883224" w:rsidP="00883224">
      <w:pPr>
        <w:spacing w:after="0" w:line="240" w:lineRule="auto"/>
        <w:ind w:left="540"/>
        <w:rPr>
          <w:rFonts w:cs="Arial"/>
          <w:sz w:val="20"/>
          <w:szCs w:val="20"/>
          <w:lang w:val="fr-FR"/>
        </w:rPr>
      </w:pPr>
    </w:p>
    <w:p w14:paraId="72615F64" w14:textId="77777777" w:rsidR="00883224" w:rsidRPr="00643D65" w:rsidRDefault="00883224" w:rsidP="00883224">
      <w:pPr>
        <w:numPr>
          <w:ilvl w:val="0"/>
          <w:numId w:val="1"/>
        </w:numPr>
        <w:tabs>
          <w:tab w:val="clear" w:pos="360"/>
        </w:tabs>
        <w:spacing w:after="0" w:line="240" w:lineRule="auto"/>
        <w:ind w:left="567" w:hanging="567"/>
        <w:rPr>
          <w:rFonts w:cs="Arial"/>
          <w:sz w:val="20"/>
          <w:szCs w:val="20"/>
          <w:lang w:val="fr-FR"/>
        </w:rPr>
      </w:pPr>
      <w:r w:rsidRPr="00643D65">
        <w:rPr>
          <w:rFonts w:cs="Arial"/>
          <w:sz w:val="20"/>
          <w:szCs w:val="20"/>
          <w:lang w:val="fr-FR"/>
        </w:rPr>
        <w:t xml:space="preserve">Loi n°02-017 du 03 juin 2002 régissant la détention, le commerce, l’exploitation, la réexportation, l’importation, le transport, le transit de spécimen d’espèces de faune et flore sauvage et ses décrets </w:t>
      </w:r>
    </w:p>
    <w:p w14:paraId="1C95732B" w14:textId="77777777" w:rsidR="00883224" w:rsidRPr="00643D65" w:rsidRDefault="00883224" w:rsidP="00883224">
      <w:pPr>
        <w:numPr>
          <w:ilvl w:val="1"/>
          <w:numId w:val="1"/>
        </w:numPr>
        <w:spacing w:after="0" w:line="240" w:lineRule="auto"/>
        <w:ind w:left="1134" w:hanging="425"/>
        <w:rPr>
          <w:rFonts w:cs="Arial"/>
          <w:sz w:val="18"/>
          <w:szCs w:val="18"/>
          <w:lang w:val="fr-FR"/>
        </w:rPr>
      </w:pPr>
      <w:r w:rsidRPr="00643D65">
        <w:rPr>
          <w:rFonts w:cs="Arial"/>
          <w:sz w:val="18"/>
          <w:szCs w:val="18"/>
          <w:lang w:val="fr-FR"/>
        </w:rPr>
        <w:t>1- Décret N°01-136/P-RM du 23 mars 2001 fixant les taux des redevances et des taxes perçues à l’occasion de l’exploitation de la faune sauvage dans le domaine faunique de l’Etat</w:t>
      </w:r>
      <w:r>
        <w:rPr>
          <w:rFonts w:cs="Arial"/>
          <w:sz w:val="18"/>
          <w:szCs w:val="18"/>
          <w:lang w:val="fr-FR"/>
        </w:rPr>
        <w:t> </w:t>
      </w:r>
      <w:r w:rsidRPr="00643D65">
        <w:rPr>
          <w:rFonts w:cs="Arial"/>
          <w:sz w:val="18"/>
          <w:szCs w:val="18"/>
          <w:lang w:val="fr-FR"/>
        </w:rPr>
        <w:t>;</w:t>
      </w:r>
    </w:p>
    <w:p w14:paraId="2C700B91" w14:textId="77777777" w:rsidR="00883224" w:rsidRPr="00643D65" w:rsidRDefault="00883224" w:rsidP="00883224">
      <w:pPr>
        <w:numPr>
          <w:ilvl w:val="1"/>
          <w:numId w:val="1"/>
        </w:numPr>
        <w:spacing w:after="0" w:line="240" w:lineRule="auto"/>
        <w:ind w:left="1134" w:hanging="425"/>
        <w:rPr>
          <w:rFonts w:cs="Arial"/>
          <w:sz w:val="18"/>
          <w:szCs w:val="18"/>
          <w:lang w:val="fr-FR"/>
        </w:rPr>
      </w:pPr>
      <w:r w:rsidRPr="00643D65">
        <w:rPr>
          <w:rFonts w:cs="Arial"/>
          <w:sz w:val="18"/>
          <w:szCs w:val="18"/>
          <w:lang w:val="fr-FR"/>
        </w:rPr>
        <w:t>2- Décret N°99-321/P-RM du 4 octobre 1999 fixant les modalités de classement, de déclassement des réserves de faune, des sanctuaires et les modalités de création des zones d’intérêt cynégétique et des ranches de gibier dans le domaine faunique de l’Etat</w:t>
      </w:r>
      <w:r>
        <w:rPr>
          <w:rFonts w:cs="Arial"/>
          <w:sz w:val="18"/>
          <w:szCs w:val="18"/>
          <w:lang w:val="fr-FR"/>
        </w:rPr>
        <w:t> </w:t>
      </w:r>
      <w:r w:rsidRPr="00643D65">
        <w:rPr>
          <w:rFonts w:cs="Arial"/>
          <w:sz w:val="18"/>
          <w:szCs w:val="18"/>
          <w:lang w:val="fr-FR"/>
        </w:rPr>
        <w:t>;</w:t>
      </w:r>
    </w:p>
    <w:p w14:paraId="6178966F" w14:textId="77777777" w:rsidR="00883224" w:rsidRPr="00643D65" w:rsidRDefault="00883224" w:rsidP="00883224">
      <w:pPr>
        <w:numPr>
          <w:ilvl w:val="1"/>
          <w:numId w:val="1"/>
        </w:numPr>
        <w:spacing w:after="0" w:line="240" w:lineRule="auto"/>
        <w:ind w:left="1134" w:hanging="425"/>
        <w:rPr>
          <w:rFonts w:cs="Arial"/>
          <w:sz w:val="18"/>
          <w:szCs w:val="18"/>
          <w:lang w:val="fr-FR"/>
        </w:rPr>
      </w:pPr>
      <w:r w:rsidRPr="00643D65">
        <w:rPr>
          <w:rFonts w:cs="Arial"/>
          <w:sz w:val="18"/>
          <w:szCs w:val="18"/>
          <w:lang w:val="fr-FR"/>
        </w:rPr>
        <w:t>3- Décret N°97-051/P-RM du 31 janvier 1997 fixant les conditions et les modalités d’exercice de la profession de guide de chasse</w:t>
      </w:r>
      <w:r>
        <w:rPr>
          <w:rFonts w:cs="Arial"/>
          <w:sz w:val="18"/>
          <w:szCs w:val="18"/>
          <w:lang w:val="fr-FR"/>
        </w:rPr>
        <w:t> </w:t>
      </w:r>
      <w:r w:rsidRPr="00643D65">
        <w:rPr>
          <w:rFonts w:cs="Arial"/>
          <w:sz w:val="18"/>
          <w:szCs w:val="18"/>
          <w:lang w:val="fr-FR"/>
        </w:rPr>
        <w:t>;</w:t>
      </w:r>
    </w:p>
    <w:p w14:paraId="6A301B94" w14:textId="77777777" w:rsidR="00883224" w:rsidRPr="00643D65" w:rsidRDefault="00883224" w:rsidP="00883224">
      <w:pPr>
        <w:numPr>
          <w:ilvl w:val="1"/>
          <w:numId w:val="1"/>
        </w:numPr>
        <w:spacing w:after="0" w:line="240" w:lineRule="auto"/>
        <w:ind w:left="1134" w:hanging="425"/>
        <w:rPr>
          <w:rFonts w:cs="Arial"/>
          <w:sz w:val="18"/>
          <w:szCs w:val="18"/>
          <w:lang w:val="fr-FR"/>
        </w:rPr>
      </w:pPr>
      <w:r w:rsidRPr="00643D65">
        <w:rPr>
          <w:rFonts w:cs="Arial"/>
          <w:sz w:val="18"/>
          <w:szCs w:val="18"/>
          <w:lang w:val="fr-FR"/>
        </w:rPr>
        <w:t>4- Décret N°97-052/P-RM du 31 janvier 1997 fixant les modalités et conditions d’exercice des droits conférés par les titres de chasse</w:t>
      </w:r>
      <w:r>
        <w:rPr>
          <w:rFonts w:cs="Arial"/>
          <w:sz w:val="18"/>
          <w:szCs w:val="18"/>
          <w:lang w:val="fr-FR"/>
        </w:rPr>
        <w:t> </w:t>
      </w:r>
      <w:r w:rsidRPr="00643D65">
        <w:rPr>
          <w:rFonts w:cs="Arial"/>
          <w:sz w:val="18"/>
          <w:szCs w:val="18"/>
          <w:lang w:val="fr-FR"/>
        </w:rPr>
        <w:t>;</w:t>
      </w:r>
    </w:p>
    <w:p w14:paraId="529EF540" w14:textId="77777777" w:rsidR="00883224" w:rsidRPr="00643D65" w:rsidRDefault="00883224" w:rsidP="00883224">
      <w:pPr>
        <w:numPr>
          <w:ilvl w:val="1"/>
          <w:numId w:val="1"/>
        </w:numPr>
        <w:spacing w:after="0" w:line="240" w:lineRule="auto"/>
        <w:ind w:left="1134" w:hanging="425"/>
        <w:rPr>
          <w:rFonts w:cs="Arial"/>
          <w:sz w:val="18"/>
          <w:szCs w:val="18"/>
          <w:lang w:val="fr-FR"/>
        </w:rPr>
      </w:pPr>
      <w:r w:rsidRPr="00643D65">
        <w:rPr>
          <w:rFonts w:cs="Arial"/>
          <w:sz w:val="18"/>
          <w:szCs w:val="18"/>
          <w:lang w:val="fr-FR"/>
        </w:rPr>
        <w:t>5- Décret N°00-021/P-RM du 19 janvier 2000 fixant les attributions, la composition, l’organisation et les modalités de fonctionnement des conseils de chasse</w:t>
      </w:r>
      <w:r w:rsidR="001C565E">
        <w:rPr>
          <w:rFonts w:cs="Arial"/>
          <w:sz w:val="18"/>
          <w:szCs w:val="18"/>
          <w:lang w:val="fr-FR"/>
        </w:rPr>
        <w:t> ;</w:t>
      </w:r>
    </w:p>
    <w:p w14:paraId="37337516" w14:textId="77777777" w:rsidR="00883224" w:rsidRPr="00643D65" w:rsidRDefault="00883224" w:rsidP="00883224">
      <w:pPr>
        <w:numPr>
          <w:ilvl w:val="1"/>
          <w:numId w:val="1"/>
        </w:numPr>
        <w:spacing w:after="0" w:line="240" w:lineRule="auto"/>
        <w:ind w:left="1134" w:hanging="425"/>
        <w:rPr>
          <w:rFonts w:cs="Arial"/>
          <w:sz w:val="18"/>
          <w:szCs w:val="18"/>
          <w:lang w:val="fr-FR"/>
        </w:rPr>
      </w:pPr>
      <w:r w:rsidRPr="00643D65">
        <w:rPr>
          <w:rFonts w:cs="Arial"/>
          <w:sz w:val="18"/>
          <w:szCs w:val="18"/>
          <w:lang w:val="fr-FR"/>
        </w:rPr>
        <w:t xml:space="preserve">6- Décret n°98-0139/MDRE-SG du 12 février 1998 définissant les conditions de délivrance des permis et des autorisations spéciales de chasse aux étrangers </w:t>
      </w:r>
      <w:r w:rsidR="001C565E" w:rsidRPr="00643D65">
        <w:rPr>
          <w:rFonts w:cs="Arial"/>
          <w:sz w:val="18"/>
          <w:szCs w:val="18"/>
          <w:lang w:val="fr-FR"/>
        </w:rPr>
        <w:t>non-résidents</w:t>
      </w:r>
      <w:r w:rsidR="001C565E">
        <w:rPr>
          <w:rFonts w:cs="Arial"/>
          <w:sz w:val="18"/>
          <w:szCs w:val="18"/>
          <w:lang w:val="fr-FR"/>
        </w:rPr>
        <w:t> ;</w:t>
      </w:r>
    </w:p>
    <w:p w14:paraId="4C1FA8DB" w14:textId="77777777" w:rsidR="00883224" w:rsidRPr="00643D65" w:rsidRDefault="00883224" w:rsidP="00883224">
      <w:pPr>
        <w:numPr>
          <w:ilvl w:val="1"/>
          <w:numId w:val="1"/>
        </w:numPr>
        <w:spacing w:after="0" w:line="240" w:lineRule="auto"/>
        <w:ind w:left="1134" w:hanging="425"/>
        <w:rPr>
          <w:rFonts w:cs="Arial"/>
          <w:sz w:val="18"/>
          <w:szCs w:val="18"/>
          <w:lang w:val="fr-FR"/>
        </w:rPr>
      </w:pPr>
      <w:r w:rsidRPr="00643D65">
        <w:rPr>
          <w:rFonts w:cs="Arial"/>
          <w:sz w:val="18"/>
          <w:szCs w:val="18"/>
          <w:lang w:val="fr-FR"/>
        </w:rPr>
        <w:t>7- Arrêté n°95-2789/MMR-SG du 14 novembre 1995 déterminant les conditions d’exercer la chasse rituelle et du droit d’usage en matière de chasse</w:t>
      </w:r>
      <w:r>
        <w:rPr>
          <w:rFonts w:cs="Arial"/>
          <w:sz w:val="18"/>
          <w:szCs w:val="18"/>
          <w:lang w:val="fr-FR"/>
        </w:rPr>
        <w:t> </w:t>
      </w:r>
      <w:r w:rsidRPr="00643D65">
        <w:rPr>
          <w:rFonts w:cs="Arial"/>
          <w:sz w:val="18"/>
          <w:szCs w:val="18"/>
          <w:lang w:val="fr-FR"/>
        </w:rPr>
        <w:t>;</w:t>
      </w:r>
    </w:p>
    <w:p w14:paraId="759DA78E" w14:textId="77777777" w:rsidR="00883224" w:rsidRPr="00643D65" w:rsidRDefault="00883224" w:rsidP="00883224">
      <w:pPr>
        <w:numPr>
          <w:ilvl w:val="1"/>
          <w:numId w:val="1"/>
        </w:numPr>
        <w:spacing w:after="0" w:line="240" w:lineRule="auto"/>
        <w:ind w:left="1134" w:hanging="425"/>
        <w:rPr>
          <w:rFonts w:cs="Arial"/>
          <w:sz w:val="18"/>
          <w:szCs w:val="18"/>
          <w:lang w:val="fr-FR"/>
        </w:rPr>
      </w:pPr>
      <w:r w:rsidRPr="00643D65">
        <w:rPr>
          <w:rFonts w:cs="Arial"/>
          <w:sz w:val="18"/>
          <w:szCs w:val="18"/>
          <w:lang w:val="fr-FR"/>
        </w:rPr>
        <w:t>8- Arrêté n°97-0972/MAT./MDRE/MFC/MIAT-SG du 12 juin 1997 portant réglementation de l’importation temporaire d’armes de chasse par les touristes</w:t>
      </w:r>
      <w:r w:rsidR="001C565E">
        <w:rPr>
          <w:rFonts w:cs="Arial"/>
          <w:sz w:val="18"/>
          <w:szCs w:val="18"/>
          <w:lang w:val="fr-FR"/>
        </w:rPr>
        <w:t>.</w:t>
      </w:r>
    </w:p>
    <w:p w14:paraId="3C31F629" w14:textId="77777777" w:rsidR="00883224" w:rsidRPr="00244609" w:rsidRDefault="00883224" w:rsidP="00883224">
      <w:pPr>
        <w:spacing w:after="0" w:line="240" w:lineRule="auto"/>
        <w:ind w:left="540"/>
        <w:rPr>
          <w:rFonts w:cs="Arial"/>
          <w:sz w:val="20"/>
          <w:szCs w:val="20"/>
          <w:lang w:val="fr-FR"/>
        </w:rPr>
      </w:pPr>
    </w:p>
    <w:p w14:paraId="63BD5B3C" w14:textId="77777777" w:rsidR="00883224" w:rsidRPr="00A73FCE" w:rsidRDefault="00883224" w:rsidP="00883224">
      <w:pPr>
        <w:spacing w:after="0" w:line="240" w:lineRule="auto"/>
        <w:rPr>
          <w:rFonts w:cs="Arial"/>
          <w:b/>
          <w:i/>
          <w:lang w:val="fr-FR"/>
        </w:rPr>
      </w:pPr>
      <w:r w:rsidRPr="00A73FCE">
        <w:rPr>
          <w:rFonts w:cs="Arial"/>
          <w:b/>
          <w:i/>
          <w:lang w:val="fr-FR"/>
        </w:rPr>
        <w:t>Agriculture, élevage, pêche</w:t>
      </w:r>
    </w:p>
    <w:p w14:paraId="7261EC8D" w14:textId="77777777" w:rsidR="00883224" w:rsidRPr="006F16DA" w:rsidRDefault="00883224" w:rsidP="00883224">
      <w:pPr>
        <w:pStyle w:val="Pardeliste"/>
        <w:numPr>
          <w:ilvl w:val="0"/>
          <w:numId w:val="1"/>
        </w:numPr>
        <w:tabs>
          <w:tab w:val="clear" w:pos="360"/>
          <w:tab w:val="num" w:pos="567"/>
        </w:tabs>
        <w:autoSpaceDE w:val="0"/>
        <w:autoSpaceDN w:val="0"/>
        <w:adjustRightInd w:val="0"/>
        <w:spacing w:after="0" w:line="240" w:lineRule="auto"/>
        <w:ind w:left="567" w:hanging="567"/>
        <w:rPr>
          <w:rFonts w:eastAsia="Times New Roman" w:cs="Arial"/>
          <w:color w:val="000000" w:themeColor="text1"/>
          <w:sz w:val="20"/>
          <w:szCs w:val="20"/>
          <w:lang w:val="fr-FR" w:eastAsia="fr-FR"/>
        </w:rPr>
      </w:pPr>
      <w:r w:rsidRPr="006F16DA">
        <w:rPr>
          <w:rFonts w:eastAsia="Times New Roman" w:cs="Arial"/>
          <w:color w:val="000000" w:themeColor="text1"/>
          <w:sz w:val="20"/>
          <w:szCs w:val="20"/>
          <w:lang w:val="fr-FR" w:eastAsia="fr-FR"/>
        </w:rPr>
        <w:t xml:space="preserve">Loi n°02-013 du 03 juin 2002 instituant le contrôle phytosanitaire en République du Mali. </w:t>
      </w:r>
    </w:p>
    <w:p w14:paraId="31BCE2AC" w14:textId="77777777" w:rsidR="00883224" w:rsidRPr="006F16DA" w:rsidRDefault="00883224" w:rsidP="00883224">
      <w:pPr>
        <w:pStyle w:val="Pardeliste"/>
        <w:autoSpaceDE w:val="0"/>
        <w:autoSpaceDN w:val="0"/>
        <w:adjustRightInd w:val="0"/>
        <w:spacing w:after="0" w:line="240" w:lineRule="auto"/>
        <w:ind w:left="567"/>
        <w:rPr>
          <w:rFonts w:eastAsia="Times New Roman" w:cs="Arial"/>
          <w:color w:val="000000" w:themeColor="text1"/>
          <w:sz w:val="20"/>
          <w:szCs w:val="20"/>
          <w:lang w:val="fr-FR" w:eastAsia="fr-FR"/>
        </w:rPr>
      </w:pPr>
    </w:p>
    <w:p w14:paraId="3650A74B" w14:textId="77777777" w:rsidR="00883224" w:rsidRPr="006F16DA" w:rsidRDefault="00883224" w:rsidP="00883224">
      <w:pPr>
        <w:pStyle w:val="Pardeliste"/>
        <w:numPr>
          <w:ilvl w:val="0"/>
          <w:numId w:val="1"/>
        </w:numPr>
        <w:tabs>
          <w:tab w:val="clear" w:pos="360"/>
          <w:tab w:val="num" w:pos="567"/>
        </w:tabs>
        <w:autoSpaceDE w:val="0"/>
        <w:autoSpaceDN w:val="0"/>
        <w:adjustRightInd w:val="0"/>
        <w:spacing w:after="0" w:line="240" w:lineRule="auto"/>
        <w:ind w:left="567" w:hanging="567"/>
        <w:rPr>
          <w:rFonts w:eastAsia="Times New Roman" w:cs="Arial"/>
          <w:color w:val="000000" w:themeColor="text1"/>
          <w:sz w:val="20"/>
          <w:szCs w:val="20"/>
          <w:lang w:val="fr-FR" w:eastAsia="fr-FR"/>
        </w:rPr>
      </w:pPr>
      <w:r w:rsidRPr="006F16DA">
        <w:rPr>
          <w:rFonts w:eastAsia="Times New Roman" w:cs="Arial"/>
          <w:color w:val="000000" w:themeColor="text1"/>
          <w:sz w:val="20"/>
          <w:szCs w:val="20"/>
          <w:lang w:val="fr-FR" w:eastAsia="fr-FR"/>
        </w:rPr>
        <w:t>Loi n°03-104 du 03 Juin 2003 instituant l</w:t>
      </w:r>
      <w:r>
        <w:rPr>
          <w:rFonts w:eastAsia="Times New Roman" w:cs="Arial"/>
          <w:color w:val="000000" w:themeColor="text1"/>
          <w:sz w:val="20"/>
          <w:szCs w:val="20"/>
          <w:lang w:val="fr-FR" w:eastAsia="fr-FR"/>
        </w:rPr>
        <w:t>’</w:t>
      </w:r>
      <w:r w:rsidRPr="006F16DA">
        <w:rPr>
          <w:rFonts w:eastAsia="Times New Roman" w:cs="Arial"/>
          <w:color w:val="000000" w:themeColor="text1"/>
          <w:sz w:val="20"/>
          <w:szCs w:val="20"/>
          <w:lang w:val="fr-FR" w:eastAsia="fr-FR"/>
        </w:rPr>
        <w:t xml:space="preserve">Homologation et le Contrôle des Pesticides en République du Mali. </w:t>
      </w:r>
    </w:p>
    <w:p w14:paraId="4F2EB4AC" w14:textId="77777777" w:rsidR="00883224" w:rsidRDefault="00883224" w:rsidP="00883224">
      <w:pPr>
        <w:pStyle w:val="Pardeliste"/>
        <w:rPr>
          <w:rFonts w:cs="Arial"/>
          <w:color w:val="000000" w:themeColor="text1"/>
          <w:sz w:val="20"/>
          <w:szCs w:val="20"/>
          <w:lang w:val="fr-FR"/>
        </w:rPr>
      </w:pPr>
    </w:p>
    <w:p w14:paraId="4DD60ED0" w14:textId="77777777" w:rsidR="00883224" w:rsidRPr="006F16DA" w:rsidRDefault="00883224" w:rsidP="00883224">
      <w:pPr>
        <w:pStyle w:val="Pardeliste"/>
        <w:numPr>
          <w:ilvl w:val="0"/>
          <w:numId w:val="1"/>
        </w:numPr>
        <w:tabs>
          <w:tab w:val="clear" w:pos="360"/>
          <w:tab w:val="num" w:pos="567"/>
        </w:tabs>
        <w:spacing w:after="0" w:line="240" w:lineRule="auto"/>
        <w:ind w:left="567" w:hanging="567"/>
        <w:rPr>
          <w:rFonts w:cs="Arial"/>
          <w:color w:val="000000" w:themeColor="text1"/>
          <w:sz w:val="20"/>
          <w:szCs w:val="20"/>
          <w:lang w:val="fr-FR"/>
        </w:rPr>
      </w:pPr>
      <w:r w:rsidRPr="006F16DA">
        <w:rPr>
          <w:rFonts w:cs="Arial"/>
          <w:color w:val="000000" w:themeColor="text1"/>
          <w:sz w:val="20"/>
          <w:szCs w:val="20"/>
          <w:lang w:val="fr-FR"/>
        </w:rPr>
        <w:t>Loi N°06-045/AN-RM du 05 septembre 2006 portant loi d’orientation agricole</w:t>
      </w:r>
      <w:r>
        <w:rPr>
          <w:rFonts w:cs="Arial"/>
          <w:color w:val="000000" w:themeColor="text1"/>
          <w:sz w:val="20"/>
          <w:szCs w:val="20"/>
          <w:lang w:val="fr-FR"/>
        </w:rPr>
        <w:t> </w:t>
      </w:r>
      <w:r w:rsidRPr="006F16DA">
        <w:rPr>
          <w:rFonts w:cs="Arial"/>
          <w:color w:val="000000" w:themeColor="text1"/>
          <w:sz w:val="20"/>
          <w:szCs w:val="20"/>
          <w:lang w:val="fr-FR"/>
        </w:rPr>
        <w:t>: Elle traite des orientations de la politique de développement agricole au Mali. Cette loi a pour but de promouvoir une agriculture durable, moderne et compétitive qui repose de façon prioritaire sur les exploitations agricoles reconnues et sécurisées (article 3). Elle vise aussi à garantir la souveraineté alimentaire et à faire du secteur agricole le moteur de l’économie nationale en vue d’assurer le bien-être des populations.</w:t>
      </w:r>
    </w:p>
    <w:p w14:paraId="280323B8" w14:textId="77777777" w:rsidR="00883224" w:rsidRPr="0011274B" w:rsidRDefault="00883224" w:rsidP="00883224">
      <w:pPr>
        <w:pStyle w:val="Pardeliste"/>
        <w:rPr>
          <w:rFonts w:cs="Arial"/>
          <w:color w:val="000000" w:themeColor="text1"/>
          <w:sz w:val="18"/>
          <w:szCs w:val="18"/>
          <w:lang w:val="fr-FR"/>
        </w:rPr>
      </w:pPr>
    </w:p>
    <w:p w14:paraId="1B7E21BD" w14:textId="77777777" w:rsidR="00883224" w:rsidRPr="006F16DA" w:rsidRDefault="00883224" w:rsidP="00883224">
      <w:pPr>
        <w:pStyle w:val="Pardeliste"/>
        <w:numPr>
          <w:ilvl w:val="0"/>
          <w:numId w:val="12"/>
        </w:numPr>
        <w:tabs>
          <w:tab w:val="clear" w:pos="360"/>
          <w:tab w:val="num" w:pos="1134"/>
        </w:tabs>
        <w:spacing w:after="0" w:line="240" w:lineRule="auto"/>
        <w:ind w:left="1134" w:hanging="283"/>
        <w:rPr>
          <w:rFonts w:cs="Arial"/>
          <w:color w:val="000000" w:themeColor="text1"/>
          <w:sz w:val="18"/>
          <w:szCs w:val="18"/>
          <w:lang w:val="fr-FR"/>
        </w:rPr>
      </w:pPr>
      <w:r w:rsidRPr="006F16DA">
        <w:rPr>
          <w:rFonts w:cs="Arial"/>
          <w:color w:val="000000" w:themeColor="text1"/>
          <w:sz w:val="18"/>
          <w:szCs w:val="18"/>
          <w:lang w:val="fr-FR"/>
        </w:rPr>
        <w:t>Décret N°09-011/P-RM du 19 janvier 2009 fixant les attributions, la composition et les modalités de fonctionnement des commissions foncières locales et communales.</w:t>
      </w:r>
    </w:p>
    <w:p w14:paraId="50E1059C" w14:textId="77777777" w:rsidR="00883224" w:rsidRPr="006F16DA" w:rsidRDefault="00883224" w:rsidP="00883224">
      <w:pPr>
        <w:pStyle w:val="Pardeliste"/>
        <w:spacing w:after="0" w:line="240" w:lineRule="auto"/>
        <w:ind w:left="1700"/>
        <w:rPr>
          <w:rFonts w:cs="Arial"/>
          <w:color w:val="000000" w:themeColor="text1"/>
          <w:sz w:val="18"/>
          <w:szCs w:val="18"/>
          <w:lang w:val="fr-FR"/>
        </w:rPr>
      </w:pPr>
      <w:r w:rsidRPr="006F16DA">
        <w:rPr>
          <w:rFonts w:cs="Arial"/>
          <w:color w:val="000000" w:themeColor="text1"/>
          <w:sz w:val="18"/>
          <w:szCs w:val="18"/>
          <w:lang w:val="fr-FR"/>
        </w:rPr>
        <w:t>-Article 2</w:t>
      </w:r>
      <w:r>
        <w:rPr>
          <w:rFonts w:cs="Arial"/>
          <w:color w:val="000000" w:themeColor="text1"/>
          <w:sz w:val="18"/>
          <w:szCs w:val="18"/>
          <w:lang w:val="fr-FR"/>
        </w:rPr>
        <w:t> </w:t>
      </w:r>
      <w:r w:rsidRPr="006F16DA">
        <w:rPr>
          <w:rFonts w:cs="Arial"/>
          <w:color w:val="000000" w:themeColor="text1"/>
          <w:sz w:val="18"/>
          <w:szCs w:val="18"/>
          <w:lang w:val="fr-FR"/>
        </w:rPr>
        <w:t>: Les commissions foncières locales et communales sont chargées de i) procéder à la conciliation des parties à un litige foncier agricole, préalablement à la saisine des juridictions compétentes, ii) contribuer à l’inventaire des us et coutumes en matière foncière, iii) participer à l’élaboration et à la mise en œuvre de la politique de gestion foncière de la collectivité concernée, iv) donner un avis sur toutes les questions foncières dont elles sont saisies.</w:t>
      </w:r>
    </w:p>
    <w:p w14:paraId="63A1031E" w14:textId="77777777" w:rsidR="00883224" w:rsidRPr="006F16DA" w:rsidRDefault="00883224" w:rsidP="00883224">
      <w:pPr>
        <w:pStyle w:val="Pardeliste"/>
        <w:numPr>
          <w:ilvl w:val="1"/>
          <w:numId w:val="1"/>
        </w:numPr>
        <w:tabs>
          <w:tab w:val="clear" w:pos="1080"/>
          <w:tab w:val="num" w:pos="1134"/>
        </w:tabs>
        <w:spacing w:after="0" w:line="240" w:lineRule="auto"/>
        <w:ind w:hanging="229"/>
        <w:rPr>
          <w:rFonts w:cs="Arial"/>
          <w:color w:val="000000" w:themeColor="text1"/>
          <w:sz w:val="18"/>
          <w:szCs w:val="18"/>
          <w:lang w:val="fr-FR"/>
        </w:rPr>
      </w:pPr>
      <w:r w:rsidRPr="006F16DA">
        <w:rPr>
          <w:rFonts w:cs="Arial"/>
          <w:color w:val="000000" w:themeColor="text1"/>
          <w:sz w:val="18"/>
          <w:szCs w:val="18"/>
          <w:lang w:val="fr-FR"/>
        </w:rPr>
        <w:t xml:space="preserve">Décret N°09-314/P-RM du 19 juin 2009 relatif à la qualité et à la labellisation des produits agricoles qui dans son article 2 définit l’agriculture biologique. </w:t>
      </w:r>
    </w:p>
    <w:p w14:paraId="330180BF" w14:textId="77777777" w:rsidR="00883224" w:rsidRPr="006F16DA" w:rsidRDefault="00883224" w:rsidP="00883224">
      <w:pPr>
        <w:pStyle w:val="Pardeliste"/>
        <w:spacing w:after="0" w:line="240" w:lineRule="auto"/>
        <w:ind w:left="567"/>
        <w:rPr>
          <w:rFonts w:cs="Arial"/>
          <w:color w:val="000000" w:themeColor="text1"/>
          <w:sz w:val="20"/>
          <w:szCs w:val="20"/>
          <w:lang w:val="fr-FR"/>
        </w:rPr>
      </w:pPr>
    </w:p>
    <w:p w14:paraId="5BB4F9F9" w14:textId="77777777" w:rsidR="00883224" w:rsidRPr="006F16DA" w:rsidRDefault="00883224" w:rsidP="00883224">
      <w:pPr>
        <w:pStyle w:val="Pardeliste"/>
        <w:numPr>
          <w:ilvl w:val="0"/>
          <w:numId w:val="1"/>
        </w:numPr>
        <w:tabs>
          <w:tab w:val="clear" w:pos="360"/>
          <w:tab w:val="num" w:pos="567"/>
        </w:tabs>
        <w:spacing w:after="0" w:line="240" w:lineRule="auto"/>
        <w:ind w:left="567"/>
        <w:rPr>
          <w:rFonts w:cs="Arial"/>
          <w:color w:val="000000" w:themeColor="text1"/>
          <w:sz w:val="20"/>
          <w:szCs w:val="20"/>
          <w:lang w:val="fr-FR"/>
        </w:rPr>
      </w:pPr>
      <w:r w:rsidRPr="006F16DA">
        <w:rPr>
          <w:rFonts w:cs="Arial"/>
          <w:color w:val="000000" w:themeColor="text1"/>
          <w:sz w:val="20"/>
          <w:szCs w:val="20"/>
          <w:lang w:val="fr-FR"/>
        </w:rPr>
        <w:t xml:space="preserve">Loi N°08 du 28 février 2008 relative au contrôle de qualité des engrais </w:t>
      </w:r>
    </w:p>
    <w:p w14:paraId="48E6B673" w14:textId="77777777" w:rsidR="00883224" w:rsidRPr="006F16DA" w:rsidRDefault="00883224" w:rsidP="00883224">
      <w:pPr>
        <w:pStyle w:val="Pardeliste"/>
        <w:numPr>
          <w:ilvl w:val="1"/>
          <w:numId w:val="1"/>
        </w:numPr>
        <w:spacing w:after="0" w:line="240" w:lineRule="auto"/>
        <w:rPr>
          <w:rFonts w:cs="Arial"/>
          <w:color w:val="000000" w:themeColor="text1"/>
          <w:sz w:val="20"/>
          <w:szCs w:val="20"/>
          <w:lang w:val="fr-FR"/>
        </w:rPr>
      </w:pPr>
      <w:r w:rsidRPr="006F16DA">
        <w:rPr>
          <w:rFonts w:cs="Arial"/>
          <w:color w:val="000000" w:themeColor="text1"/>
          <w:sz w:val="20"/>
          <w:szCs w:val="20"/>
          <w:lang w:val="fr-FR"/>
        </w:rPr>
        <w:t>Décret N°08 177/P-RM du 27 mars 2008 fixant les modalités d’application de la loi relative au contrôle de qualité des engrais.</w:t>
      </w:r>
    </w:p>
    <w:p w14:paraId="55F23052" w14:textId="77777777" w:rsidR="00883224" w:rsidRPr="006F16DA" w:rsidRDefault="00883224" w:rsidP="00883224">
      <w:pPr>
        <w:pStyle w:val="Pardeliste"/>
        <w:spacing w:after="0" w:line="240" w:lineRule="auto"/>
        <w:ind w:left="1416"/>
        <w:rPr>
          <w:rFonts w:cs="Arial"/>
          <w:color w:val="000000" w:themeColor="text1"/>
          <w:sz w:val="18"/>
          <w:szCs w:val="18"/>
          <w:lang w:val="fr-FR"/>
        </w:rPr>
      </w:pPr>
      <w:r w:rsidRPr="006F16DA">
        <w:rPr>
          <w:rFonts w:cs="Arial"/>
          <w:color w:val="000000" w:themeColor="text1"/>
          <w:sz w:val="18"/>
          <w:szCs w:val="18"/>
          <w:lang w:val="fr-FR"/>
        </w:rPr>
        <w:t>Article 3</w:t>
      </w:r>
      <w:r>
        <w:rPr>
          <w:rFonts w:cs="Arial"/>
          <w:color w:val="000000" w:themeColor="text1"/>
          <w:sz w:val="18"/>
          <w:szCs w:val="18"/>
          <w:lang w:val="fr-FR"/>
        </w:rPr>
        <w:t> </w:t>
      </w:r>
      <w:r w:rsidRPr="006F16DA">
        <w:rPr>
          <w:rFonts w:cs="Arial"/>
          <w:color w:val="000000" w:themeColor="text1"/>
          <w:sz w:val="18"/>
          <w:szCs w:val="18"/>
          <w:lang w:val="fr-FR"/>
        </w:rPr>
        <w:t>: Le contrôle des engrais est instauré aux fins de garantir la qualité et de prévenir les problèmes écologiques liés à l’utilisation des engrais notamment l’eutrophisation des eaux de surface, l’accumulation de nitrates dans la nappe, l’acidification des sols et l’émission d’oxyde nitreux (N20).</w:t>
      </w:r>
    </w:p>
    <w:p w14:paraId="47348BC3" w14:textId="77777777" w:rsidR="00883224" w:rsidRPr="006F16DA" w:rsidRDefault="00883224" w:rsidP="00883224">
      <w:pPr>
        <w:pStyle w:val="Pardeliste"/>
        <w:spacing w:after="0" w:line="240" w:lineRule="auto"/>
        <w:ind w:left="567"/>
        <w:rPr>
          <w:rFonts w:cs="Arial"/>
          <w:color w:val="000000" w:themeColor="text1"/>
          <w:sz w:val="20"/>
          <w:szCs w:val="20"/>
          <w:lang w:val="fr-FR"/>
        </w:rPr>
      </w:pPr>
    </w:p>
    <w:p w14:paraId="45E286BD" w14:textId="77777777" w:rsidR="00883224" w:rsidRPr="006F16DA" w:rsidRDefault="00883224" w:rsidP="00883224">
      <w:pPr>
        <w:pStyle w:val="Pardeliste"/>
        <w:numPr>
          <w:ilvl w:val="0"/>
          <w:numId w:val="1"/>
        </w:numPr>
        <w:tabs>
          <w:tab w:val="clear" w:pos="360"/>
          <w:tab w:val="num" w:pos="567"/>
        </w:tabs>
        <w:spacing w:after="0" w:line="240" w:lineRule="auto"/>
        <w:ind w:left="567"/>
        <w:rPr>
          <w:rFonts w:cs="Arial"/>
          <w:color w:val="000000" w:themeColor="text1"/>
          <w:sz w:val="20"/>
          <w:szCs w:val="20"/>
          <w:lang w:val="fr-FR"/>
        </w:rPr>
      </w:pPr>
      <w:r w:rsidRPr="006F16DA">
        <w:rPr>
          <w:rFonts w:cs="Arial"/>
          <w:color w:val="000000" w:themeColor="text1"/>
          <w:sz w:val="20"/>
          <w:szCs w:val="20"/>
          <w:lang w:val="fr-FR"/>
        </w:rPr>
        <w:t>Loi N°08-042 du 1</w:t>
      </w:r>
      <w:r w:rsidRPr="006F16DA">
        <w:rPr>
          <w:rFonts w:cs="Arial"/>
          <w:color w:val="000000" w:themeColor="text1"/>
          <w:sz w:val="20"/>
          <w:szCs w:val="20"/>
          <w:vertAlign w:val="superscript"/>
          <w:lang w:val="fr-FR"/>
        </w:rPr>
        <w:t>er</w:t>
      </w:r>
      <w:r w:rsidRPr="006F16DA">
        <w:rPr>
          <w:rFonts w:cs="Arial"/>
          <w:color w:val="000000" w:themeColor="text1"/>
          <w:sz w:val="20"/>
          <w:szCs w:val="20"/>
          <w:lang w:val="fr-FR"/>
        </w:rPr>
        <w:t xml:space="preserve"> décembre 2008 relative à la sécurité en biotechnologie en République du Mali.</w:t>
      </w:r>
    </w:p>
    <w:p w14:paraId="1E57E4C4" w14:textId="77777777" w:rsidR="00883224" w:rsidRPr="006F16DA" w:rsidRDefault="00883224" w:rsidP="00883224">
      <w:pPr>
        <w:pStyle w:val="Pardeliste"/>
        <w:spacing w:after="0" w:line="240" w:lineRule="auto"/>
        <w:ind w:left="567"/>
        <w:rPr>
          <w:rFonts w:cs="Arial"/>
          <w:color w:val="000000" w:themeColor="text1"/>
          <w:sz w:val="20"/>
          <w:szCs w:val="20"/>
          <w:lang w:val="fr-FR"/>
        </w:rPr>
      </w:pPr>
    </w:p>
    <w:p w14:paraId="2CF00075" w14:textId="77777777" w:rsidR="00883224" w:rsidRPr="006F16DA" w:rsidRDefault="00883224" w:rsidP="00883224">
      <w:pPr>
        <w:pStyle w:val="Pardeliste"/>
        <w:numPr>
          <w:ilvl w:val="0"/>
          <w:numId w:val="1"/>
        </w:numPr>
        <w:tabs>
          <w:tab w:val="clear" w:pos="360"/>
          <w:tab w:val="num" w:pos="567"/>
        </w:tabs>
        <w:spacing w:after="0" w:line="240" w:lineRule="auto"/>
        <w:ind w:left="567"/>
        <w:rPr>
          <w:rFonts w:cs="Arial"/>
          <w:color w:val="000000" w:themeColor="text1"/>
          <w:sz w:val="20"/>
          <w:szCs w:val="20"/>
          <w:lang w:val="fr-FR"/>
        </w:rPr>
      </w:pPr>
      <w:r w:rsidRPr="006F16DA">
        <w:rPr>
          <w:rFonts w:cs="Arial"/>
          <w:color w:val="000000" w:themeColor="text1"/>
          <w:sz w:val="20"/>
          <w:szCs w:val="20"/>
          <w:lang w:val="fr-FR"/>
        </w:rPr>
        <w:t>Loi N°10-031 du 12 juillet 2010 portant création du fonds national d’appui à l’agriculture.</w:t>
      </w:r>
    </w:p>
    <w:p w14:paraId="0E4E4666" w14:textId="77777777" w:rsidR="00883224" w:rsidRPr="0011274B" w:rsidRDefault="00883224" w:rsidP="00883224">
      <w:pPr>
        <w:pStyle w:val="Pardeliste"/>
        <w:rPr>
          <w:rFonts w:cs="Arial"/>
          <w:color w:val="000000" w:themeColor="text1"/>
          <w:sz w:val="20"/>
          <w:szCs w:val="20"/>
          <w:lang w:val="fr-FR"/>
        </w:rPr>
      </w:pPr>
    </w:p>
    <w:p w14:paraId="6BEF6BE0" w14:textId="77777777" w:rsidR="00883224" w:rsidRPr="006F16DA" w:rsidRDefault="00883224" w:rsidP="00883224">
      <w:pPr>
        <w:pStyle w:val="Pardeliste"/>
        <w:numPr>
          <w:ilvl w:val="0"/>
          <w:numId w:val="10"/>
        </w:numPr>
        <w:spacing w:after="0" w:line="240" w:lineRule="auto"/>
        <w:rPr>
          <w:rFonts w:cs="Arial"/>
          <w:color w:val="000000" w:themeColor="text1"/>
          <w:sz w:val="20"/>
          <w:szCs w:val="20"/>
          <w:lang w:val="fr-FR"/>
        </w:rPr>
      </w:pPr>
      <w:r w:rsidRPr="006F16DA">
        <w:rPr>
          <w:rFonts w:cs="Arial"/>
          <w:color w:val="000000" w:themeColor="text1"/>
          <w:sz w:val="20"/>
          <w:szCs w:val="20"/>
          <w:lang w:val="fr-FR"/>
        </w:rPr>
        <w:t>Décret N°10-574/P-RM du 26 octobre 2010 fixant l’organisation et les modalités de gestion du fonds national d’appui à l’agriculture</w:t>
      </w:r>
    </w:p>
    <w:p w14:paraId="5B0A72C0" w14:textId="77777777" w:rsidR="00883224" w:rsidRPr="006F16DA" w:rsidRDefault="00883224" w:rsidP="00883224">
      <w:pPr>
        <w:pStyle w:val="Pardeliste"/>
        <w:spacing w:after="0" w:line="240" w:lineRule="auto"/>
        <w:ind w:left="1418"/>
        <w:rPr>
          <w:rFonts w:cs="Arial"/>
          <w:color w:val="000000" w:themeColor="text1"/>
          <w:sz w:val="18"/>
          <w:szCs w:val="18"/>
          <w:lang w:val="fr-FR"/>
        </w:rPr>
      </w:pPr>
      <w:r w:rsidRPr="006F16DA">
        <w:rPr>
          <w:rFonts w:cs="Arial"/>
          <w:color w:val="000000" w:themeColor="text1"/>
          <w:sz w:val="18"/>
          <w:szCs w:val="18"/>
          <w:lang w:val="fr-FR"/>
        </w:rPr>
        <w:lastRenderedPageBreak/>
        <w:t>Entre autres, ce fonds est destiné à i) financer les activités tendant à prévenir et à minimiser l’impact des risques majeurs et des calamités sur le développement agricole et les conditions de vie des populations rurales, ii) financer le stock national de semences sélectionnées utilisables en période de calamité et soutenir la production de semences sélectionnées à tous les stades de production.</w:t>
      </w:r>
    </w:p>
    <w:p w14:paraId="3AE10BB0" w14:textId="77777777" w:rsidR="00883224" w:rsidRPr="006F16DA" w:rsidRDefault="00883224" w:rsidP="00883224">
      <w:pPr>
        <w:pStyle w:val="Pardeliste"/>
        <w:spacing w:after="0" w:line="240" w:lineRule="auto"/>
        <w:ind w:left="1418"/>
        <w:rPr>
          <w:rFonts w:cs="Arial"/>
          <w:color w:val="000000" w:themeColor="text1"/>
          <w:sz w:val="18"/>
          <w:szCs w:val="18"/>
          <w:lang w:val="fr-FR"/>
        </w:rPr>
      </w:pPr>
      <w:r w:rsidRPr="006F16DA">
        <w:rPr>
          <w:rFonts w:cs="Arial"/>
          <w:color w:val="000000" w:themeColor="text1"/>
          <w:sz w:val="18"/>
          <w:szCs w:val="18"/>
          <w:lang w:val="fr-FR"/>
        </w:rPr>
        <w:t>Article 2 évoque le guichet 2</w:t>
      </w:r>
      <w:r>
        <w:rPr>
          <w:rFonts w:cs="Arial"/>
          <w:color w:val="000000" w:themeColor="text1"/>
          <w:sz w:val="18"/>
          <w:szCs w:val="18"/>
          <w:lang w:val="fr-FR"/>
        </w:rPr>
        <w:t> </w:t>
      </w:r>
      <w:r w:rsidRPr="006F16DA">
        <w:rPr>
          <w:rFonts w:cs="Arial"/>
          <w:color w:val="000000" w:themeColor="text1"/>
          <w:sz w:val="18"/>
          <w:szCs w:val="18"/>
          <w:lang w:val="fr-FR"/>
        </w:rPr>
        <w:t>: risques et calamités agricoles.</w:t>
      </w:r>
    </w:p>
    <w:p w14:paraId="668A33E7" w14:textId="77777777" w:rsidR="00883224" w:rsidRPr="006F16DA" w:rsidRDefault="00883224" w:rsidP="00883224">
      <w:pPr>
        <w:pStyle w:val="Pardeliste"/>
        <w:spacing w:after="0" w:line="240" w:lineRule="auto"/>
        <w:ind w:left="1418"/>
        <w:rPr>
          <w:rFonts w:cs="Arial"/>
          <w:color w:val="000000" w:themeColor="text1"/>
          <w:sz w:val="18"/>
          <w:szCs w:val="18"/>
          <w:lang w:val="fr-FR"/>
        </w:rPr>
      </w:pPr>
      <w:r w:rsidRPr="006F16DA">
        <w:rPr>
          <w:rFonts w:cs="Arial"/>
          <w:color w:val="000000" w:themeColor="text1"/>
          <w:sz w:val="18"/>
          <w:szCs w:val="18"/>
          <w:lang w:val="fr-FR"/>
        </w:rPr>
        <w:t>Article 4</w:t>
      </w:r>
      <w:r>
        <w:rPr>
          <w:rFonts w:cs="Arial"/>
          <w:color w:val="000000" w:themeColor="text1"/>
          <w:sz w:val="18"/>
          <w:szCs w:val="18"/>
          <w:lang w:val="fr-FR"/>
        </w:rPr>
        <w:t> </w:t>
      </w:r>
      <w:r w:rsidRPr="006F16DA">
        <w:rPr>
          <w:rFonts w:cs="Arial"/>
          <w:color w:val="000000" w:themeColor="text1"/>
          <w:sz w:val="18"/>
          <w:szCs w:val="18"/>
          <w:lang w:val="fr-FR"/>
        </w:rPr>
        <w:t xml:space="preserve">: Le guichet « risques et calamités agricoles » vise à minimiser l’impact des risques majeurs et des calamités sur le développement agricole et les conditions de vie des populations rurales. Il a pour objectifs spécifiques de i) </w:t>
      </w:r>
      <w:r>
        <w:rPr>
          <w:rFonts w:cs="Arial"/>
          <w:color w:val="000000" w:themeColor="text1"/>
          <w:sz w:val="18"/>
          <w:szCs w:val="18"/>
          <w:lang w:val="fr-FR"/>
        </w:rPr>
        <w:t>–</w:t>
      </w:r>
      <w:r w:rsidRPr="006F16DA">
        <w:rPr>
          <w:rFonts w:cs="Arial"/>
          <w:color w:val="000000" w:themeColor="text1"/>
          <w:sz w:val="18"/>
          <w:szCs w:val="18"/>
          <w:lang w:val="fr-FR"/>
        </w:rPr>
        <w:t>financer les opérations de prévention et de lutte en cas de risques majeurs et calamités agricoles déclarés, ii) apporter un appui aux victimes des calamités agricoles, iii) indemniser les producteurs semenciers victimes de calamités naturelles déclarées.</w:t>
      </w:r>
    </w:p>
    <w:p w14:paraId="5EF6245F" w14:textId="77777777" w:rsidR="00883224" w:rsidRPr="006F16DA" w:rsidRDefault="00883224" w:rsidP="00883224">
      <w:pPr>
        <w:spacing w:after="0" w:line="240" w:lineRule="auto"/>
        <w:rPr>
          <w:rFonts w:cs="Arial"/>
          <w:color w:val="000000" w:themeColor="text1"/>
          <w:sz w:val="20"/>
          <w:szCs w:val="20"/>
          <w:lang w:val="fr-FR"/>
        </w:rPr>
      </w:pPr>
    </w:p>
    <w:p w14:paraId="23DE293B" w14:textId="77777777" w:rsidR="00883224" w:rsidRPr="00CE03E2" w:rsidRDefault="00883224" w:rsidP="00883224">
      <w:pPr>
        <w:pStyle w:val="Pardeliste"/>
        <w:numPr>
          <w:ilvl w:val="0"/>
          <w:numId w:val="1"/>
        </w:numPr>
        <w:tabs>
          <w:tab w:val="clear" w:pos="360"/>
          <w:tab w:val="num" w:pos="567"/>
        </w:tabs>
        <w:spacing w:after="0" w:line="240" w:lineRule="auto"/>
        <w:ind w:left="567" w:hanging="425"/>
        <w:rPr>
          <w:rFonts w:cs="Arial"/>
          <w:sz w:val="20"/>
          <w:szCs w:val="20"/>
          <w:lang w:val="fr-FR"/>
        </w:rPr>
      </w:pPr>
      <w:r w:rsidRPr="006F16DA">
        <w:rPr>
          <w:rFonts w:cs="Arial"/>
          <w:color w:val="000000" w:themeColor="text1"/>
          <w:sz w:val="20"/>
          <w:szCs w:val="20"/>
          <w:lang w:val="fr-FR"/>
        </w:rPr>
        <w:t>Loi N°01-004/AN-RM du 27 février 2001 portant charte pastorale en République du Mali</w:t>
      </w:r>
      <w:r>
        <w:rPr>
          <w:rFonts w:cs="Arial"/>
          <w:color w:val="000000" w:themeColor="text1"/>
          <w:sz w:val="20"/>
          <w:szCs w:val="20"/>
          <w:lang w:val="fr-FR"/>
        </w:rPr>
        <w:t> </w:t>
      </w:r>
      <w:r w:rsidRPr="006F16DA">
        <w:rPr>
          <w:rFonts w:cs="Arial"/>
          <w:color w:val="000000" w:themeColor="text1"/>
          <w:sz w:val="20"/>
          <w:szCs w:val="20"/>
          <w:lang w:val="fr-FR"/>
        </w:rPr>
        <w:t xml:space="preserve">: La loi N°01-004/AN-RM du 27 février 2001 portant charte pastorale en République du Mali définit les principes fondamentaux et les règles générales qui régissent l’exercice des </w:t>
      </w:r>
      <w:r w:rsidRPr="00CE03E2">
        <w:rPr>
          <w:rFonts w:cs="Arial"/>
          <w:sz w:val="20"/>
          <w:szCs w:val="20"/>
          <w:lang w:val="fr-FR"/>
        </w:rPr>
        <w:t>activités pastorales en République du Mali (article 1). Elle consacre et précise les droits essentiels des pasteurs, notamment en matière de mobilité des animaux et d’accès aux ressources pastorales.</w:t>
      </w:r>
    </w:p>
    <w:p w14:paraId="1CE0724F" w14:textId="77777777" w:rsidR="00883224" w:rsidRPr="00CE03E2" w:rsidRDefault="00883224" w:rsidP="00883224">
      <w:pPr>
        <w:numPr>
          <w:ilvl w:val="1"/>
          <w:numId w:val="1"/>
        </w:numPr>
        <w:spacing w:after="0" w:line="240" w:lineRule="auto"/>
        <w:rPr>
          <w:rFonts w:cs="Arial"/>
          <w:sz w:val="18"/>
          <w:szCs w:val="18"/>
          <w:lang w:val="fr-FR"/>
        </w:rPr>
      </w:pPr>
      <w:r w:rsidRPr="00CE03E2">
        <w:rPr>
          <w:rFonts w:cs="Arial"/>
          <w:sz w:val="18"/>
          <w:szCs w:val="18"/>
          <w:lang w:val="fr-FR"/>
        </w:rPr>
        <w:t>le décret de mise en œuvre adopté le 13 septembre 2006</w:t>
      </w:r>
    </w:p>
    <w:p w14:paraId="698E0B2D" w14:textId="77777777" w:rsidR="00883224" w:rsidRPr="00CE03E2" w:rsidRDefault="00883224" w:rsidP="00883224">
      <w:pPr>
        <w:spacing w:after="0" w:line="240" w:lineRule="auto"/>
        <w:ind w:left="1080"/>
        <w:rPr>
          <w:rFonts w:cs="Arial"/>
          <w:sz w:val="18"/>
          <w:szCs w:val="18"/>
          <w:lang w:val="fr-FR"/>
        </w:rPr>
      </w:pPr>
    </w:p>
    <w:p w14:paraId="094FAC52" w14:textId="77777777" w:rsidR="00883224" w:rsidRPr="00CE03E2" w:rsidRDefault="00883224" w:rsidP="00883224">
      <w:pPr>
        <w:numPr>
          <w:ilvl w:val="0"/>
          <w:numId w:val="1"/>
        </w:numPr>
        <w:tabs>
          <w:tab w:val="clear" w:pos="360"/>
          <w:tab w:val="num" w:pos="709"/>
        </w:tabs>
        <w:spacing w:after="0" w:line="240" w:lineRule="auto"/>
        <w:ind w:left="567" w:hanging="425"/>
        <w:rPr>
          <w:rFonts w:cs="Arial"/>
          <w:sz w:val="18"/>
          <w:szCs w:val="18"/>
          <w:lang w:val="fr-FR"/>
        </w:rPr>
      </w:pPr>
      <w:r w:rsidRPr="00CE03E2">
        <w:rPr>
          <w:rFonts w:cs="Arial"/>
          <w:sz w:val="18"/>
          <w:szCs w:val="18"/>
          <w:lang w:val="fr-FR"/>
        </w:rPr>
        <w:t>Ordonnance N°00-027/P-RM du 22 mars 2000 portant Code domanial et foncier modifiée et ratifiée par la loi N°02-008 du 12 février 2002</w:t>
      </w:r>
    </w:p>
    <w:p w14:paraId="509279A4" w14:textId="77777777" w:rsidR="00883224" w:rsidRPr="00CE03E2" w:rsidRDefault="00883224" w:rsidP="00883224">
      <w:pPr>
        <w:spacing w:after="0" w:line="240" w:lineRule="auto"/>
        <w:ind w:left="567"/>
        <w:rPr>
          <w:rFonts w:cs="Arial"/>
          <w:sz w:val="20"/>
          <w:szCs w:val="20"/>
          <w:lang w:val="fr-FR"/>
        </w:rPr>
      </w:pPr>
    </w:p>
    <w:p w14:paraId="1E5156BB" w14:textId="77777777" w:rsidR="00883224" w:rsidRPr="00CE03E2" w:rsidRDefault="00883224" w:rsidP="00883224">
      <w:pPr>
        <w:numPr>
          <w:ilvl w:val="0"/>
          <w:numId w:val="1"/>
        </w:numPr>
        <w:tabs>
          <w:tab w:val="clear" w:pos="360"/>
        </w:tabs>
        <w:spacing w:after="0" w:line="240" w:lineRule="auto"/>
        <w:ind w:left="567" w:hanging="540"/>
        <w:rPr>
          <w:rFonts w:cs="Arial"/>
          <w:sz w:val="20"/>
          <w:szCs w:val="20"/>
          <w:lang w:val="fr-FR"/>
        </w:rPr>
      </w:pPr>
      <w:r w:rsidRPr="00CE03E2">
        <w:rPr>
          <w:rFonts w:cs="Arial"/>
          <w:sz w:val="20"/>
          <w:szCs w:val="20"/>
          <w:lang w:val="fr-FR"/>
        </w:rPr>
        <w:t>Loi n° 95-032 du 20 mars 1995 fixant les conditions de gestion de la pêche et de la pisciculture et ses décrets</w:t>
      </w:r>
    </w:p>
    <w:p w14:paraId="317908B8" w14:textId="77777777" w:rsidR="00883224" w:rsidRPr="00CE03E2" w:rsidRDefault="00883224" w:rsidP="00883224">
      <w:pPr>
        <w:numPr>
          <w:ilvl w:val="1"/>
          <w:numId w:val="1"/>
        </w:numPr>
        <w:spacing w:after="0" w:line="240" w:lineRule="auto"/>
        <w:ind w:left="1134"/>
        <w:rPr>
          <w:rFonts w:cs="Arial"/>
          <w:sz w:val="18"/>
          <w:szCs w:val="18"/>
          <w:lang w:val="fr-FR"/>
        </w:rPr>
      </w:pPr>
      <w:r w:rsidRPr="00CE03E2">
        <w:rPr>
          <w:rFonts w:cs="Arial"/>
          <w:sz w:val="18"/>
          <w:szCs w:val="18"/>
          <w:lang w:val="fr-FR"/>
        </w:rPr>
        <w:t>1- Décret n° 95-182/P-RM du 26 avril 1995 fixant les taux de redevances perçues à l’occasion de la délivrance des permis de pêche ;</w:t>
      </w:r>
    </w:p>
    <w:p w14:paraId="0B504AF2" w14:textId="77777777" w:rsidR="00883224" w:rsidRPr="00643D65" w:rsidRDefault="00883224" w:rsidP="00883224">
      <w:pPr>
        <w:numPr>
          <w:ilvl w:val="1"/>
          <w:numId w:val="1"/>
        </w:numPr>
        <w:spacing w:after="0" w:line="240" w:lineRule="auto"/>
        <w:ind w:left="1134"/>
        <w:rPr>
          <w:rFonts w:cs="Arial"/>
          <w:sz w:val="18"/>
          <w:szCs w:val="18"/>
          <w:lang w:val="fr-FR"/>
        </w:rPr>
      </w:pPr>
      <w:r w:rsidRPr="00CE03E2">
        <w:rPr>
          <w:rFonts w:cs="Arial"/>
          <w:sz w:val="18"/>
          <w:szCs w:val="18"/>
          <w:lang w:val="fr-FR"/>
        </w:rPr>
        <w:t xml:space="preserve">2- Décret n° 96-010/P-RM du 17 janvier </w:t>
      </w:r>
      <w:r w:rsidRPr="00643D65">
        <w:rPr>
          <w:rFonts w:cs="Arial"/>
          <w:sz w:val="18"/>
          <w:szCs w:val="18"/>
          <w:lang w:val="fr-FR"/>
        </w:rPr>
        <w:t>1996 fixant les modalités de classement et de déclassement des réserves piscicoles</w:t>
      </w:r>
      <w:r>
        <w:rPr>
          <w:rFonts w:cs="Arial"/>
          <w:sz w:val="18"/>
          <w:szCs w:val="18"/>
          <w:lang w:val="fr-FR"/>
        </w:rPr>
        <w:t> </w:t>
      </w:r>
      <w:r w:rsidRPr="00643D65">
        <w:rPr>
          <w:rFonts w:cs="Arial"/>
          <w:sz w:val="18"/>
          <w:szCs w:val="18"/>
          <w:lang w:val="fr-FR"/>
        </w:rPr>
        <w:t>;</w:t>
      </w:r>
    </w:p>
    <w:p w14:paraId="2257E010" w14:textId="77777777" w:rsidR="00883224" w:rsidRDefault="00883224" w:rsidP="00883224">
      <w:pPr>
        <w:numPr>
          <w:ilvl w:val="1"/>
          <w:numId w:val="1"/>
        </w:numPr>
        <w:spacing w:after="0" w:line="240" w:lineRule="auto"/>
        <w:ind w:left="1134"/>
        <w:rPr>
          <w:rFonts w:cs="Arial"/>
          <w:sz w:val="18"/>
          <w:szCs w:val="18"/>
          <w:lang w:val="fr-FR"/>
        </w:rPr>
      </w:pPr>
      <w:r w:rsidRPr="00643D65">
        <w:rPr>
          <w:rFonts w:cs="Arial"/>
          <w:sz w:val="18"/>
          <w:szCs w:val="18"/>
          <w:lang w:val="fr-FR"/>
        </w:rPr>
        <w:t>3- Décret n° 96-011/P-RM du 17 janvier 1996 déterminant la composition, les attributions et les modalités de fonctionnement du conseil de pêche.</w:t>
      </w:r>
    </w:p>
    <w:p w14:paraId="203B777E" w14:textId="77777777" w:rsidR="00883224" w:rsidRDefault="00883224" w:rsidP="00883224">
      <w:pPr>
        <w:spacing w:after="0" w:line="240" w:lineRule="auto"/>
        <w:ind w:left="1080"/>
        <w:rPr>
          <w:rFonts w:cs="Arial"/>
          <w:sz w:val="18"/>
          <w:szCs w:val="18"/>
          <w:lang w:val="fr-FR"/>
        </w:rPr>
      </w:pPr>
    </w:p>
    <w:p w14:paraId="2463E0A9" w14:textId="77777777" w:rsidR="00883224" w:rsidRPr="006F16DA" w:rsidRDefault="00883224" w:rsidP="00883224">
      <w:pPr>
        <w:pStyle w:val="PuceBleue"/>
        <w:spacing w:after="0" w:line="240" w:lineRule="auto"/>
        <w:ind w:left="567" w:hanging="567"/>
        <w:rPr>
          <w:rFonts w:cs="Arial"/>
          <w:color w:val="000000" w:themeColor="text1"/>
          <w:sz w:val="20"/>
          <w:szCs w:val="20"/>
          <w:shd w:val="clear" w:color="auto" w:fill="FFFFFF"/>
          <w:lang w:val="fr-FR"/>
        </w:rPr>
      </w:pPr>
      <w:r w:rsidRPr="006F16DA">
        <w:rPr>
          <w:rFonts w:cs="Arial"/>
          <w:color w:val="000000" w:themeColor="text1"/>
          <w:sz w:val="20"/>
          <w:szCs w:val="20"/>
          <w:lang w:val="fr-FR"/>
        </w:rPr>
        <w:t xml:space="preserve">Projet de loi déterminant les principes de gestion de la pêche et de l’aquaculture présenté au conseil des ministres du 29 mai 2014. </w:t>
      </w:r>
      <w:r w:rsidRPr="006F16DA">
        <w:rPr>
          <w:rFonts w:cs="Arial"/>
          <w:color w:val="000000" w:themeColor="text1"/>
          <w:sz w:val="20"/>
          <w:szCs w:val="20"/>
          <w:shd w:val="clear" w:color="auto" w:fill="FFFFFF"/>
          <w:lang w:val="fr-FR"/>
        </w:rPr>
        <w:t>Le projet de loi apporte d’importantes innovations</w:t>
      </w:r>
      <w:r>
        <w:rPr>
          <w:rFonts w:cs="Arial"/>
          <w:color w:val="000000" w:themeColor="text1"/>
          <w:sz w:val="20"/>
          <w:szCs w:val="20"/>
          <w:shd w:val="clear" w:color="auto" w:fill="FFFFFF"/>
          <w:lang w:val="fr-FR"/>
        </w:rPr>
        <w:t>,</w:t>
      </w:r>
      <w:r w:rsidRPr="006F16DA">
        <w:rPr>
          <w:rFonts w:cs="Arial"/>
          <w:color w:val="000000" w:themeColor="text1"/>
          <w:sz w:val="20"/>
          <w:szCs w:val="20"/>
          <w:shd w:val="clear" w:color="auto" w:fill="FFFFFF"/>
          <w:lang w:val="fr-FR"/>
        </w:rPr>
        <w:t xml:space="preserve"> </w:t>
      </w:r>
      <w:r>
        <w:rPr>
          <w:rFonts w:cs="Arial"/>
          <w:color w:val="000000" w:themeColor="text1"/>
          <w:sz w:val="20"/>
          <w:szCs w:val="20"/>
          <w:shd w:val="clear" w:color="auto" w:fill="FFFFFF"/>
          <w:lang w:val="fr-FR"/>
        </w:rPr>
        <w:t>notamment,</w:t>
      </w:r>
      <w:r w:rsidRPr="006F16DA">
        <w:rPr>
          <w:rFonts w:cs="Arial"/>
          <w:color w:val="000000" w:themeColor="text1"/>
          <w:sz w:val="20"/>
          <w:szCs w:val="20"/>
          <w:shd w:val="clear" w:color="auto" w:fill="FFFFFF"/>
          <w:lang w:val="fr-FR"/>
        </w:rPr>
        <w:t> sur</w:t>
      </w:r>
      <w:r>
        <w:rPr>
          <w:rFonts w:cs="Arial"/>
          <w:color w:val="000000" w:themeColor="text1"/>
          <w:sz w:val="20"/>
          <w:szCs w:val="20"/>
          <w:shd w:val="clear" w:color="auto" w:fill="FFFFFF"/>
          <w:lang w:val="fr-FR"/>
        </w:rPr>
        <w:t> </w:t>
      </w:r>
      <w:r w:rsidRPr="006F16DA">
        <w:rPr>
          <w:rFonts w:cs="Arial"/>
          <w:color w:val="000000" w:themeColor="text1"/>
          <w:sz w:val="20"/>
          <w:szCs w:val="20"/>
          <w:shd w:val="clear" w:color="auto" w:fill="FFFFFF"/>
          <w:lang w:val="fr-FR"/>
        </w:rPr>
        <w:t>:</w:t>
      </w:r>
    </w:p>
    <w:p w14:paraId="26AE7C9A" w14:textId="77777777" w:rsidR="00883224" w:rsidRPr="006F16DA" w:rsidRDefault="00883224" w:rsidP="00883224">
      <w:pPr>
        <w:pStyle w:val="Pardeliste"/>
        <w:numPr>
          <w:ilvl w:val="2"/>
          <w:numId w:val="9"/>
        </w:numPr>
        <w:spacing w:after="0" w:line="240" w:lineRule="auto"/>
        <w:ind w:left="1134"/>
        <w:rPr>
          <w:rFonts w:cs="Arial"/>
          <w:color w:val="000000" w:themeColor="text1"/>
          <w:sz w:val="18"/>
          <w:szCs w:val="18"/>
          <w:shd w:val="clear" w:color="auto" w:fill="FFFFFF"/>
          <w:lang w:val="fr-FR"/>
        </w:rPr>
      </w:pPr>
      <w:r w:rsidRPr="006F16DA">
        <w:rPr>
          <w:rFonts w:cs="Arial"/>
          <w:color w:val="000000" w:themeColor="text1"/>
          <w:sz w:val="18"/>
          <w:szCs w:val="18"/>
          <w:shd w:val="clear" w:color="auto" w:fill="FFFFFF"/>
          <w:lang w:val="fr-FR"/>
        </w:rPr>
        <w:t>la mise en cohérence de la législation en matière de pêche et d’aquaculture avec la politique nationale de développement de la pêche et de l’aquaculture et de la Loi d’orientation agricole</w:t>
      </w:r>
      <w:r>
        <w:rPr>
          <w:rFonts w:cs="Arial"/>
          <w:color w:val="000000" w:themeColor="text1"/>
          <w:sz w:val="18"/>
          <w:szCs w:val="18"/>
          <w:shd w:val="clear" w:color="auto" w:fill="FFFFFF"/>
          <w:lang w:val="fr-FR"/>
        </w:rPr>
        <w:t> </w:t>
      </w:r>
      <w:r w:rsidRPr="006F16DA">
        <w:rPr>
          <w:rFonts w:cs="Arial"/>
          <w:color w:val="000000" w:themeColor="text1"/>
          <w:sz w:val="18"/>
          <w:szCs w:val="18"/>
          <w:shd w:val="clear" w:color="auto" w:fill="FFFFFF"/>
          <w:lang w:val="fr-FR"/>
        </w:rPr>
        <w:t>;</w:t>
      </w:r>
    </w:p>
    <w:p w14:paraId="0EEEE52F" w14:textId="77777777" w:rsidR="00883224" w:rsidRPr="006F16DA" w:rsidRDefault="00883224" w:rsidP="00883224">
      <w:pPr>
        <w:pStyle w:val="Pardeliste"/>
        <w:numPr>
          <w:ilvl w:val="2"/>
          <w:numId w:val="9"/>
        </w:numPr>
        <w:spacing w:after="0" w:line="240" w:lineRule="auto"/>
        <w:ind w:left="1134"/>
        <w:rPr>
          <w:rFonts w:cs="Arial"/>
          <w:color w:val="000000" w:themeColor="text1"/>
          <w:sz w:val="18"/>
          <w:szCs w:val="18"/>
          <w:shd w:val="clear" w:color="auto" w:fill="FFFFFF"/>
          <w:lang w:val="fr-FR"/>
        </w:rPr>
      </w:pPr>
      <w:r w:rsidRPr="006F16DA">
        <w:rPr>
          <w:rFonts w:cs="Arial"/>
          <w:color w:val="000000" w:themeColor="text1"/>
          <w:sz w:val="18"/>
          <w:szCs w:val="18"/>
          <w:shd w:val="clear" w:color="auto" w:fill="FFFFFF"/>
          <w:lang w:val="fr-FR"/>
        </w:rPr>
        <w:t>la prise en compte du processus de décentralisation, du transfert des compétences et des ressources aux collectivités territoriales ainsi que du renforcement de la coopération internationale et transfrontalière</w:t>
      </w:r>
      <w:r>
        <w:rPr>
          <w:rFonts w:cs="Arial"/>
          <w:color w:val="000000" w:themeColor="text1"/>
          <w:sz w:val="18"/>
          <w:szCs w:val="18"/>
          <w:shd w:val="clear" w:color="auto" w:fill="FFFFFF"/>
          <w:lang w:val="fr-FR"/>
        </w:rPr>
        <w:t> </w:t>
      </w:r>
      <w:r w:rsidRPr="006F16DA">
        <w:rPr>
          <w:rFonts w:cs="Arial"/>
          <w:color w:val="000000" w:themeColor="text1"/>
          <w:sz w:val="18"/>
          <w:szCs w:val="18"/>
          <w:shd w:val="clear" w:color="auto" w:fill="FFFFFF"/>
          <w:lang w:val="fr-FR"/>
        </w:rPr>
        <w:t>;</w:t>
      </w:r>
    </w:p>
    <w:p w14:paraId="7DDAE941" w14:textId="77777777" w:rsidR="00883224" w:rsidRPr="006F16DA" w:rsidRDefault="00883224" w:rsidP="00883224">
      <w:pPr>
        <w:pStyle w:val="Pardeliste"/>
        <w:numPr>
          <w:ilvl w:val="2"/>
          <w:numId w:val="9"/>
        </w:numPr>
        <w:spacing w:after="0" w:line="240" w:lineRule="auto"/>
        <w:ind w:left="1134"/>
        <w:rPr>
          <w:rFonts w:cs="Arial"/>
          <w:color w:val="000000" w:themeColor="text1"/>
          <w:sz w:val="18"/>
          <w:szCs w:val="18"/>
          <w:shd w:val="clear" w:color="auto" w:fill="FFFFFF"/>
          <w:lang w:val="fr-FR"/>
        </w:rPr>
      </w:pPr>
      <w:r w:rsidRPr="006F16DA">
        <w:rPr>
          <w:rFonts w:cs="Arial"/>
          <w:color w:val="000000" w:themeColor="text1"/>
          <w:sz w:val="18"/>
          <w:szCs w:val="18"/>
          <w:shd w:val="clear" w:color="auto" w:fill="FFFFFF"/>
          <w:lang w:val="fr-FR"/>
        </w:rPr>
        <w:t>la prise en compte des dispositions de la convention sur le commerce international des espèces de faune et flore sauvages</w:t>
      </w:r>
      <w:r>
        <w:rPr>
          <w:rFonts w:cs="Arial"/>
          <w:color w:val="000000" w:themeColor="text1"/>
          <w:sz w:val="18"/>
          <w:szCs w:val="18"/>
          <w:shd w:val="clear" w:color="auto" w:fill="FFFFFF"/>
          <w:lang w:val="fr-FR"/>
        </w:rPr>
        <w:t> </w:t>
      </w:r>
      <w:r w:rsidRPr="006F16DA">
        <w:rPr>
          <w:rFonts w:cs="Arial"/>
          <w:color w:val="000000" w:themeColor="text1"/>
          <w:sz w:val="18"/>
          <w:szCs w:val="18"/>
          <w:shd w:val="clear" w:color="auto" w:fill="FFFFFF"/>
          <w:lang w:val="fr-FR"/>
        </w:rPr>
        <w:t>;</w:t>
      </w:r>
    </w:p>
    <w:p w14:paraId="523350C2" w14:textId="77777777" w:rsidR="00883224" w:rsidRPr="006F16DA" w:rsidRDefault="00883224" w:rsidP="00883224">
      <w:pPr>
        <w:pStyle w:val="Pardeliste"/>
        <w:numPr>
          <w:ilvl w:val="2"/>
          <w:numId w:val="9"/>
        </w:numPr>
        <w:spacing w:after="0" w:line="240" w:lineRule="auto"/>
        <w:ind w:left="1134"/>
        <w:rPr>
          <w:rFonts w:cs="Arial"/>
          <w:color w:val="000000" w:themeColor="text1"/>
          <w:sz w:val="18"/>
          <w:szCs w:val="18"/>
          <w:shd w:val="clear" w:color="auto" w:fill="FFFFFF"/>
          <w:lang w:val="fr-FR"/>
        </w:rPr>
      </w:pPr>
      <w:r w:rsidRPr="006F16DA">
        <w:rPr>
          <w:rFonts w:cs="Arial"/>
          <w:color w:val="000000" w:themeColor="text1"/>
          <w:sz w:val="18"/>
          <w:szCs w:val="18"/>
          <w:shd w:val="clear" w:color="auto" w:fill="FFFFFF"/>
          <w:lang w:val="fr-FR"/>
        </w:rPr>
        <w:t>le renforcement des capacités en matière de surveillance et de contrôle de l’application de la réglementation de la pêche et de l’aquaculture.</w:t>
      </w:r>
    </w:p>
    <w:p w14:paraId="15ADFCEB" w14:textId="77777777" w:rsidR="00883224" w:rsidRPr="006F16DA" w:rsidRDefault="00883224" w:rsidP="00883224">
      <w:pPr>
        <w:spacing w:after="0" w:line="240" w:lineRule="auto"/>
        <w:rPr>
          <w:rFonts w:cs="Arial"/>
          <w:color w:val="000000" w:themeColor="text1"/>
          <w:sz w:val="18"/>
          <w:szCs w:val="18"/>
          <w:shd w:val="clear" w:color="auto" w:fill="FFFFFF"/>
          <w:lang w:val="fr-FR"/>
        </w:rPr>
      </w:pPr>
    </w:p>
    <w:p w14:paraId="4ECC8010" w14:textId="77777777" w:rsidR="00883224" w:rsidRPr="005D3FE6" w:rsidRDefault="00883224" w:rsidP="00883224">
      <w:pPr>
        <w:spacing w:after="0" w:line="240" w:lineRule="auto"/>
        <w:rPr>
          <w:rFonts w:cs="Arial"/>
          <w:b/>
          <w:i/>
          <w:sz w:val="20"/>
          <w:szCs w:val="20"/>
          <w:lang w:val="fr-FR"/>
        </w:rPr>
      </w:pPr>
      <w:r w:rsidRPr="00A514BF">
        <w:rPr>
          <w:rFonts w:cs="Arial"/>
          <w:color w:val="0070C0"/>
          <w:sz w:val="20"/>
          <w:szCs w:val="20"/>
          <w:lang w:val="fr-FR"/>
        </w:rPr>
        <w:br/>
      </w:r>
      <w:r>
        <w:rPr>
          <w:rFonts w:cs="Arial"/>
          <w:b/>
          <w:i/>
          <w:sz w:val="20"/>
          <w:szCs w:val="20"/>
          <w:lang w:val="fr-FR"/>
        </w:rPr>
        <w:t>Décentralisation, foncier, Partenariats Publics Privés</w:t>
      </w:r>
    </w:p>
    <w:p w14:paraId="1659C49A" w14:textId="77777777" w:rsidR="00883224" w:rsidRDefault="00883224" w:rsidP="00883224">
      <w:pPr>
        <w:numPr>
          <w:ilvl w:val="0"/>
          <w:numId w:val="1"/>
        </w:numPr>
        <w:tabs>
          <w:tab w:val="clear" w:pos="360"/>
        </w:tabs>
        <w:spacing w:after="0" w:line="240" w:lineRule="auto"/>
        <w:ind w:left="720" w:hanging="540"/>
        <w:rPr>
          <w:rFonts w:cs="Arial"/>
          <w:sz w:val="20"/>
          <w:szCs w:val="20"/>
          <w:lang w:val="fr-FR"/>
        </w:rPr>
      </w:pPr>
      <w:r w:rsidRPr="00643D65">
        <w:rPr>
          <w:rFonts w:cs="Arial"/>
          <w:sz w:val="20"/>
          <w:szCs w:val="20"/>
          <w:lang w:val="fr-FR"/>
        </w:rPr>
        <w:t>Loi 95-034 du 12 avril 1995 modifiée par la loi N°98-010 du 19 juin 1998 et modifiée par la loi N°98-66 du 30 décembre 1998 portant code des collectivités territoriales</w:t>
      </w:r>
      <w:r>
        <w:rPr>
          <w:rFonts w:cs="Arial"/>
          <w:sz w:val="20"/>
          <w:szCs w:val="20"/>
          <w:lang w:val="fr-FR"/>
        </w:rPr>
        <w:t>.</w:t>
      </w:r>
    </w:p>
    <w:p w14:paraId="0CD7F2CF" w14:textId="77777777" w:rsidR="00883224" w:rsidRPr="00643D65" w:rsidRDefault="00883224" w:rsidP="00883224">
      <w:pPr>
        <w:spacing w:after="0" w:line="240" w:lineRule="auto"/>
        <w:ind w:left="720"/>
        <w:rPr>
          <w:rFonts w:cs="Arial"/>
          <w:sz w:val="20"/>
          <w:szCs w:val="20"/>
          <w:lang w:val="fr-FR"/>
        </w:rPr>
      </w:pPr>
    </w:p>
    <w:p w14:paraId="538A9EC7" w14:textId="77777777" w:rsidR="00883224" w:rsidRDefault="00883224" w:rsidP="00883224">
      <w:pPr>
        <w:numPr>
          <w:ilvl w:val="0"/>
          <w:numId w:val="1"/>
        </w:numPr>
        <w:tabs>
          <w:tab w:val="clear" w:pos="360"/>
        </w:tabs>
        <w:spacing w:after="0" w:line="240" w:lineRule="auto"/>
        <w:ind w:left="720" w:hanging="540"/>
        <w:rPr>
          <w:rFonts w:cs="Arial"/>
          <w:sz w:val="20"/>
          <w:szCs w:val="20"/>
          <w:lang w:val="fr-FR"/>
        </w:rPr>
      </w:pPr>
      <w:r w:rsidRPr="00643D65">
        <w:rPr>
          <w:rFonts w:cs="Arial"/>
          <w:sz w:val="20"/>
          <w:szCs w:val="20"/>
          <w:lang w:val="fr-FR"/>
        </w:rPr>
        <w:t>Loi 96-050 du 16 octobre 1996 portant principes de constitution et de gestion du domaine des collectivités territoriales</w:t>
      </w:r>
      <w:r>
        <w:rPr>
          <w:rFonts w:cs="Arial"/>
          <w:sz w:val="20"/>
          <w:szCs w:val="20"/>
          <w:lang w:val="fr-FR"/>
        </w:rPr>
        <w:t> </w:t>
      </w:r>
      <w:r w:rsidRPr="00643D65">
        <w:rPr>
          <w:rFonts w:cs="Arial"/>
          <w:sz w:val="20"/>
          <w:szCs w:val="20"/>
          <w:lang w:val="fr-FR"/>
        </w:rPr>
        <w:t>: les collectivités territoriales sont responsabilisées en matière de protection de l’environnement et de la gestion des ressources naturelles</w:t>
      </w:r>
      <w:r>
        <w:rPr>
          <w:rFonts w:cs="Arial"/>
          <w:sz w:val="20"/>
          <w:szCs w:val="20"/>
          <w:lang w:val="fr-FR"/>
        </w:rPr>
        <w:t>.</w:t>
      </w:r>
    </w:p>
    <w:p w14:paraId="07FA1F40" w14:textId="77777777" w:rsidR="00883224" w:rsidRDefault="00883224" w:rsidP="00883224">
      <w:pPr>
        <w:pStyle w:val="Pardeliste"/>
        <w:rPr>
          <w:rFonts w:cs="Arial"/>
          <w:color w:val="0070C0"/>
          <w:sz w:val="18"/>
          <w:szCs w:val="18"/>
          <w:lang w:val="fr-FR"/>
        </w:rPr>
      </w:pPr>
    </w:p>
    <w:p w14:paraId="218D7D65" w14:textId="77777777" w:rsidR="00883224" w:rsidRPr="003F52D9" w:rsidRDefault="00883224" w:rsidP="00883224">
      <w:pPr>
        <w:pStyle w:val="Pardeliste"/>
        <w:spacing w:after="0" w:line="240" w:lineRule="auto"/>
        <w:ind w:left="1700"/>
        <w:rPr>
          <w:rFonts w:cs="Arial"/>
          <w:color w:val="0070C0"/>
          <w:sz w:val="18"/>
          <w:szCs w:val="18"/>
          <w:lang w:val="fr-FR"/>
        </w:rPr>
      </w:pPr>
    </w:p>
    <w:p w14:paraId="4C10466F" w14:textId="77777777" w:rsidR="00883224" w:rsidRPr="006F16DA" w:rsidRDefault="00883224" w:rsidP="00883224">
      <w:pPr>
        <w:pStyle w:val="Pardeliste"/>
        <w:numPr>
          <w:ilvl w:val="0"/>
          <w:numId w:val="1"/>
        </w:numPr>
        <w:tabs>
          <w:tab w:val="clear" w:pos="360"/>
        </w:tabs>
        <w:autoSpaceDE w:val="0"/>
        <w:autoSpaceDN w:val="0"/>
        <w:adjustRightInd w:val="0"/>
        <w:spacing w:after="0" w:line="240" w:lineRule="auto"/>
        <w:ind w:left="709" w:hanging="567"/>
        <w:rPr>
          <w:rFonts w:cs="Arial"/>
          <w:color w:val="000000" w:themeColor="text1"/>
          <w:sz w:val="20"/>
          <w:szCs w:val="20"/>
          <w:lang w:val="fr-FR"/>
        </w:rPr>
      </w:pPr>
      <w:r w:rsidRPr="006F16DA">
        <w:rPr>
          <w:rFonts w:cs="Arial"/>
          <w:color w:val="000000" w:themeColor="text1"/>
          <w:sz w:val="20"/>
          <w:szCs w:val="20"/>
          <w:lang w:val="fr-FR"/>
        </w:rPr>
        <w:t>Le décret n ° 04-137 (bis) du 27 avril 2004 fixant la répartition des recettes perçues à l</w:t>
      </w:r>
      <w:r>
        <w:rPr>
          <w:rFonts w:cs="Arial"/>
          <w:color w:val="000000" w:themeColor="text1"/>
          <w:sz w:val="20"/>
          <w:szCs w:val="20"/>
          <w:lang w:val="fr-FR"/>
        </w:rPr>
        <w:t>’</w:t>
      </w:r>
      <w:r w:rsidRPr="006F16DA">
        <w:rPr>
          <w:rFonts w:cs="Arial"/>
          <w:color w:val="000000" w:themeColor="text1"/>
          <w:sz w:val="20"/>
          <w:szCs w:val="20"/>
          <w:lang w:val="fr-FR"/>
        </w:rPr>
        <w:t>occasion de l</w:t>
      </w:r>
      <w:r>
        <w:rPr>
          <w:rFonts w:cs="Arial"/>
          <w:color w:val="000000" w:themeColor="text1"/>
          <w:sz w:val="20"/>
          <w:szCs w:val="20"/>
          <w:lang w:val="fr-FR"/>
        </w:rPr>
        <w:t>’</w:t>
      </w:r>
      <w:r w:rsidRPr="006F16DA">
        <w:rPr>
          <w:rFonts w:cs="Arial"/>
          <w:color w:val="000000" w:themeColor="text1"/>
          <w:sz w:val="20"/>
          <w:szCs w:val="20"/>
          <w:lang w:val="fr-FR"/>
        </w:rPr>
        <w:t>exploitation des domaines forestiers et fauniques de l</w:t>
      </w:r>
      <w:r>
        <w:rPr>
          <w:rFonts w:cs="Arial"/>
          <w:color w:val="000000" w:themeColor="text1"/>
          <w:sz w:val="20"/>
          <w:szCs w:val="20"/>
          <w:lang w:val="fr-FR"/>
        </w:rPr>
        <w:t>’</w:t>
      </w:r>
      <w:r w:rsidRPr="006F16DA">
        <w:rPr>
          <w:rFonts w:cs="Arial"/>
          <w:color w:val="000000" w:themeColor="text1"/>
          <w:sz w:val="20"/>
          <w:szCs w:val="20"/>
          <w:lang w:val="fr-FR"/>
        </w:rPr>
        <w:t>Etat entre les fonds d’aména</w:t>
      </w:r>
      <w:r w:rsidR="00D65E1F">
        <w:rPr>
          <w:rFonts w:cs="Arial"/>
          <w:color w:val="000000" w:themeColor="text1"/>
          <w:sz w:val="20"/>
          <w:szCs w:val="20"/>
          <w:lang w:val="fr-FR"/>
        </w:rPr>
        <w:t>gement et de protection des forê</w:t>
      </w:r>
      <w:r w:rsidRPr="006F16DA">
        <w:rPr>
          <w:rFonts w:cs="Arial"/>
          <w:color w:val="000000" w:themeColor="text1"/>
          <w:sz w:val="20"/>
          <w:szCs w:val="20"/>
          <w:lang w:val="fr-FR"/>
        </w:rPr>
        <w:t>ts et de la faune et les budgets des collectivités territoriales</w:t>
      </w:r>
    </w:p>
    <w:p w14:paraId="276AF9C0" w14:textId="77777777" w:rsidR="00883224" w:rsidRPr="006F16DA" w:rsidRDefault="00883224" w:rsidP="00883224">
      <w:pPr>
        <w:pStyle w:val="PuceBleue"/>
        <w:numPr>
          <w:ilvl w:val="0"/>
          <w:numId w:val="0"/>
        </w:numPr>
        <w:spacing w:after="0" w:line="240" w:lineRule="auto"/>
        <w:rPr>
          <w:rFonts w:cs="Arial"/>
          <w:color w:val="000000" w:themeColor="text1"/>
          <w:sz w:val="20"/>
          <w:szCs w:val="20"/>
          <w:lang w:val="fr-FR"/>
        </w:rPr>
      </w:pPr>
    </w:p>
    <w:p w14:paraId="4DFC0408" w14:textId="77777777" w:rsidR="00883224" w:rsidRPr="006F16DA" w:rsidRDefault="00883224" w:rsidP="00883224">
      <w:pPr>
        <w:pStyle w:val="PuceBleue"/>
        <w:spacing w:after="0" w:line="240" w:lineRule="auto"/>
        <w:ind w:left="714" w:hanging="572"/>
        <w:rPr>
          <w:rFonts w:cs="Arial"/>
          <w:color w:val="000000" w:themeColor="text1"/>
          <w:sz w:val="20"/>
          <w:szCs w:val="20"/>
          <w:lang w:val="fr-FR"/>
        </w:rPr>
      </w:pPr>
      <w:r w:rsidRPr="006F16DA">
        <w:rPr>
          <w:rFonts w:cs="Arial"/>
          <w:color w:val="000000" w:themeColor="text1"/>
          <w:sz w:val="20"/>
          <w:szCs w:val="20"/>
          <w:lang w:val="fr-FR"/>
        </w:rPr>
        <w:t>Loi N°07-072 du 25 décembre 2007 relative au fonds national d’appui aux collectivités territoriales.</w:t>
      </w:r>
    </w:p>
    <w:p w14:paraId="5833731B" w14:textId="77777777" w:rsidR="00883224" w:rsidRPr="006F16DA" w:rsidRDefault="00883224" w:rsidP="00883224">
      <w:pPr>
        <w:pStyle w:val="PuceBleue"/>
        <w:numPr>
          <w:ilvl w:val="0"/>
          <w:numId w:val="0"/>
        </w:numPr>
        <w:spacing w:after="0" w:line="240" w:lineRule="auto"/>
        <w:ind w:left="714"/>
        <w:rPr>
          <w:rFonts w:cs="Arial"/>
          <w:color w:val="000000" w:themeColor="text1"/>
          <w:sz w:val="20"/>
          <w:szCs w:val="20"/>
          <w:lang w:val="fr-FR"/>
        </w:rPr>
      </w:pPr>
    </w:p>
    <w:p w14:paraId="48D3C898" w14:textId="77777777" w:rsidR="00883224" w:rsidRPr="00CE03E2" w:rsidRDefault="00883224" w:rsidP="00883224">
      <w:pPr>
        <w:pStyle w:val="PuceBleue"/>
        <w:spacing w:after="0" w:line="240" w:lineRule="auto"/>
        <w:ind w:left="714" w:hanging="572"/>
        <w:rPr>
          <w:rFonts w:cs="Arial"/>
          <w:sz w:val="20"/>
          <w:szCs w:val="20"/>
          <w:lang w:val="fr-FR"/>
        </w:rPr>
      </w:pPr>
      <w:r w:rsidRPr="006F16DA">
        <w:rPr>
          <w:rFonts w:cs="Arial"/>
          <w:color w:val="000000" w:themeColor="text1"/>
          <w:sz w:val="20"/>
          <w:szCs w:val="20"/>
          <w:lang w:val="fr-FR"/>
        </w:rPr>
        <w:t xml:space="preserve">Loi N°2011-036 du 15 juillet </w:t>
      </w:r>
      <w:r w:rsidRPr="00CE03E2">
        <w:rPr>
          <w:rFonts w:cs="Arial"/>
          <w:sz w:val="20"/>
          <w:szCs w:val="20"/>
          <w:lang w:val="fr-FR"/>
        </w:rPr>
        <w:t>2011 relative aux ressources fiscales des communes, des cercles et des régions.</w:t>
      </w:r>
    </w:p>
    <w:p w14:paraId="7FC35DBC" w14:textId="77777777" w:rsidR="00883224" w:rsidRPr="00CE03E2" w:rsidRDefault="00883224" w:rsidP="00883224">
      <w:pPr>
        <w:pStyle w:val="PuceBleue"/>
        <w:numPr>
          <w:ilvl w:val="1"/>
          <w:numId w:val="8"/>
        </w:numPr>
        <w:spacing w:after="0" w:line="240" w:lineRule="auto"/>
        <w:ind w:left="993"/>
        <w:rPr>
          <w:rFonts w:cs="Arial"/>
          <w:sz w:val="20"/>
          <w:szCs w:val="20"/>
          <w:lang w:val="fr-FR"/>
        </w:rPr>
      </w:pPr>
      <w:r w:rsidRPr="00CE03E2">
        <w:rPr>
          <w:rFonts w:cs="Arial"/>
          <w:sz w:val="20"/>
          <w:szCs w:val="20"/>
          <w:lang w:val="fr-FR"/>
        </w:rPr>
        <w:t>Décret N°2016-0006 P-RM 15 janvier 2016 instituant le Mécanisme national d’Alerte précoce et de Réponse aux risques sécuritaires.</w:t>
      </w:r>
    </w:p>
    <w:p w14:paraId="04EFF26E" w14:textId="77777777" w:rsidR="00883224" w:rsidRPr="00CE03E2" w:rsidRDefault="00883224" w:rsidP="00883224">
      <w:pPr>
        <w:pStyle w:val="PuceBleue"/>
        <w:numPr>
          <w:ilvl w:val="0"/>
          <w:numId w:val="0"/>
        </w:numPr>
        <w:spacing w:after="0" w:line="240" w:lineRule="auto"/>
        <w:ind w:left="993"/>
        <w:rPr>
          <w:rFonts w:cs="Arial"/>
          <w:sz w:val="20"/>
          <w:szCs w:val="20"/>
          <w:lang w:val="fr-FR"/>
        </w:rPr>
      </w:pPr>
    </w:p>
    <w:p w14:paraId="043426A1" w14:textId="77777777" w:rsidR="00883224" w:rsidRPr="00CE03E2" w:rsidRDefault="00883224" w:rsidP="00883224">
      <w:pPr>
        <w:pStyle w:val="PuceBleue"/>
        <w:spacing w:after="0" w:line="240" w:lineRule="auto"/>
        <w:ind w:left="714" w:hanging="572"/>
        <w:rPr>
          <w:rFonts w:cs="Arial"/>
          <w:sz w:val="20"/>
          <w:szCs w:val="20"/>
          <w:lang w:val="fr-FR"/>
        </w:rPr>
      </w:pPr>
      <w:r w:rsidRPr="00CE03E2">
        <w:rPr>
          <w:rFonts w:cs="Arial"/>
          <w:sz w:val="20"/>
          <w:szCs w:val="20"/>
          <w:lang w:val="fr-FR"/>
        </w:rPr>
        <w:t>Loi N° 2016-061 du 30 décembre 2016 relative aux Partenariats Public-Privé</w:t>
      </w:r>
    </w:p>
    <w:p w14:paraId="5FBA9899" w14:textId="77777777" w:rsidR="00883224" w:rsidRPr="00CE03E2" w:rsidRDefault="00883224" w:rsidP="00883224">
      <w:pPr>
        <w:pStyle w:val="PuceBleue"/>
        <w:numPr>
          <w:ilvl w:val="0"/>
          <w:numId w:val="0"/>
        </w:numPr>
        <w:spacing w:after="0" w:line="240" w:lineRule="auto"/>
        <w:ind w:left="714"/>
        <w:rPr>
          <w:rFonts w:cs="Arial"/>
          <w:sz w:val="20"/>
          <w:szCs w:val="20"/>
          <w:lang w:val="fr-FR"/>
        </w:rPr>
      </w:pPr>
    </w:p>
    <w:p w14:paraId="147D0292" w14:textId="77777777" w:rsidR="00883224" w:rsidRPr="00CE03E2" w:rsidRDefault="00883224" w:rsidP="00883224">
      <w:pPr>
        <w:pStyle w:val="PuceBleue"/>
        <w:spacing w:after="0" w:line="240" w:lineRule="auto"/>
        <w:ind w:left="709" w:hanging="567"/>
        <w:rPr>
          <w:rFonts w:cs="Arial"/>
          <w:sz w:val="20"/>
          <w:szCs w:val="20"/>
          <w:lang w:val="fr-FR"/>
        </w:rPr>
      </w:pPr>
      <w:r w:rsidRPr="00CE03E2">
        <w:rPr>
          <w:rFonts w:cs="Arial"/>
          <w:sz w:val="20"/>
          <w:szCs w:val="20"/>
          <w:lang w:val="fr-FR"/>
        </w:rPr>
        <w:t>Loi 2017-051 du 02 octobre 2017 portant Code des Collectivités Territoriales</w:t>
      </w:r>
    </w:p>
    <w:p w14:paraId="1AD85E7A" w14:textId="77777777" w:rsidR="00883224" w:rsidRPr="00CE03E2" w:rsidRDefault="00883224" w:rsidP="00883224">
      <w:pPr>
        <w:pStyle w:val="PuceBleue"/>
        <w:numPr>
          <w:ilvl w:val="0"/>
          <w:numId w:val="43"/>
        </w:numPr>
        <w:spacing w:after="0" w:line="240" w:lineRule="auto"/>
        <w:ind w:left="993"/>
        <w:rPr>
          <w:rFonts w:cs="Arial"/>
          <w:sz w:val="20"/>
          <w:szCs w:val="20"/>
          <w:lang w:val="fr-FR"/>
        </w:rPr>
      </w:pPr>
      <w:r w:rsidRPr="00CE03E2">
        <w:rPr>
          <w:rFonts w:cs="Arial"/>
          <w:sz w:val="20"/>
          <w:szCs w:val="20"/>
          <w:lang w:val="fr-FR"/>
        </w:rPr>
        <w:lastRenderedPageBreak/>
        <w:t>Décret N°2018-0079/P-RM du 29 janvier 2018 fixant le détail des compétences de l’Etat transférées aux collectivités territoriales en matière de gestion des ressources forestières et fauniques.</w:t>
      </w:r>
    </w:p>
    <w:p w14:paraId="79AD3413" w14:textId="77777777" w:rsidR="00883224" w:rsidRPr="00CE03E2" w:rsidRDefault="00883224" w:rsidP="00883224">
      <w:pPr>
        <w:pStyle w:val="PuceBleue"/>
        <w:numPr>
          <w:ilvl w:val="0"/>
          <w:numId w:val="0"/>
        </w:numPr>
        <w:spacing w:after="0" w:line="240" w:lineRule="auto"/>
        <w:ind w:left="993"/>
        <w:rPr>
          <w:rFonts w:cs="Arial"/>
          <w:sz w:val="20"/>
          <w:szCs w:val="20"/>
          <w:lang w:val="fr-FR"/>
        </w:rPr>
      </w:pPr>
    </w:p>
    <w:p w14:paraId="04B3C13B" w14:textId="77777777" w:rsidR="00883224" w:rsidRPr="00CE03E2" w:rsidRDefault="00883224" w:rsidP="00883224">
      <w:pPr>
        <w:spacing w:after="0" w:line="240" w:lineRule="auto"/>
        <w:rPr>
          <w:rFonts w:cs="Arial"/>
          <w:b/>
          <w:i/>
          <w:lang w:val="fr-FR"/>
        </w:rPr>
      </w:pPr>
      <w:r w:rsidRPr="00CE03E2">
        <w:rPr>
          <w:rFonts w:cs="Arial"/>
          <w:b/>
          <w:i/>
          <w:lang w:val="fr-FR"/>
        </w:rPr>
        <w:t>Déchets, installations classées, pollutions</w:t>
      </w:r>
    </w:p>
    <w:p w14:paraId="7F089F84" w14:textId="77777777" w:rsidR="00883224" w:rsidRPr="00CE03E2" w:rsidRDefault="00883224" w:rsidP="00883224">
      <w:pPr>
        <w:numPr>
          <w:ilvl w:val="1"/>
          <w:numId w:val="1"/>
        </w:numPr>
        <w:spacing w:after="0" w:line="240" w:lineRule="auto"/>
        <w:rPr>
          <w:rFonts w:cs="Arial"/>
          <w:sz w:val="20"/>
          <w:szCs w:val="20"/>
          <w:lang w:val="fr-FR"/>
        </w:rPr>
      </w:pPr>
      <w:r w:rsidRPr="00CE03E2">
        <w:rPr>
          <w:rFonts w:cs="Arial"/>
          <w:sz w:val="20"/>
          <w:szCs w:val="20"/>
          <w:lang w:val="fr-FR"/>
        </w:rPr>
        <w:t xml:space="preserve">Décret n°99-189/P-RM du 05 juillet 1999 porte institution de la procédure d’étude d’impact : il définit les projets qui sont soumis à une étude d’impact préalable. Il a ensuite été modifié par le décret No 03-594/P-RM du 31 décembre 2003 relatif à l’Étude d’impact sur l’environnement. </w:t>
      </w:r>
    </w:p>
    <w:p w14:paraId="08DC75CE" w14:textId="77777777" w:rsidR="00883224" w:rsidRPr="00CE03E2" w:rsidRDefault="00883224" w:rsidP="00883224">
      <w:pPr>
        <w:spacing w:after="0" w:line="240" w:lineRule="auto"/>
        <w:ind w:left="720"/>
        <w:rPr>
          <w:rFonts w:cs="Arial"/>
          <w:sz w:val="20"/>
          <w:szCs w:val="20"/>
          <w:lang w:val="fr-FR"/>
        </w:rPr>
      </w:pPr>
    </w:p>
    <w:p w14:paraId="0CA01437" w14:textId="77777777" w:rsidR="00883224" w:rsidRPr="00CE03E2" w:rsidRDefault="00883224" w:rsidP="00883224">
      <w:pPr>
        <w:numPr>
          <w:ilvl w:val="0"/>
          <w:numId w:val="1"/>
        </w:numPr>
        <w:tabs>
          <w:tab w:val="clear" w:pos="360"/>
        </w:tabs>
        <w:spacing w:after="0" w:line="240" w:lineRule="auto"/>
        <w:ind w:left="720" w:hanging="540"/>
        <w:rPr>
          <w:rFonts w:cs="Arial"/>
          <w:sz w:val="20"/>
          <w:szCs w:val="20"/>
          <w:lang w:val="fr-FR"/>
        </w:rPr>
      </w:pPr>
      <w:r w:rsidRPr="00CE03E2">
        <w:rPr>
          <w:rFonts w:cs="Arial"/>
          <w:sz w:val="20"/>
          <w:szCs w:val="20"/>
          <w:lang w:val="fr-FR"/>
        </w:rPr>
        <w:t>Loi N°01-020 du 30 mai 2001 relative aux pollutions et aux nuisances et la gestion des  déchets  - application du principe pollueur-payeur.</w:t>
      </w:r>
    </w:p>
    <w:p w14:paraId="7434342E" w14:textId="77777777" w:rsidR="00883224" w:rsidRPr="00CE03E2" w:rsidRDefault="00883224" w:rsidP="00883224">
      <w:pPr>
        <w:numPr>
          <w:ilvl w:val="1"/>
          <w:numId w:val="1"/>
        </w:numPr>
        <w:spacing w:after="0" w:line="240" w:lineRule="auto"/>
        <w:ind w:hanging="229"/>
        <w:rPr>
          <w:rFonts w:cs="Arial"/>
          <w:sz w:val="18"/>
          <w:szCs w:val="18"/>
          <w:lang w:val="fr-FR"/>
        </w:rPr>
      </w:pPr>
      <w:r w:rsidRPr="00CE03E2">
        <w:rPr>
          <w:rFonts w:cs="Arial"/>
          <w:sz w:val="18"/>
          <w:szCs w:val="18"/>
          <w:lang w:val="fr-FR"/>
        </w:rPr>
        <w:t>Décret N°01-394/P-RM du 06 septembre 2001 fixant les modalités de gestion des déchets solides.</w:t>
      </w:r>
    </w:p>
    <w:p w14:paraId="11C2BD61" w14:textId="77777777" w:rsidR="00883224" w:rsidRPr="00CE03E2" w:rsidRDefault="00883224" w:rsidP="00883224">
      <w:pPr>
        <w:numPr>
          <w:ilvl w:val="1"/>
          <w:numId w:val="1"/>
        </w:numPr>
        <w:tabs>
          <w:tab w:val="clear" w:pos="1080"/>
          <w:tab w:val="num" w:pos="1134"/>
        </w:tabs>
        <w:spacing w:after="0" w:line="240" w:lineRule="auto"/>
        <w:ind w:hanging="229"/>
        <w:rPr>
          <w:rFonts w:cs="Arial"/>
          <w:sz w:val="18"/>
          <w:szCs w:val="18"/>
          <w:lang w:val="fr-FR"/>
        </w:rPr>
      </w:pPr>
      <w:r w:rsidRPr="00CE03E2">
        <w:rPr>
          <w:rFonts w:cs="Arial"/>
          <w:sz w:val="18"/>
          <w:szCs w:val="18"/>
          <w:lang w:val="fr-FR"/>
        </w:rPr>
        <w:t xml:space="preserve">Décret n°01-395/P-RM du 06 septembre 2001 fixant les modalités de gestion des eaux et des gadoues. </w:t>
      </w:r>
    </w:p>
    <w:p w14:paraId="76E7DEAB" w14:textId="77777777" w:rsidR="00883224" w:rsidRPr="00CE03E2" w:rsidRDefault="00883224" w:rsidP="00883224">
      <w:pPr>
        <w:numPr>
          <w:ilvl w:val="1"/>
          <w:numId w:val="1"/>
        </w:numPr>
        <w:spacing w:after="0" w:line="240" w:lineRule="auto"/>
        <w:ind w:hanging="229"/>
        <w:rPr>
          <w:rFonts w:cs="Arial"/>
          <w:sz w:val="18"/>
          <w:szCs w:val="18"/>
          <w:lang w:val="fr-FR"/>
        </w:rPr>
      </w:pPr>
      <w:r w:rsidRPr="00CE03E2">
        <w:rPr>
          <w:rFonts w:cs="Arial"/>
          <w:sz w:val="18"/>
          <w:szCs w:val="18"/>
          <w:lang w:val="fr-FR"/>
        </w:rPr>
        <w:t xml:space="preserve">Décret N°01-396/P-RM du 06 septembre 2001 fixant les modalités de gestion des pollutions sonores. </w:t>
      </w:r>
    </w:p>
    <w:p w14:paraId="38563B4F" w14:textId="77777777" w:rsidR="00883224" w:rsidRPr="00CE03E2" w:rsidRDefault="00883224" w:rsidP="00883224">
      <w:pPr>
        <w:numPr>
          <w:ilvl w:val="1"/>
          <w:numId w:val="1"/>
        </w:numPr>
        <w:spacing w:after="0" w:line="240" w:lineRule="auto"/>
        <w:ind w:hanging="229"/>
        <w:rPr>
          <w:rFonts w:cs="Arial"/>
          <w:sz w:val="18"/>
          <w:szCs w:val="18"/>
          <w:lang w:val="fr-FR"/>
        </w:rPr>
      </w:pPr>
      <w:r w:rsidRPr="00CE03E2">
        <w:rPr>
          <w:rFonts w:cs="Arial"/>
          <w:sz w:val="18"/>
          <w:szCs w:val="18"/>
          <w:lang w:val="fr-FR"/>
        </w:rPr>
        <w:t>Décret n°01-397/P-RM du 06 septembre 2001 fixant les modalités de gestion des polluants de l’atmosphère.</w:t>
      </w:r>
    </w:p>
    <w:p w14:paraId="5F2E22D5" w14:textId="77777777" w:rsidR="00883224" w:rsidRPr="00CE03E2" w:rsidRDefault="00883224" w:rsidP="00883224">
      <w:pPr>
        <w:pStyle w:val="Pardeliste"/>
        <w:numPr>
          <w:ilvl w:val="1"/>
          <w:numId w:val="1"/>
        </w:numPr>
        <w:spacing w:after="0" w:line="240" w:lineRule="auto"/>
        <w:ind w:hanging="229"/>
        <w:rPr>
          <w:rFonts w:cs="Arial"/>
          <w:sz w:val="18"/>
          <w:szCs w:val="18"/>
          <w:lang w:val="fr-FR"/>
        </w:rPr>
      </w:pPr>
      <w:r w:rsidRPr="00CE03E2">
        <w:rPr>
          <w:rFonts w:cs="Arial"/>
          <w:sz w:val="18"/>
          <w:szCs w:val="18"/>
          <w:lang w:val="fr-FR"/>
        </w:rPr>
        <w:t>Décret N°06-258/P-RM du 22 juin 2006 fixant les conditions d’exécution de l’audit de l’environnement.</w:t>
      </w:r>
    </w:p>
    <w:p w14:paraId="07FB3D1E" w14:textId="77777777" w:rsidR="00883224" w:rsidRPr="00CE03E2" w:rsidRDefault="00883224" w:rsidP="00883224">
      <w:pPr>
        <w:numPr>
          <w:ilvl w:val="1"/>
          <w:numId w:val="1"/>
        </w:numPr>
        <w:tabs>
          <w:tab w:val="clear" w:pos="1080"/>
          <w:tab w:val="num" w:pos="1134"/>
        </w:tabs>
        <w:spacing w:after="0" w:line="240" w:lineRule="auto"/>
        <w:ind w:hanging="229"/>
        <w:rPr>
          <w:rFonts w:cs="Arial"/>
          <w:sz w:val="18"/>
          <w:szCs w:val="18"/>
          <w:lang w:val="fr-FR"/>
        </w:rPr>
      </w:pPr>
      <w:r w:rsidRPr="00CE03E2">
        <w:rPr>
          <w:rFonts w:cs="Arial"/>
          <w:sz w:val="18"/>
          <w:szCs w:val="18"/>
          <w:lang w:val="fr-FR"/>
        </w:rPr>
        <w:t>Décret N°07-023/P-RM du 22 janvier 2007 portant réglementation de l’importation, de la commercialisation, de l’utilisation et de la réexportation des substances qui appauvrissent la couche d’ozone (SAO) et des équipements les contenant (Article 8 : L’utilisation des Chlorofluorocarbones (CFC) inscrit à l’annexe 1 du présent décret est interdite.</w:t>
      </w:r>
    </w:p>
    <w:p w14:paraId="4C64656A" w14:textId="77777777" w:rsidR="00883224" w:rsidRPr="00CE03E2" w:rsidRDefault="00883224" w:rsidP="00883224">
      <w:pPr>
        <w:pStyle w:val="Pardeliste"/>
        <w:numPr>
          <w:ilvl w:val="1"/>
          <w:numId w:val="1"/>
        </w:numPr>
        <w:spacing w:after="0" w:line="240" w:lineRule="auto"/>
        <w:ind w:hanging="229"/>
        <w:rPr>
          <w:rFonts w:cs="Arial"/>
          <w:sz w:val="18"/>
          <w:szCs w:val="18"/>
          <w:lang w:val="fr-FR"/>
        </w:rPr>
      </w:pPr>
      <w:r w:rsidRPr="00CE03E2">
        <w:rPr>
          <w:rFonts w:cs="Arial"/>
          <w:sz w:val="18"/>
          <w:szCs w:val="18"/>
          <w:lang w:val="fr-FR"/>
        </w:rPr>
        <w:t>Décret N°07-135/PR-M du 16 mars 2007 fixant la liste des déchets dangereux.</w:t>
      </w:r>
    </w:p>
    <w:p w14:paraId="42937238" w14:textId="77777777" w:rsidR="00883224" w:rsidRPr="00CE03E2" w:rsidRDefault="00883224" w:rsidP="00883224">
      <w:pPr>
        <w:numPr>
          <w:ilvl w:val="1"/>
          <w:numId w:val="1"/>
        </w:numPr>
        <w:spacing w:after="0" w:line="240" w:lineRule="auto"/>
        <w:ind w:hanging="229"/>
        <w:rPr>
          <w:rFonts w:cs="Arial"/>
          <w:sz w:val="18"/>
          <w:szCs w:val="18"/>
          <w:lang w:val="fr-FR"/>
        </w:rPr>
      </w:pPr>
      <w:r w:rsidRPr="00CE03E2">
        <w:rPr>
          <w:rFonts w:cs="Arial"/>
          <w:sz w:val="18"/>
          <w:szCs w:val="18"/>
          <w:lang w:val="fr-FR"/>
        </w:rPr>
        <w:t>Décret N°08-346/P-RM du 26 juin 2008 relatif à l’étude d’impact environnemental et social.</w:t>
      </w:r>
    </w:p>
    <w:p w14:paraId="2D919899" w14:textId="77777777" w:rsidR="00883224" w:rsidRPr="00CE03E2" w:rsidRDefault="00883224" w:rsidP="00883224">
      <w:pPr>
        <w:numPr>
          <w:ilvl w:val="1"/>
          <w:numId w:val="1"/>
        </w:numPr>
        <w:spacing w:after="0" w:line="240" w:lineRule="auto"/>
        <w:ind w:hanging="229"/>
        <w:rPr>
          <w:rFonts w:cs="Arial"/>
          <w:sz w:val="18"/>
          <w:szCs w:val="18"/>
          <w:lang w:val="fr-FR"/>
        </w:rPr>
      </w:pPr>
      <w:r w:rsidRPr="00CE03E2">
        <w:rPr>
          <w:rFonts w:cs="Arial"/>
          <w:sz w:val="18"/>
          <w:szCs w:val="18"/>
          <w:lang w:val="fr-FR"/>
        </w:rPr>
        <w:t>Décret N°09-318/P-RM du 26 juin 2009 portant modification du décret relatif à l’étude d’impact environnemental et social.</w:t>
      </w:r>
    </w:p>
    <w:p w14:paraId="4597FFA5" w14:textId="77777777" w:rsidR="00883224" w:rsidRPr="00CE03E2" w:rsidRDefault="00883224" w:rsidP="00883224">
      <w:pPr>
        <w:spacing w:after="0" w:line="240" w:lineRule="auto"/>
        <w:ind w:left="1416"/>
        <w:rPr>
          <w:rFonts w:cs="Arial"/>
          <w:sz w:val="18"/>
          <w:szCs w:val="18"/>
          <w:lang w:val="fr-FR"/>
        </w:rPr>
      </w:pPr>
      <w:r w:rsidRPr="00CE03E2">
        <w:rPr>
          <w:rFonts w:cs="Arial"/>
          <w:sz w:val="18"/>
          <w:szCs w:val="18"/>
          <w:lang w:val="fr-FR"/>
        </w:rPr>
        <w:t>-Arrêté interministériel N°10-1509/MEA-MIIC-MEF fixant le montant, les modalités de paiement et de gestion des frais afférents aux activités relatives à l’Etude d’Impact Environnemental et Social.</w:t>
      </w:r>
    </w:p>
    <w:p w14:paraId="73374384" w14:textId="77777777" w:rsidR="00883224" w:rsidRPr="00CE03E2" w:rsidRDefault="00883224" w:rsidP="00883224">
      <w:pPr>
        <w:pStyle w:val="Pardeliste"/>
        <w:spacing w:after="0" w:line="240" w:lineRule="auto"/>
        <w:ind w:left="1418"/>
        <w:rPr>
          <w:rFonts w:cs="Arial"/>
          <w:sz w:val="18"/>
          <w:szCs w:val="18"/>
          <w:lang w:val="fr-FR"/>
        </w:rPr>
      </w:pPr>
      <w:r w:rsidRPr="00CE03E2">
        <w:rPr>
          <w:rFonts w:cs="Arial"/>
          <w:sz w:val="18"/>
          <w:szCs w:val="18"/>
          <w:lang w:val="fr-FR"/>
        </w:rPr>
        <w:t>-Arrêté interministériel N°06-1218/MEA-MEF-MIC-MET-MMEE-MS portant interdiction de l’importation et de la commercialisation de l’essence avec plomb au Mali du 13 juin 2006.</w:t>
      </w:r>
    </w:p>
    <w:p w14:paraId="2A261258" w14:textId="77777777" w:rsidR="00883224" w:rsidRPr="00CE03E2" w:rsidRDefault="00883224" w:rsidP="00883224">
      <w:pPr>
        <w:pStyle w:val="PuceBleue"/>
        <w:numPr>
          <w:ilvl w:val="0"/>
          <w:numId w:val="0"/>
        </w:numPr>
        <w:spacing w:after="0" w:line="240" w:lineRule="auto"/>
        <w:ind w:left="1418"/>
        <w:rPr>
          <w:rFonts w:cs="Arial"/>
          <w:sz w:val="18"/>
          <w:szCs w:val="18"/>
          <w:lang w:val="fr-FR"/>
        </w:rPr>
      </w:pPr>
      <w:r w:rsidRPr="00CE03E2">
        <w:rPr>
          <w:rFonts w:cs="Arial"/>
          <w:sz w:val="18"/>
          <w:szCs w:val="18"/>
          <w:lang w:val="fr-FR"/>
        </w:rPr>
        <w:t>-Arrêté interministériel N°09-0767/MEA-MEIC-MEME-SG du 06 avril 2009 rendant obligatoire l’application des normes maliennes de rejets des eaux usées.</w:t>
      </w:r>
    </w:p>
    <w:p w14:paraId="119A8952" w14:textId="77777777" w:rsidR="00883224" w:rsidRPr="00CE03E2" w:rsidRDefault="00883224" w:rsidP="00883224">
      <w:pPr>
        <w:pStyle w:val="PuceBleue"/>
        <w:numPr>
          <w:ilvl w:val="0"/>
          <w:numId w:val="0"/>
        </w:numPr>
        <w:spacing w:after="0" w:line="240" w:lineRule="auto"/>
        <w:ind w:left="1418"/>
        <w:rPr>
          <w:rFonts w:cs="Arial"/>
          <w:sz w:val="18"/>
          <w:szCs w:val="18"/>
          <w:lang w:val="fr-FR"/>
        </w:rPr>
      </w:pPr>
      <w:r w:rsidRPr="00CE03E2">
        <w:rPr>
          <w:rFonts w:cs="Arial"/>
          <w:sz w:val="18"/>
          <w:szCs w:val="18"/>
          <w:lang w:val="fr-FR"/>
        </w:rPr>
        <w:t>-Arrêté interministériel N°2013-0256/MEA-MATDAT-SG du 29 janvier 2013 fixant les modalités de la consultation publique en matière d’étude d’impact environnemental et social.</w:t>
      </w:r>
    </w:p>
    <w:p w14:paraId="7092CFF9" w14:textId="77777777" w:rsidR="00883224" w:rsidRPr="00CE03E2" w:rsidRDefault="00883224" w:rsidP="00883224">
      <w:pPr>
        <w:spacing w:after="0" w:line="240" w:lineRule="auto"/>
        <w:ind w:left="1418"/>
        <w:rPr>
          <w:rFonts w:cs="Arial"/>
          <w:sz w:val="18"/>
          <w:szCs w:val="18"/>
          <w:lang w:val="fr-FR"/>
        </w:rPr>
      </w:pPr>
    </w:p>
    <w:p w14:paraId="4B4184B5" w14:textId="77777777" w:rsidR="00883224" w:rsidRPr="00CE03E2" w:rsidRDefault="00883224" w:rsidP="00883224">
      <w:pPr>
        <w:numPr>
          <w:ilvl w:val="0"/>
          <w:numId w:val="1"/>
        </w:numPr>
        <w:tabs>
          <w:tab w:val="clear" w:pos="360"/>
        </w:tabs>
        <w:spacing w:after="0" w:line="240" w:lineRule="auto"/>
        <w:ind w:left="720" w:hanging="540"/>
        <w:rPr>
          <w:rFonts w:cs="Arial"/>
          <w:sz w:val="20"/>
          <w:szCs w:val="20"/>
          <w:lang w:val="fr-FR"/>
        </w:rPr>
      </w:pPr>
      <w:r w:rsidRPr="00CE03E2">
        <w:rPr>
          <w:rFonts w:cs="Arial"/>
          <w:sz w:val="20"/>
          <w:szCs w:val="20"/>
          <w:lang w:val="fr-FR"/>
        </w:rPr>
        <w:t xml:space="preserve">Loi N°01-396 du 06 septembre 2001 fixant les modalités de gestion des pollutions sonores </w:t>
      </w:r>
    </w:p>
    <w:p w14:paraId="2B8CFA55" w14:textId="77777777" w:rsidR="00883224" w:rsidRPr="00CE03E2" w:rsidRDefault="00883224" w:rsidP="00883224">
      <w:pPr>
        <w:spacing w:after="0" w:line="240" w:lineRule="auto"/>
        <w:ind w:left="720"/>
        <w:rPr>
          <w:rFonts w:cs="Arial"/>
          <w:sz w:val="20"/>
          <w:szCs w:val="20"/>
          <w:lang w:val="fr-FR"/>
        </w:rPr>
      </w:pPr>
      <w:r w:rsidRPr="00CE03E2">
        <w:rPr>
          <w:rFonts w:cs="Arial"/>
          <w:sz w:val="20"/>
          <w:szCs w:val="20"/>
          <w:lang w:val="fr-FR"/>
        </w:rPr>
        <w:t>.</w:t>
      </w:r>
    </w:p>
    <w:p w14:paraId="5A6C5BE7" w14:textId="77777777" w:rsidR="00883224" w:rsidRPr="00CE03E2" w:rsidRDefault="00883224" w:rsidP="00883224">
      <w:pPr>
        <w:pStyle w:val="PuceBleue"/>
        <w:spacing w:after="0" w:line="240" w:lineRule="auto"/>
        <w:ind w:left="720" w:hanging="578"/>
        <w:rPr>
          <w:rFonts w:cs="Arial"/>
          <w:sz w:val="20"/>
          <w:szCs w:val="20"/>
          <w:lang w:val="fr-FR"/>
        </w:rPr>
      </w:pPr>
      <w:r w:rsidRPr="00CE03E2">
        <w:rPr>
          <w:rFonts w:cs="Arial"/>
          <w:sz w:val="20"/>
          <w:szCs w:val="20"/>
          <w:lang w:val="fr-FR"/>
        </w:rPr>
        <w:t xml:space="preserve">Ordonnance N°07-015/P-RM du 28 mars 2007 portant création de l’agence nationale de gestion des stations d’épuration du Mali. </w:t>
      </w:r>
    </w:p>
    <w:p w14:paraId="0A0EA2A2" w14:textId="77777777" w:rsidR="00883224" w:rsidRPr="00CE03E2" w:rsidRDefault="00883224" w:rsidP="00883224">
      <w:pPr>
        <w:pStyle w:val="PuceBleue"/>
        <w:numPr>
          <w:ilvl w:val="1"/>
          <w:numId w:val="11"/>
        </w:numPr>
        <w:spacing w:after="0" w:line="240" w:lineRule="auto"/>
        <w:rPr>
          <w:rFonts w:cs="Arial"/>
          <w:sz w:val="18"/>
          <w:szCs w:val="18"/>
          <w:lang w:val="fr-FR"/>
        </w:rPr>
      </w:pPr>
      <w:r w:rsidRPr="00CE03E2">
        <w:rPr>
          <w:rFonts w:cs="Arial"/>
          <w:sz w:val="18"/>
          <w:szCs w:val="18"/>
          <w:lang w:val="fr-FR"/>
        </w:rPr>
        <w:t>Article 1</w:t>
      </w:r>
      <w:r w:rsidRPr="00CE03E2">
        <w:rPr>
          <w:rFonts w:cs="Arial"/>
          <w:sz w:val="18"/>
          <w:szCs w:val="18"/>
          <w:vertAlign w:val="superscript"/>
          <w:lang w:val="fr-FR"/>
        </w:rPr>
        <w:t>er</w:t>
      </w:r>
      <w:r w:rsidRPr="00CE03E2">
        <w:rPr>
          <w:rFonts w:cs="Arial"/>
          <w:sz w:val="18"/>
          <w:szCs w:val="18"/>
          <w:lang w:val="fr-FR"/>
        </w:rPr>
        <w:t> : Il est créé un Etablissement Public National à caractère administratif doté de la personnalité morale et de l’autonomie financière, dénommée Agence Nationale de Gestion des Stations d’Epuration du Mali (A.N.G.E.S.E.M).</w:t>
      </w:r>
    </w:p>
    <w:p w14:paraId="6E81E209" w14:textId="77777777" w:rsidR="00883224" w:rsidRPr="00CE03E2" w:rsidRDefault="00883224" w:rsidP="00883224">
      <w:pPr>
        <w:pStyle w:val="PuceBleue"/>
        <w:numPr>
          <w:ilvl w:val="1"/>
          <w:numId w:val="11"/>
        </w:numPr>
        <w:spacing w:after="0" w:line="240" w:lineRule="auto"/>
        <w:rPr>
          <w:rFonts w:cs="Arial"/>
          <w:sz w:val="18"/>
          <w:szCs w:val="18"/>
          <w:lang w:val="fr-FR"/>
        </w:rPr>
      </w:pPr>
      <w:r w:rsidRPr="00CE03E2">
        <w:rPr>
          <w:rFonts w:cs="Arial"/>
          <w:sz w:val="18"/>
          <w:szCs w:val="18"/>
          <w:lang w:val="fr-FR"/>
        </w:rPr>
        <w:t>Décret N°07-178/P-RM du 05 juin 2007 fixant l’organisation et les modalités de fonctionnement de l’agence nationale de gestion des stations d’épuration du Mali</w:t>
      </w:r>
    </w:p>
    <w:p w14:paraId="07C97486" w14:textId="77777777" w:rsidR="00883224" w:rsidRPr="00CE03E2" w:rsidRDefault="00883224" w:rsidP="00883224">
      <w:pPr>
        <w:pStyle w:val="PuceBleue"/>
        <w:numPr>
          <w:ilvl w:val="0"/>
          <w:numId w:val="0"/>
        </w:numPr>
        <w:spacing w:after="0" w:line="240" w:lineRule="auto"/>
        <w:ind w:left="720"/>
        <w:rPr>
          <w:rFonts w:cs="Arial"/>
          <w:sz w:val="20"/>
          <w:szCs w:val="20"/>
          <w:lang w:val="fr-FR"/>
        </w:rPr>
      </w:pPr>
    </w:p>
    <w:p w14:paraId="5687F8E4" w14:textId="77777777" w:rsidR="00883224" w:rsidRPr="00CE03E2" w:rsidRDefault="00883224" w:rsidP="00883224">
      <w:pPr>
        <w:pStyle w:val="PuceBleue"/>
        <w:spacing w:after="0" w:line="240" w:lineRule="auto"/>
        <w:ind w:left="720" w:hanging="578"/>
        <w:rPr>
          <w:rFonts w:cs="Arial"/>
          <w:sz w:val="20"/>
          <w:szCs w:val="20"/>
          <w:lang w:val="fr-FR"/>
        </w:rPr>
      </w:pPr>
      <w:r w:rsidRPr="00CE03E2">
        <w:rPr>
          <w:rFonts w:cs="Arial"/>
          <w:sz w:val="20"/>
          <w:szCs w:val="20"/>
          <w:lang w:val="fr-FR"/>
        </w:rPr>
        <w:t>Loi N°076042 du 28 juin 2007 portant ratification de l’ordonnance N°07-015/P-RM du 28 mars 2007 portant création de l’agence nationale de gestion des stations d’épuration du Mali.</w:t>
      </w:r>
    </w:p>
    <w:p w14:paraId="39643638" w14:textId="77777777" w:rsidR="00883224" w:rsidRPr="00CE03E2" w:rsidRDefault="00883224" w:rsidP="00883224">
      <w:pPr>
        <w:pStyle w:val="PuceBleue"/>
        <w:numPr>
          <w:ilvl w:val="1"/>
          <w:numId w:val="11"/>
        </w:numPr>
        <w:spacing w:after="0" w:line="240" w:lineRule="auto"/>
        <w:rPr>
          <w:rFonts w:cs="Arial"/>
          <w:sz w:val="20"/>
          <w:szCs w:val="20"/>
          <w:lang w:val="fr-FR"/>
        </w:rPr>
      </w:pPr>
      <w:r w:rsidRPr="00CE03E2">
        <w:rPr>
          <w:rFonts w:cs="Arial"/>
          <w:sz w:val="20"/>
          <w:szCs w:val="20"/>
          <w:lang w:val="fr-FR"/>
        </w:rPr>
        <w:t>Décret N°07-178/P-RM du 05 juin 2007 fixant l’organisation et les modalités de fonctionnement de l’agence nationale de gestion des stations d’épuration du Mali.</w:t>
      </w:r>
    </w:p>
    <w:p w14:paraId="5480D1B1" w14:textId="77777777" w:rsidR="00883224" w:rsidRPr="00CE03E2" w:rsidRDefault="00883224" w:rsidP="00883224">
      <w:pPr>
        <w:pStyle w:val="PuceBleue"/>
        <w:numPr>
          <w:ilvl w:val="0"/>
          <w:numId w:val="0"/>
        </w:numPr>
        <w:spacing w:after="0" w:line="240" w:lineRule="auto"/>
        <w:ind w:left="1440"/>
        <w:rPr>
          <w:rFonts w:cs="Arial"/>
          <w:sz w:val="20"/>
          <w:szCs w:val="20"/>
          <w:lang w:val="fr-FR"/>
        </w:rPr>
      </w:pPr>
    </w:p>
    <w:p w14:paraId="6CF95AD9" w14:textId="77777777" w:rsidR="00883224" w:rsidRPr="00CE03E2" w:rsidRDefault="00883224" w:rsidP="00883224">
      <w:pPr>
        <w:pStyle w:val="PuceBleue"/>
        <w:spacing w:after="0" w:line="240" w:lineRule="auto"/>
        <w:ind w:left="714" w:hanging="572"/>
        <w:rPr>
          <w:rFonts w:cs="Arial"/>
          <w:sz w:val="20"/>
          <w:szCs w:val="20"/>
          <w:lang w:val="fr-FR"/>
        </w:rPr>
      </w:pPr>
      <w:r w:rsidRPr="00CE03E2">
        <w:rPr>
          <w:rFonts w:cs="Arial"/>
          <w:sz w:val="20"/>
          <w:szCs w:val="20"/>
          <w:lang w:val="fr-FR"/>
        </w:rPr>
        <w:t>Loi N°08-033 du 11 août 2008 relative aux installations classées pour la protection de l’environnement.</w:t>
      </w:r>
    </w:p>
    <w:p w14:paraId="351F3816" w14:textId="77777777" w:rsidR="00883224" w:rsidRPr="00CE03E2" w:rsidRDefault="00883224" w:rsidP="00883224">
      <w:pPr>
        <w:pStyle w:val="PuceBleue"/>
        <w:numPr>
          <w:ilvl w:val="1"/>
          <w:numId w:val="11"/>
        </w:numPr>
        <w:spacing w:after="0" w:line="240" w:lineRule="auto"/>
        <w:rPr>
          <w:rFonts w:cs="Arial"/>
          <w:sz w:val="18"/>
          <w:szCs w:val="18"/>
          <w:lang w:val="fr-FR"/>
        </w:rPr>
      </w:pPr>
      <w:r w:rsidRPr="00CE03E2">
        <w:rPr>
          <w:rFonts w:cs="Arial"/>
          <w:sz w:val="18"/>
          <w:szCs w:val="18"/>
          <w:lang w:val="fr-FR"/>
        </w:rPr>
        <w:t>Décret N°09-666/P-RM du 21 décembre 2009 fixant les modalités d’application de la loi N°08-033 du 11 août 2008 relative aux installations classées pour la protection de l’environnement.</w:t>
      </w:r>
    </w:p>
    <w:p w14:paraId="09B76436" w14:textId="77777777" w:rsidR="00883224" w:rsidRPr="00CE03E2" w:rsidRDefault="00883224" w:rsidP="00883224">
      <w:pPr>
        <w:pStyle w:val="PuceBleue"/>
        <w:numPr>
          <w:ilvl w:val="1"/>
          <w:numId w:val="11"/>
        </w:numPr>
        <w:spacing w:after="0" w:line="240" w:lineRule="auto"/>
        <w:rPr>
          <w:rFonts w:cs="Arial"/>
          <w:sz w:val="18"/>
          <w:szCs w:val="18"/>
          <w:lang w:val="fr-FR"/>
        </w:rPr>
      </w:pPr>
      <w:r w:rsidRPr="00CE03E2">
        <w:rPr>
          <w:rFonts w:cs="Arial"/>
          <w:sz w:val="18"/>
          <w:szCs w:val="18"/>
          <w:lang w:val="fr-FR"/>
        </w:rPr>
        <w:t>Décret N°09-713/PM-RM du 31 décembre 2009 portant création de la commission technique des installations classées.</w:t>
      </w:r>
    </w:p>
    <w:p w14:paraId="5B8C1247" w14:textId="77777777" w:rsidR="00883224" w:rsidRPr="00CE03E2" w:rsidRDefault="00883224" w:rsidP="00883224">
      <w:pPr>
        <w:pStyle w:val="PuceBleue"/>
        <w:numPr>
          <w:ilvl w:val="0"/>
          <w:numId w:val="0"/>
        </w:numPr>
        <w:spacing w:after="0" w:line="240" w:lineRule="auto"/>
        <w:ind w:left="1440"/>
        <w:rPr>
          <w:rFonts w:cs="Arial"/>
          <w:sz w:val="20"/>
          <w:szCs w:val="20"/>
          <w:lang w:val="fr-FR"/>
        </w:rPr>
      </w:pPr>
    </w:p>
    <w:p w14:paraId="27A62382" w14:textId="77777777" w:rsidR="00883224" w:rsidRPr="00CE03E2" w:rsidRDefault="00883224" w:rsidP="00883224">
      <w:pPr>
        <w:pStyle w:val="PuceBleue"/>
        <w:spacing w:after="0" w:line="240" w:lineRule="auto"/>
        <w:ind w:left="714" w:hanging="572"/>
        <w:rPr>
          <w:rFonts w:cs="Arial"/>
          <w:sz w:val="20"/>
          <w:szCs w:val="20"/>
          <w:lang w:val="fr-FR"/>
        </w:rPr>
      </w:pPr>
      <w:r w:rsidRPr="00CE03E2">
        <w:rPr>
          <w:rFonts w:cs="Arial"/>
          <w:sz w:val="20"/>
          <w:szCs w:val="20"/>
          <w:lang w:val="fr-FR"/>
        </w:rPr>
        <w:t>Loi N°2014-024 du 3 juillet 2014 portant interdiction de la production, de l’importation, de la détention, de la commercialisation, et de l’utilisation de sachets plastiques non biodégradables et de granulés non biodégradables destinés à la fabrication desdits sachets en République du Mali.</w:t>
      </w:r>
    </w:p>
    <w:p w14:paraId="2BACF36A" w14:textId="77777777" w:rsidR="00883224" w:rsidRPr="00CE03E2" w:rsidRDefault="00883224" w:rsidP="00883224">
      <w:pPr>
        <w:pStyle w:val="PuceBleue"/>
        <w:numPr>
          <w:ilvl w:val="0"/>
          <w:numId w:val="42"/>
        </w:numPr>
        <w:spacing w:after="0" w:line="240" w:lineRule="auto"/>
        <w:ind w:left="1418"/>
        <w:rPr>
          <w:rFonts w:cs="Arial"/>
          <w:sz w:val="20"/>
          <w:szCs w:val="20"/>
          <w:lang w:val="fr-FR"/>
        </w:rPr>
      </w:pPr>
      <w:r w:rsidRPr="00CE03E2">
        <w:rPr>
          <w:rFonts w:cs="Arial"/>
          <w:sz w:val="20"/>
          <w:szCs w:val="20"/>
          <w:lang w:val="fr-FR"/>
        </w:rPr>
        <w:t>Décret N° 2014-0595-P-RM du 29 juillet 2014 fixant les modalités d’application de la loi N° 2014-024 du 3 juillet 2014 portant interdiction de la production, de l’importation et de la commercialisation de sachets plastiques non biodégradables en République du Mali</w:t>
      </w:r>
    </w:p>
    <w:p w14:paraId="25030466" w14:textId="77777777" w:rsidR="00883224" w:rsidRPr="00CE03E2" w:rsidRDefault="00883224" w:rsidP="00883224">
      <w:pPr>
        <w:pStyle w:val="PuceBleue"/>
        <w:numPr>
          <w:ilvl w:val="0"/>
          <w:numId w:val="0"/>
        </w:numPr>
        <w:spacing w:after="0" w:line="240" w:lineRule="auto"/>
        <w:ind w:left="1418"/>
        <w:rPr>
          <w:rFonts w:cs="Arial"/>
          <w:sz w:val="20"/>
          <w:szCs w:val="20"/>
          <w:lang w:val="fr-FR"/>
        </w:rPr>
      </w:pPr>
    </w:p>
    <w:p w14:paraId="7FCC7D31" w14:textId="77777777" w:rsidR="00883224" w:rsidRPr="00CE03E2" w:rsidRDefault="00883224" w:rsidP="00883224">
      <w:pPr>
        <w:pStyle w:val="PuceBleue"/>
        <w:numPr>
          <w:ilvl w:val="0"/>
          <w:numId w:val="41"/>
        </w:numPr>
        <w:spacing w:after="0" w:line="240" w:lineRule="auto"/>
        <w:ind w:left="709"/>
        <w:rPr>
          <w:rFonts w:cs="Arial"/>
          <w:sz w:val="20"/>
          <w:szCs w:val="20"/>
          <w:lang w:val="fr-FR"/>
        </w:rPr>
      </w:pPr>
      <w:r w:rsidRPr="00CE03E2">
        <w:rPr>
          <w:rFonts w:cs="Arial"/>
          <w:sz w:val="20"/>
          <w:szCs w:val="20"/>
          <w:lang w:val="fr-FR"/>
        </w:rPr>
        <w:t>Loi N°2015-035 du 16 juillet 2015 portant organisation de la recherche, de l’exploitation et du transport des hydrocarbures.</w:t>
      </w:r>
    </w:p>
    <w:p w14:paraId="62EBAD38" w14:textId="77777777" w:rsidR="00883224" w:rsidRPr="00CE03E2" w:rsidRDefault="00883224" w:rsidP="00883224">
      <w:pPr>
        <w:spacing w:after="0" w:line="240" w:lineRule="auto"/>
        <w:ind w:left="720" w:hanging="578"/>
        <w:rPr>
          <w:rFonts w:cs="Arial"/>
          <w:sz w:val="20"/>
          <w:szCs w:val="20"/>
          <w:lang w:val="fr-FR"/>
        </w:rPr>
      </w:pPr>
    </w:p>
    <w:p w14:paraId="06613742" w14:textId="77777777" w:rsidR="00883224" w:rsidRPr="006B7180" w:rsidRDefault="00883224" w:rsidP="00883224">
      <w:pPr>
        <w:spacing w:after="0" w:line="240" w:lineRule="auto"/>
        <w:rPr>
          <w:rFonts w:cs="Arial"/>
          <w:b/>
          <w:i/>
          <w:lang w:val="fr-FR"/>
        </w:rPr>
      </w:pPr>
      <w:r w:rsidRPr="006B7180">
        <w:rPr>
          <w:rFonts w:cs="Arial"/>
          <w:b/>
          <w:i/>
          <w:lang w:val="fr-FR"/>
        </w:rPr>
        <w:t xml:space="preserve">Patrimoine culturel </w:t>
      </w:r>
    </w:p>
    <w:p w14:paraId="5A918065" w14:textId="77777777" w:rsidR="00883224" w:rsidRPr="00CE03E2" w:rsidRDefault="00883224" w:rsidP="00883224">
      <w:pPr>
        <w:pStyle w:val="Pardeliste"/>
        <w:numPr>
          <w:ilvl w:val="0"/>
          <w:numId w:val="1"/>
        </w:numPr>
        <w:tabs>
          <w:tab w:val="clear" w:pos="360"/>
          <w:tab w:val="num" w:pos="709"/>
        </w:tabs>
        <w:spacing w:after="0" w:line="240" w:lineRule="auto"/>
        <w:ind w:left="709" w:hanging="567"/>
        <w:rPr>
          <w:rFonts w:cs="Arial"/>
          <w:sz w:val="20"/>
          <w:szCs w:val="20"/>
          <w:lang w:val="fr-FR"/>
        </w:rPr>
      </w:pPr>
      <w:r w:rsidRPr="006F16DA">
        <w:rPr>
          <w:rFonts w:cs="Arial"/>
          <w:color w:val="000000" w:themeColor="text1"/>
          <w:sz w:val="20"/>
          <w:szCs w:val="20"/>
          <w:lang w:val="fr-FR"/>
        </w:rPr>
        <w:lastRenderedPageBreak/>
        <w:t>Loi N°10-061 du 30 décem</w:t>
      </w:r>
      <w:r w:rsidRPr="00CE03E2">
        <w:rPr>
          <w:rFonts w:cs="Arial"/>
          <w:sz w:val="20"/>
          <w:szCs w:val="20"/>
          <w:lang w:val="fr-FR"/>
        </w:rPr>
        <w:t>bre 2010 portant modification de la loi N°85-40/AN-RM du 26 juillet 1985 relative à la protection de la promotion du patrimoine culturel national.</w:t>
      </w:r>
    </w:p>
    <w:p w14:paraId="1AF77CFC" w14:textId="77777777" w:rsidR="00883224" w:rsidRPr="00CE03E2" w:rsidRDefault="00883224" w:rsidP="00883224">
      <w:pPr>
        <w:spacing w:after="0" w:line="240" w:lineRule="auto"/>
        <w:rPr>
          <w:rFonts w:cs="Arial"/>
          <w:sz w:val="20"/>
          <w:szCs w:val="20"/>
          <w:lang w:val="fr-FR"/>
        </w:rPr>
      </w:pPr>
    </w:p>
    <w:p w14:paraId="23827E4E" w14:textId="77777777" w:rsidR="00883224" w:rsidRPr="00CE03E2" w:rsidRDefault="00883224" w:rsidP="00883224">
      <w:pPr>
        <w:numPr>
          <w:ilvl w:val="0"/>
          <w:numId w:val="1"/>
        </w:numPr>
        <w:tabs>
          <w:tab w:val="clear" w:pos="360"/>
        </w:tabs>
        <w:spacing w:after="0" w:line="240" w:lineRule="auto"/>
        <w:ind w:left="720" w:hanging="540"/>
        <w:rPr>
          <w:rFonts w:cs="Arial"/>
          <w:sz w:val="20"/>
          <w:szCs w:val="20"/>
          <w:u w:val="single"/>
          <w:lang w:val="fr-FR"/>
        </w:rPr>
      </w:pPr>
      <w:r w:rsidRPr="00CE03E2">
        <w:rPr>
          <w:rFonts w:cs="Arial"/>
          <w:sz w:val="20"/>
          <w:szCs w:val="20"/>
          <w:u w:val="single"/>
          <w:lang w:val="fr-FR"/>
        </w:rPr>
        <w:t xml:space="preserve">Codes </w:t>
      </w:r>
    </w:p>
    <w:p w14:paraId="603436FF" w14:textId="77777777" w:rsidR="00883224" w:rsidRPr="00CE03E2" w:rsidRDefault="00883224" w:rsidP="00883224">
      <w:pPr>
        <w:pStyle w:val="Pardeliste"/>
        <w:rPr>
          <w:rFonts w:cs="Arial"/>
          <w:sz w:val="20"/>
          <w:szCs w:val="20"/>
          <w:lang w:val="fr-FR"/>
        </w:rPr>
      </w:pPr>
    </w:p>
    <w:p w14:paraId="4E2ECB79" w14:textId="77777777" w:rsidR="00883224" w:rsidRPr="00CE03E2" w:rsidRDefault="00883224" w:rsidP="00883224">
      <w:pPr>
        <w:numPr>
          <w:ilvl w:val="1"/>
          <w:numId w:val="1"/>
        </w:numPr>
        <w:spacing w:after="0" w:line="240" w:lineRule="auto"/>
        <w:rPr>
          <w:rFonts w:cs="Arial"/>
          <w:sz w:val="20"/>
          <w:szCs w:val="20"/>
          <w:lang w:val="fr-FR"/>
        </w:rPr>
      </w:pPr>
      <w:r w:rsidRPr="00CE03E2">
        <w:rPr>
          <w:rFonts w:cs="Arial"/>
          <w:sz w:val="20"/>
          <w:szCs w:val="20"/>
          <w:lang w:val="fr-FR"/>
        </w:rPr>
        <w:t>Code de l’eau (Loi N°02-006 du 31 janvier 2002)</w:t>
      </w:r>
    </w:p>
    <w:p w14:paraId="7440BDF1" w14:textId="77777777" w:rsidR="00883224" w:rsidRPr="00A02048" w:rsidRDefault="00883224" w:rsidP="00AB3AF0">
      <w:pPr>
        <w:numPr>
          <w:ilvl w:val="1"/>
          <w:numId w:val="1"/>
        </w:numPr>
        <w:spacing w:after="0" w:line="240" w:lineRule="auto"/>
        <w:rPr>
          <w:rFonts w:cs="Arial"/>
          <w:sz w:val="20"/>
          <w:szCs w:val="20"/>
          <w:lang w:val="fr-FR"/>
        </w:rPr>
      </w:pPr>
      <w:r w:rsidRPr="00CE03E2">
        <w:rPr>
          <w:rFonts w:cs="Arial"/>
          <w:sz w:val="20"/>
          <w:szCs w:val="20"/>
          <w:lang w:val="fr-FR"/>
        </w:rPr>
        <w:t xml:space="preserve">Code minier </w:t>
      </w:r>
      <w:r w:rsidRPr="00CE03E2">
        <w:rPr>
          <w:rFonts w:cs="Arial"/>
          <w:sz w:val="20"/>
          <w:szCs w:val="20"/>
          <w:lang w:val="fr-FR"/>
        </w:rPr>
        <w:tab/>
        <w:t xml:space="preserve">(loi N°2012-015 du 27 février 2012 et décret N°2012-311/P-RM du 21 juin 2012 fixant les </w:t>
      </w:r>
      <w:r w:rsidRPr="00A02048">
        <w:rPr>
          <w:rFonts w:cs="Arial"/>
          <w:sz w:val="20"/>
          <w:szCs w:val="20"/>
          <w:lang w:val="fr-FR"/>
        </w:rPr>
        <w:t>conditions et les modalités d’application de la loi portant code minier ; révision</w:t>
      </w:r>
      <w:r w:rsidR="00421A9F" w:rsidRPr="00A02048">
        <w:rPr>
          <w:rFonts w:cs="Arial"/>
          <w:sz w:val="20"/>
          <w:szCs w:val="20"/>
          <w:lang w:val="fr-FR"/>
        </w:rPr>
        <w:t xml:space="preserve"> en 2019</w:t>
      </w:r>
      <w:r w:rsidR="00AB3AF0" w:rsidRPr="00A02048">
        <w:rPr>
          <w:rFonts w:cs="Arial"/>
          <w:sz w:val="20"/>
          <w:szCs w:val="20"/>
          <w:lang w:val="fr-FR"/>
        </w:rPr>
        <w:t xml:space="preserve"> et décret de 5/2019</w:t>
      </w:r>
      <w:r w:rsidR="00AB3AF0" w:rsidRPr="00A02048">
        <w:t xml:space="preserve"> </w:t>
      </w:r>
      <w:r w:rsidR="00AB3AF0" w:rsidRPr="00A02048">
        <w:rPr>
          <w:rFonts w:cs="Arial"/>
          <w:sz w:val="20"/>
          <w:szCs w:val="20"/>
          <w:lang w:val="fr-FR"/>
        </w:rPr>
        <w:t>interdisant le dragage sur tous les cours d’eau du Mali</w:t>
      </w:r>
      <w:r w:rsidRPr="00A02048">
        <w:rPr>
          <w:rFonts w:cs="Arial"/>
          <w:sz w:val="20"/>
          <w:szCs w:val="20"/>
          <w:lang w:val="fr-FR"/>
        </w:rPr>
        <w:t>.</w:t>
      </w:r>
    </w:p>
    <w:p w14:paraId="72C3B059" w14:textId="77777777" w:rsidR="00883224" w:rsidRPr="00CE03E2" w:rsidRDefault="00883224" w:rsidP="00883224">
      <w:pPr>
        <w:numPr>
          <w:ilvl w:val="1"/>
          <w:numId w:val="1"/>
        </w:numPr>
        <w:spacing w:after="0" w:line="240" w:lineRule="auto"/>
        <w:rPr>
          <w:rFonts w:cs="Arial"/>
          <w:sz w:val="20"/>
          <w:szCs w:val="20"/>
          <w:lang w:val="fr-FR"/>
        </w:rPr>
      </w:pPr>
      <w:r w:rsidRPr="00CE03E2">
        <w:rPr>
          <w:rFonts w:cs="Arial"/>
          <w:sz w:val="20"/>
          <w:szCs w:val="20"/>
          <w:lang w:val="fr-FR"/>
        </w:rPr>
        <w:t>Code des hydrocarbures (loi N° 2015-035 du 16 juillet 2015)</w:t>
      </w:r>
    </w:p>
    <w:p w14:paraId="58513274" w14:textId="77777777" w:rsidR="00883224" w:rsidRPr="00CE03E2" w:rsidRDefault="00883224" w:rsidP="00883224">
      <w:pPr>
        <w:numPr>
          <w:ilvl w:val="1"/>
          <w:numId w:val="1"/>
        </w:numPr>
        <w:spacing w:after="0" w:line="240" w:lineRule="auto"/>
        <w:rPr>
          <w:rFonts w:cs="Arial"/>
          <w:sz w:val="20"/>
          <w:szCs w:val="20"/>
          <w:lang w:val="fr-FR"/>
        </w:rPr>
      </w:pPr>
      <w:r w:rsidRPr="00CE03E2">
        <w:rPr>
          <w:rFonts w:cs="Arial"/>
          <w:sz w:val="20"/>
          <w:szCs w:val="20"/>
          <w:lang w:val="fr-FR"/>
        </w:rPr>
        <w:t xml:space="preserve">Code de la pêche </w:t>
      </w:r>
    </w:p>
    <w:p w14:paraId="3E096A2D" w14:textId="77777777" w:rsidR="00883224" w:rsidRPr="00CE03E2" w:rsidRDefault="00883224" w:rsidP="00883224">
      <w:pPr>
        <w:numPr>
          <w:ilvl w:val="1"/>
          <w:numId w:val="1"/>
        </w:numPr>
        <w:spacing w:after="0" w:line="240" w:lineRule="auto"/>
        <w:rPr>
          <w:rFonts w:cs="Arial"/>
          <w:sz w:val="20"/>
          <w:szCs w:val="20"/>
          <w:lang w:val="fr-FR"/>
        </w:rPr>
      </w:pPr>
      <w:r w:rsidRPr="00CE03E2">
        <w:rPr>
          <w:rFonts w:cs="Arial"/>
          <w:sz w:val="20"/>
          <w:szCs w:val="20"/>
          <w:lang w:val="fr-FR"/>
        </w:rPr>
        <w:t>Code forestier</w:t>
      </w:r>
    </w:p>
    <w:p w14:paraId="0A3B189E" w14:textId="77777777" w:rsidR="00883224" w:rsidRPr="00CE03E2" w:rsidRDefault="00883224" w:rsidP="00883224">
      <w:pPr>
        <w:numPr>
          <w:ilvl w:val="1"/>
          <w:numId w:val="1"/>
        </w:numPr>
        <w:spacing w:after="0" w:line="240" w:lineRule="auto"/>
        <w:rPr>
          <w:rFonts w:cs="Arial"/>
          <w:sz w:val="20"/>
          <w:szCs w:val="20"/>
          <w:lang w:val="fr-FR"/>
        </w:rPr>
      </w:pPr>
      <w:r w:rsidRPr="00CE03E2">
        <w:rPr>
          <w:rFonts w:cs="Arial"/>
          <w:sz w:val="20"/>
          <w:szCs w:val="20"/>
          <w:lang w:val="fr-FR"/>
        </w:rPr>
        <w:t>Code de chasse</w:t>
      </w:r>
    </w:p>
    <w:p w14:paraId="182C17D4" w14:textId="77777777" w:rsidR="00883224" w:rsidRPr="00CE03E2" w:rsidRDefault="00883224" w:rsidP="00883224">
      <w:pPr>
        <w:numPr>
          <w:ilvl w:val="1"/>
          <w:numId w:val="1"/>
        </w:numPr>
        <w:spacing w:after="0" w:line="240" w:lineRule="auto"/>
        <w:rPr>
          <w:rFonts w:cs="Arial"/>
          <w:sz w:val="20"/>
          <w:szCs w:val="20"/>
          <w:lang w:val="fr-FR"/>
        </w:rPr>
      </w:pPr>
      <w:r w:rsidRPr="00CE03E2">
        <w:rPr>
          <w:rFonts w:cs="Arial"/>
          <w:sz w:val="20"/>
          <w:szCs w:val="20"/>
          <w:lang w:val="fr-FR"/>
        </w:rPr>
        <w:t>Code domanial et foncier – (Ordonnance N°00-027/P-RM du 22 mars 2000 portant Code Domanial et Foncier, modifiée par la loi N°002-008 du 12 février 2002 et la loi n°2012-001 du 10 janvier 2012 et ses décrets d’application)</w:t>
      </w:r>
    </w:p>
    <w:p w14:paraId="6E9ADCDB" w14:textId="77777777" w:rsidR="00883224" w:rsidRPr="00CE03E2" w:rsidRDefault="00883224" w:rsidP="00883224">
      <w:pPr>
        <w:numPr>
          <w:ilvl w:val="1"/>
          <w:numId w:val="1"/>
        </w:numPr>
        <w:spacing w:after="0" w:line="240" w:lineRule="auto"/>
        <w:rPr>
          <w:rFonts w:cs="Arial"/>
          <w:sz w:val="20"/>
          <w:szCs w:val="20"/>
          <w:lang w:val="fr-FR"/>
        </w:rPr>
      </w:pPr>
      <w:r w:rsidRPr="00CE03E2">
        <w:rPr>
          <w:rFonts w:cs="Arial"/>
          <w:sz w:val="20"/>
          <w:szCs w:val="20"/>
          <w:lang w:val="fr-FR"/>
        </w:rPr>
        <w:t>Code fiscal</w:t>
      </w:r>
    </w:p>
    <w:p w14:paraId="4617AA48" w14:textId="77777777" w:rsidR="00883224" w:rsidRPr="00CE03E2" w:rsidRDefault="00883224" w:rsidP="00883224">
      <w:pPr>
        <w:numPr>
          <w:ilvl w:val="1"/>
          <w:numId w:val="1"/>
        </w:numPr>
        <w:spacing w:after="0" w:line="240" w:lineRule="auto"/>
        <w:rPr>
          <w:rFonts w:cs="Arial"/>
          <w:sz w:val="20"/>
          <w:szCs w:val="20"/>
          <w:lang w:val="fr-FR"/>
        </w:rPr>
      </w:pPr>
      <w:r w:rsidRPr="00CE03E2">
        <w:rPr>
          <w:rFonts w:cs="Arial"/>
          <w:sz w:val="20"/>
          <w:szCs w:val="20"/>
          <w:lang w:val="fr-FR"/>
        </w:rPr>
        <w:t>Code des collectivités territoriales (Loi N°2017-051 du 02 octobre 2017 portant Code des Collectivités Territoriales)</w:t>
      </w:r>
    </w:p>
    <w:p w14:paraId="14EC5537" w14:textId="77777777" w:rsidR="00883224" w:rsidRDefault="00883224" w:rsidP="00883224">
      <w:pPr>
        <w:spacing w:after="0" w:line="240" w:lineRule="auto"/>
        <w:rPr>
          <w:rFonts w:cs="Arial"/>
          <w:sz w:val="20"/>
          <w:szCs w:val="20"/>
          <w:lang w:val="fr-FR"/>
        </w:rPr>
      </w:pPr>
    </w:p>
    <w:p w14:paraId="498DD647" w14:textId="77777777" w:rsidR="00E9332B" w:rsidRPr="00E9332B" w:rsidRDefault="00E9332B" w:rsidP="00E9332B">
      <w:pPr>
        <w:spacing w:after="0" w:line="240" w:lineRule="auto"/>
        <w:rPr>
          <w:rFonts w:cs="Arial"/>
          <w:sz w:val="20"/>
          <w:szCs w:val="20"/>
          <w:lang w:val="fr-FR"/>
        </w:rPr>
      </w:pPr>
    </w:p>
    <w:p w14:paraId="61623D94" w14:textId="77777777" w:rsidR="000F2E4E" w:rsidRPr="000F2E4E" w:rsidRDefault="000F2E4E" w:rsidP="00883224">
      <w:pPr>
        <w:spacing w:after="0" w:line="240" w:lineRule="auto"/>
        <w:ind w:left="1080"/>
        <w:rPr>
          <w:rFonts w:cs="Arial"/>
          <w:color w:val="7030A0"/>
          <w:sz w:val="20"/>
          <w:szCs w:val="20"/>
          <w:lang w:val="fr-FR"/>
        </w:rPr>
      </w:pPr>
    </w:p>
    <w:p w14:paraId="10E1442A" w14:textId="77777777" w:rsidR="00A25A95" w:rsidRDefault="00A25A95" w:rsidP="00A25A95">
      <w:pPr>
        <w:spacing w:after="0" w:line="240" w:lineRule="auto"/>
        <w:rPr>
          <w:rFonts w:cs="Arial"/>
          <w:sz w:val="20"/>
          <w:szCs w:val="20"/>
          <w:lang w:val="fr-FR"/>
        </w:rPr>
      </w:pPr>
    </w:p>
    <w:p w14:paraId="2D00BA3A" w14:textId="77777777" w:rsidR="00643D65" w:rsidRPr="00643D65" w:rsidRDefault="00643D65" w:rsidP="00643D65">
      <w:pPr>
        <w:rPr>
          <w:lang w:val="fr-FR"/>
        </w:rPr>
        <w:sectPr w:rsidR="00643D65" w:rsidRPr="00643D65" w:rsidSect="007F0BA4">
          <w:pgSz w:w="11906" w:h="16838"/>
          <w:pgMar w:top="1440" w:right="1440" w:bottom="1440" w:left="1440" w:header="709" w:footer="709" w:gutter="0"/>
          <w:cols w:space="708"/>
          <w:docGrid w:linePitch="360"/>
        </w:sectPr>
      </w:pPr>
    </w:p>
    <w:p w14:paraId="0FF51B0A" w14:textId="77777777" w:rsidR="00282133" w:rsidRPr="00572A93" w:rsidRDefault="007E10C0" w:rsidP="00A25A95">
      <w:pPr>
        <w:pStyle w:val="Titre2"/>
        <w:rPr>
          <w:lang w:eastAsia="fr-FR"/>
        </w:rPr>
      </w:pPr>
      <w:bookmarkStart w:id="104" w:name="_Toc393900314"/>
      <w:bookmarkStart w:id="105" w:name="_Toc20505696"/>
      <w:r>
        <w:rPr>
          <w:lang w:eastAsia="fr-FR"/>
        </w:rPr>
        <w:lastRenderedPageBreak/>
        <w:t>7</w:t>
      </w:r>
      <w:r w:rsidR="009A44F9">
        <w:rPr>
          <w:lang w:eastAsia="fr-FR"/>
        </w:rPr>
        <w:t>.3</w:t>
      </w:r>
      <w:r w:rsidR="00AB4BAC" w:rsidRPr="00572A93">
        <w:rPr>
          <w:lang w:eastAsia="fr-FR"/>
        </w:rPr>
        <w:t xml:space="preserve"> </w:t>
      </w:r>
      <w:r w:rsidR="00282133" w:rsidRPr="00572A93">
        <w:rPr>
          <w:lang w:eastAsia="fr-FR"/>
        </w:rPr>
        <w:t>Fiche technique par secteur reprenant les principales recommandations</w:t>
      </w:r>
      <w:bookmarkEnd w:id="104"/>
      <w:bookmarkEnd w:id="105"/>
      <w:r w:rsidR="00282133" w:rsidRPr="00572A93" w:rsidDel="00F43A9F">
        <w:rPr>
          <w:lang w:eastAsia="fr-FR"/>
        </w:rPr>
        <w:t xml:space="preserve"> </w:t>
      </w:r>
    </w:p>
    <w:p w14:paraId="491B0B8D" w14:textId="77777777" w:rsidR="007B356D" w:rsidRPr="001C565E" w:rsidRDefault="007B356D" w:rsidP="007B356D">
      <w:pPr>
        <w:keepNext/>
        <w:keepLines/>
        <w:spacing w:before="200" w:after="0"/>
        <w:outlineLvl w:val="2"/>
        <w:rPr>
          <w:rFonts w:eastAsia="Calibri" w:cs="Arial"/>
          <w:b/>
          <w:bCs/>
          <w:color w:val="948A54" w:themeColor="background2" w:themeShade="80"/>
          <w:lang w:val="fr-FR" w:eastAsia="fr-FR"/>
        </w:rPr>
      </w:pPr>
      <w:bookmarkStart w:id="106" w:name="_Toc393900315"/>
      <w:bookmarkStart w:id="107" w:name="_Toc20505697"/>
      <w:r w:rsidRPr="00AA0443">
        <w:rPr>
          <w:rFonts w:eastAsia="Calibri" w:cs="Arial"/>
          <w:b/>
          <w:bCs/>
          <w:color w:val="948A54" w:themeColor="background2" w:themeShade="80"/>
          <w:lang w:val="fr-FR" w:eastAsia="fr-FR"/>
        </w:rPr>
        <w:t xml:space="preserve">7.3.1 Principales </w:t>
      </w:r>
      <w:r w:rsidRPr="001C565E">
        <w:rPr>
          <w:rFonts w:eastAsia="Calibri" w:cs="Arial"/>
          <w:b/>
          <w:bCs/>
          <w:color w:val="948A54" w:themeColor="background2" w:themeShade="80"/>
          <w:lang w:val="fr-FR" w:eastAsia="fr-FR"/>
        </w:rPr>
        <w:t>recommandations domaine ‘Réforme de l’Etat et gouvernance’</w:t>
      </w:r>
      <w:bookmarkEnd w:id="106"/>
      <w:bookmarkEnd w:id="107"/>
    </w:p>
    <w:p w14:paraId="2D96ED8D" w14:textId="77777777" w:rsidR="007B356D" w:rsidRPr="007B356D" w:rsidRDefault="007B356D" w:rsidP="007B356D">
      <w:pPr>
        <w:spacing w:after="0" w:line="240" w:lineRule="auto"/>
        <w:rPr>
          <w:rFonts w:eastAsia="SimSun" w:cs="Arial"/>
          <w:bCs/>
          <w:i/>
          <w:sz w:val="20"/>
          <w:szCs w:val="20"/>
          <w:lang w:val="fr-FR" w:eastAsia="zh-CN"/>
        </w:rPr>
      </w:pPr>
      <w:r w:rsidRPr="007B356D">
        <w:rPr>
          <w:rFonts w:eastAsia="SimSun" w:cs="Arial"/>
          <w:bCs/>
          <w:i/>
          <w:sz w:val="20"/>
          <w:szCs w:val="20"/>
          <w:lang w:val="fr-FR" w:eastAsia="zh-CN"/>
        </w:rPr>
        <w:t xml:space="preserve"> (*) indique les recommandations spécifiques qui concernent la DUE.</w:t>
      </w:r>
    </w:p>
    <w:p w14:paraId="1223FF16" w14:textId="77777777" w:rsidR="007B356D" w:rsidRPr="001C565E" w:rsidRDefault="007B356D" w:rsidP="007B356D">
      <w:pPr>
        <w:spacing w:after="0" w:line="240" w:lineRule="auto"/>
        <w:rPr>
          <w:rFonts w:eastAsia="Calibri" w:cs="Arial"/>
          <w:sz w:val="22"/>
          <w:lang w:val="fr-FR" w:eastAsia="fr-FR"/>
        </w:rPr>
      </w:pPr>
    </w:p>
    <w:p w14:paraId="09FD9FB3" w14:textId="77777777" w:rsidR="007B356D" w:rsidRPr="001C565E" w:rsidRDefault="007B356D" w:rsidP="007B356D">
      <w:pPr>
        <w:spacing w:after="0" w:line="240" w:lineRule="auto"/>
        <w:contextualSpacing/>
        <w:rPr>
          <w:rFonts w:cs="Arial"/>
          <w:sz w:val="20"/>
          <w:szCs w:val="20"/>
          <w:u w:val="single"/>
          <w:lang w:val="fr-FR"/>
        </w:rPr>
      </w:pPr>
      <w:r w:rsidRPr="001C565E">
        <w:rPr>
          <w:rFonts w:cs="Arial"/>
          <w:sz w:val="20"/>
          <w:szCs w:val="20"/>
          <w:u w:val="single"/>
          <w:lang w:val="fr-FR"/>
        </w:rPr>
        <w:t xml:space="preserve">Application de la législation et </w:t>
      </w:r>
      <w:r w:rsidR="001C565E" w:rsidRPr="001C565E">
        <w:rPr>
          <w:rFonts w:cs="Arial"/>
          <w:sz w:val="20"/>
          <w:szCs w:val="20"/>
          <w:u w:val="single"/>
          <w:lang w:val="fr-FR"/>
        </w:rPr>
        <w:t xml:space="preserve">du </w:t>
      </w:r>
      <w:r w:rsidRPr="001C565E">
        <w:rPr>
          <w:rFonts w:cs="Arial"/>
          <w:sz w:val="20"/>
          <w:szCs w:val="20"/>
          <w:u w:val="single"/>
          <w:lang w:val="fr-FR"/>
        </w:rPr>
        <w:t>contrôle</w:t>
      </w:r>
    </w:p>
    <w:p w14:paraId="61E44C0D" w14:textId="77777777" w:rsidR="007B356D" w:rsidRPr="00A02048" w:rsidRDefault="007B356D" w:rsidP="00393CA8">
      <w:pPr>
        <w:numPr>
          <w:ilvl w:val="0"/>
          <w:numId w:val="54"/>
        </w:numPr>
        <w:spacing w:after="0" w:line="240" w:lineRule="auto"/>
        <w:contextualSpacing/>
        <w:rPr>
          <w:rFonts w:cs="Arial"/>
          <w:sz w:val="20"/>
          <w:szCs w:val="20"/>
          <w:lang w:val="fr-FR"/>
        </w:rPr>
      </w:pPr>
      <w:r w:rsidRPr="00A02048">
        <w:rPr>
          <w:rFonts w:cs="Arial"/>
          <w:sz w:val="20"/>
          <w:szCs w:val="20"/>
          <w:lang w:val="fr-FR"/>
        </w:rPr>
        <w:t xml:space="preserve">Renforcer les capacités financières et logistiques </w:t>
      </w:r>
      <w:r w:rsidR="0028371C" w:rsidRPr="00A02048">
        <w:rPr>
          <w:rFonts w:cs="Arial"/>
          <w:sz w:val="20"/>
          <w:szCs w:val="20"/>
          <w:lang w:val="fr-FR"/>
        </w:rPr>
        <w:t xml:space="preserve">et les compétences </w:t>
      </w:r>
      <w:r w:rsidRPr="00A02048">
        <w:rPr>
          <w:rFonts w:cs="Arial"/>
          <w:sz w:val="20"/>
          <w:szCs w:val="20"/>
          <w:lang w:val="fr-FR"/>
        </w:rPr>
        <w:t>des services chargés du contrôle (DNACPN, DNEF) et renforcer l’opérationnalité de la DNACPN afin qu’elle puisse assurer son mandat régalien de contrôle des pollutions (*)</w:t>
      </w:r>
    </w:p>
    <w:p w14:paraId="0E466724" w14:textId="77777777" w:rsidR="007B356D" w:rsidRPr="00A02048" w:rsidRDefault="007B356D" w:rsidP="00393CA8">
      <w:pPr>
        <w:numPr>
          <w:ilvl w:val="0"/>
          <w:numId w:val="54"/>
        </w:numPr>
        <w:spacing w:after="0" w:line="240" w:lineRule="auto"/>
        <w:contextualSpacing/>
        <w:rPr>
          <w:rFonts w:cs="Arial"/>
          <w:sz w:val="20"/>
          <w:szCs w:val="20"/>
          <w:lang w:val="fr-FR"/>
        </w:rPr>
      </w:pPr>
      <w:r w:rsidRPr="00A02048">
        <w:rPr>
          <w:rFonts w:cs="Arial"/>
          <w:sz w:val="20"/>
          <w:szCs w:val="20"/>
          <w:lang w:val="fr-FR"/>
        </w:rPr>
        <w:t xml:space="preserve">Elargir le champ des acteurs de contrôle environnemental (formation en législation environnementale des policiers et gendarmes, comités locaux de surveillance) tout en renforçant leurs capacités opérationnelles (*) </w:t>
      </w:r>
    </w:p>
    <w:p w14:paraId="3DEF9071" w14:textId="77777777" w:rsidR="007B356D" w:rsidRPr="00A02048" w:rsidRDefault="007B356D" w:rsidP="00393CA8">
      <w:pPr>
        <w:numPr>
          <w:ilvl w:val="0"/>
          <w:numId w:val="54"/>
        </w:numPr>
        <w:spacing w:after="0" w:line="240" w:lineRule="auto"/>
        <w:contextualSpacing/>
        <w:rPr>
          <w:rFonts w:cs="Arial"/>
          <w:sz w:val="20"/>
          <w:szCs w:val="20"/>
          <w:lang w:val="fr-FR"/>
        </w:rPr>
      </w:pPr>
      <w:r w:rsidRPr="00A02048">
        <w:rPr>
          <w:rFonts w:cs="Arial"/>
          <w:sz w:val="20"/>
          <w:szCs w:val="20"/>
          <w:lang w:val="fr-FR"/>
        </w:rPr>
        <w:t>Renforcer la communication inter- et intra-ministérielle et la circulation des documents indispensables au contrôle</w:t>
      </w:r>
    </w:p>
    <w:p w14:paraId="2A851A04" w14:textId="77777777" w:rsidR="007B356D" w:rsidRPr="00A02048" w:rsidRDefault="007B356D" w:rsidP="00393CA8">
      <w:pPr>
        <w:numPr>
          <w:ilvl w:val="0"/>
          <w:numId w:val="54"/>
        </w:numPr>
        <w:spacing w:after="0" w:line="240" w:lineRule="auto"/>
        <w:contextualSpacing/>
        <w:rPr>
          <w:rFonts w:cs="Arial"/>
          <w:sz w:val="20"/>
          <w:szCs w:val="20"/>
          <w:lang w:val="fr-FR"/>
        </w:rPr>
      </w:pPr>
      <w:r w:rsidRPr="00A02048">
        <w:rPr>
          <w:rFonts w:cs="Arial"/>
          <w:sz w:val="20"/>
          <w:szCs w:val="20"/>
          <w:lang w:val="fr-FR"/>
        </w:rPr>
        <w:t>Mettre en œuvre /appliquer les actions et mesures déjà décidées et mises en attente</w:t>
      </w:r>
      <w:r w:rsidR="00DE6DE2" w:rsidRPr="00A02048">
        <w:rPr>
          <w:rFonts w:cs="Arial"/>
          <w:sz w:val="20"/>
          <w:szCs w:val="20"/>
          <w:lang w:val="fr-FR"/>
        </w:rPr>
        <w:t> </w:t>
      </w:r>
      <w:r w:rsidRPr="00A02048">
        <w:rPr>
          <w:rFonts w:cs="Arial"/>
          <w:sz w:val="20"/>
          <w:szCs w:val="20"/>
          <w:lang w:val="fr-FR"/>
        </w:rPr>
        <w:t>: interdiction du dragage sur les berges des fleuves et plans d’eau, application de l’interdiction de l’orpaillage durant l’hivernage</w:t>
      </w:r>
    </w:p>
    <w:p w14:paraId="4F43D28F" w14:textId="77777777" w:rsidR="007B356D" w:rsidRPr="00A02048" w:rsidRDefault="007B356D" w:rsidP="00393CA8">
      <w:pPr>
        <w:numPr>
          <w:ilvl w:val="0"/>
          <w:numId w:val="54"/>
        </w:numPr>
        <w:spacing w:after="0" w:line="240" w:lineRule="auto"/>
        <w:contextualSpacing/>
        <w:rPr>
          <w:rFonts w:cs="Arial"/>
          <w:sz w:val="20"/>
          <w:szCs w:val="20"/>
          <w:lang w:val="fr-FR"/>
        </w:rPr>
      </w:pPr>
      <w:r w:rsidRPr="00A02048">
        <w:rPr>
          <w:rFonts w:cs="Arial"/>
          <w:sz w:val="20"/>
          <w:szCs w:val="20"/>
          <w:lang w:val="fr-FR"/>
        </w:rPr>
        <w:t>Réduire / interdire l’orpaillage semi – industriel utilisant le mercure et le cyanure et assurer un contrôle efficace (*).</w:t>
      </w:r>
    </w:p>
    <w:p w14:paraId="77F1A03F" w14:textId="77777777" w:rsidR="007B356D" w:rsidRPr="00A02048" w:rsidRDefault="007B356D" w:rsidP="007B356D">
      <w:pPr>
        <w:spacing w:after="0" w:line="240" w:lineRule="auto"/>
        <w:ind w:left="720"/>
        <w:contextualSpacing/>
        <w:rPr>
          <w:rFonts w:cs="Arial"/>
          <w:color w:val="C00000"/>
          <w:sz w:val="20"/>
          <w:szCs w:val="20"/>
          <w:lang w:val="fr-FR"/>
        </w:rPr>
      </w:pPr>
    </w:p>
    <w:p w14:paraId="0B9D8B19" w14:textId="77777777" w:rsidR="007B356D" w:rsidRPr="00A02048" w:rsidRDefault="007B356D" w:rsidP="007B356D">
      <w:pPr>
        <w:spacing w:after="0" w:line="240" w:lineRule="auto"/>
        <w:contextualSpacing/>
        <w:rPr>
          <w:rFonts w:cs="Arial"/>
          <w:sz w:val="20"/>
          <w:szCs w:val="20"/>
          <w:u w:val="single"/>
          <w:lang w:val="fr-FR"/>
        </w:rPr>
      </w:pPr>
      <w:r w:rsidRPr="00A02048">
        <w:rPr>
          <w:rFonts w:cs="Arial"/>
          <w:sz w:val="20"/>
          <w:szCs w:val="20"/>
          <w:u w:val="single"/>
          <w:lang w:val="fr-FR"/>
        </w:rPr>
        <w:t>IEC pour l’environnement et le développement durable</w:t>
      </w:r>
    </w:p>
    <w:p w14:paraId="35EDFB73" w14:textId="77777777" w:rsidR="007B356D" w:rsidRPr="00A02048" w:rsidRDefault="007B356D" w:rsidP="00393CA8">
      <w:pPr>
        <w:numPr>
          <w:ilvl w:val="0"/>
          <w:numId w:val="54"/>
        </w:numPr>
        <w:spacing w:after="200" w:line="240" w:lineRule="auto"/>
        <w:contextualSpacing/>
        <w:rPr>
          <w:rFonts w:cs="Arial"/>
          <w:sz w:val="20"/>
          <w:szCs w:val="20"/>
          <w:lang w:val="fr-FR"/>
        </w:rPr>
      </w:pPr>
      <w:r w:rsidRPr="00A02048">
        <w:rPr>
          <w:rFonts w:cs="Arial"/>
          <w:sz w:val="20"/>
          <w:szCs w:val="20"/>
          <w:lang w:val="fr-FR"/>
        </w:rPr>
        <w:t>Produire et diffuser régulièrement à grande échelle les études de coût de la dégradation de l’environnement ou des différentes ressources naturelles pour attirer l’attention et sensibiliser les décideurs. La seule étude dans ce sens date de 2008. (*).</w:t>
      </w:r>
    </w:p>
    <w:p w14:paraId="05D43B8E" w14:textId="77777777" w:rsidR="007B356D" w:rsidRPr="00A02048" w:rsidRDefault="007B356D" w:rsidP="00393CA8">
      <w:pPr>
        <w:numPr>
          <w:ilvl w:val="0"/>
          <w:numId w:val="54"/>
        </w:numPr>
        <w:spacing w:after="200" w:line="240" w:lineRule="auto"/>
        <w:contextualSpacing/>
        <w:rPr>
          <w:rFonts w:cs="Arial"/>
          <w:sz w:val="20"/>
          <w:szCs w:val="20"/>
          <w:lang w:val="fr-FR"/>
        </w:rPr>
      </w:pPr>
      <w:r w:rsidRPr="00A02048">
        <w:rPr>
          <w:rFonts w:cs="Arial"/>
          <w:sz w:val="20"/>
          <w:szCs w:val="20"/>
          <w:lang w:val="fr-FR"/>
        </w:rPr>
        <w:t>Renforcer / élargir les formations du secteur privé dans le domaine de l’impact des changements climatiques et de la dégradation des ressources naturelles dans leur secteur d’activité.</w:t>
      </w:r>
    </w:p>
    <w:p w14:paraId="39FD62B8" w14:textId="77777777" w:rsidR="007B356D" w:rsidRPr="00A02048" w:rsidRDefault="007B356D" w:rsidP="00393CA8">
      <w:pPr>
        <w:numPr>
          <w:ilvl w:val="0"/>
          <w:numId w:val="54"/>
        </w:numPr>
        <w:spacing w:after="200" w:line="240" w:lineRule="auto"/>
        <w:contextualSpacing/>
        <w:rPr>
          <w:rFonts w:cs="Arial"/>
          <w:sz w:val="20"/>
          <w:szCs w:val="20"/>
          <w:lang w:val="fr-FR"/>
        </w:rPr>
      </w:pPr>
      <w:r w:rsidRPr="00A02048">
        <w:rPr>
          <w:rFonts w:cs="Arial"/>
          <w:sz w:val="20"/>
          <w:szCs w:val="20"/>
          <w:lang w:val="fr-FR"/>
        </w:rPr>
        <w:t xml:space="preserve">Promouvoir l’utilisation d’outils calculant l‘empreinte écologique à tous les niveaux et faire une large diffusion dans les médias. </w:t>
      </w:r>
    </w:p>
    <w:p w14:paraId="48C10628" w14:textId="77777777" w:rsidR="007B356D" w:rsidRPr="00A02048" w:rsidRDefault="007B356D" w:rsidP="00393CA8">
      <w:pPr>
        <w:numPr>
          <w:ilvl w:val="0"/>
          <w:numId w:val="54"/>
        </w:numPr>
        <w:spacing w:after="200" w:line="240" w:lineRule="auto"/>
        <w:contextualSpacing/>
        <w:rPr>
          <w:rFonts w:cs="Arial"/>
          <w:sz w:val="20"/>
          <w:szCs w:val="20"/>
          <w:lang w:val="fr-FR"/>
        </w:rPr>
      </w:pPr>
      <w:r w:rsidRPr="00A02048">
        <w:rPr>
          <w:rFonts w:cs="Arial"/>
          <w:sz w:val="20"/>
          <w:szCs w:val="20"/>
          <w:lang w:val="fr-FR"/>
        </w:rPr>
        <w:t>Reprendre l’élaboration de la SNDD. Le seul instrument en place est le CREDD et son verdissement. Il reste toujours dans une logique sectorielle.</w:t>
      </w:r>
    </w:p>
    <w:p w14:paraId="30161A27" w14:textId="77777777" w:rsidR="007B356D" w:rsidRPr="00A02048" w:rsidRDefault="007B356D" w:rsidP="00393CA8">
      <w:pPr>
        <w:numPr>
          <w:ilvl w:val="0"/>
          <w:numId w:val="54"/>
        </w:numPr>
        <w:spacing w:after="200" w:line="240" w:lineRule="auto"/>
        <w:contextualSpacing/>
        <w:rPr>
          <w:rFonts w:cs="Arial"/>
          <w:sz w:val="20"/>
          <w:szCs w:val="20"/>
          <w:lang w:val="fr-FR"/>
        </w:rPr>
      </w:pPr>
      <w:r w:rsidRPr="00A02048">
        <w:rPr>
          <w:rFonts w:cs="Arial"/>
          <w:sz w:val="20"/>
          <w:szCs w:val="20"/>
          <w:lang w:val="fr-FR"/>
        </w:rPr>
        <w:t>Identifier les indicateurs environnementaux, du changement climatique et du développement durable clés à suivre dans le but d’un prochain CREDD avec une véritable intégration transversale des questions environnementales.</w:t>
      </w:r>
    </w:p>
    <w:p w14:paraId="5AF61A0A" w14:textId="77777777" w:rsidR="007B356D" w:rsidRPr="00A02048" w:rsidRDefault="007B356D" w:rsidP="00393CA8">
      <w:pPr>
        <w:numPr>
          <w:ilvl w:val="0"/>
          <w:numId w:val="54"/>
        </w:numPr>
        <w:spacing w:after="200" w:line="240" w:lineRule="auto"/>
        <w:contextualSpacing/>
        <w:rPr>
          <w:rFonts w:cs="Arial"/>
          <w:sz w:val="20"/>
          <w:szCs w:val="20"/>
          <w:lang w:val="fr-FR"/>
        </w:rPr>
      </w:pPr>
      <w:r w:rsidRPr="00A02048">
        <w:rPr>
          <w:rFonts w:cs="Arial"/>
          <w:sz w:val="20"/>
          <w:szCs w:val="20"/>
          <w:lang w:val="fr-FR"/>
        </w:rPr>
        <w:t>Revoir le cadre institutionnel du DD dans le but d’un rattachement au plus haut niveau (primature) en lien avec la place accordée à un ‘environnement sain’ dans la Constitution du Mali.</w:t>
      </w:r>
    </w:p>
    <w:p w14:paraId="2E51E39A" w14:textId="77777777" w:rsidR="007B356D" w:rsidRPr="00A02048" w:rsidRDefault="007B356D" w:rsidP="007B356D">
      <w:pPr>
        <w:spacing w:after="0" w:line="240" w:lineRule="auto"/>
        <w:rPr>
          <w:rFonts w:cs="Arial"/>
          <w:color w:val="C00000"/>
          <w:sz w:val="20"/>
          <w:szCs w:val="20"/>
          <w:u w:val="single"/>
          <w:lang w:val="fr-FR"/>
        </w:rPr>
      </w:pPr>
    </w:p>
    <w:p w14:paraId="169548FD" w14:textId="77777777" w:rsidR="007B356D" w:rsidRPr="00A02048" w:rsidRDefault="007B356D" w:rsidP="007B356D">
      <w:pPr>
        <w:spacing w:after="0" w:line="240" w:lineRule="auto"/>
        <w:rPr>
          <w:rFonts w:cs="Arial"/>
          <w:sz w:val="20"/>
          <w:szCs w:val="20"/>
          <w:u w:val="single"/>
          <w:lang w:val="fr-FR"/>
        </w:rPr>
      </w:pPr>
      <w:r w:rsidRPr="00A02048">
        <w:rPr>
          <w:rFonts w:cs="Arial"/>
          <w:sz w:val="20"/>
          <w:szCs w:val="20"/>
          <w:u w:val="single"/>
          <w:lang w:val="fr-FR"/>
        </w:rPr>
        <w:t>Suivi pour la prise des décisions</w:t>
      </w:r>
    </w:p>
    <w:p w14:paraId="781DD4AB" w14:textId="77777777" w:rsidR="007B356D" w:rsidRPr="00A02048" w:rsidRDefault="007B356D" w:rsidP="00393CA8">
      <w:pPr>
        <w:numPr>
          <w:ilvl w:val="0"/>
          <w:numId w:val="54"/>
        </w:numPr>
        <w:spacing w:after="200" w:line="240" w:lineRule="auto"/>
        <w:contextualSpacing/>
        <w:rPr>
          <w:rFonts w:cs="Arial"/>
          <w:sz w:val="20"/>
          <w:szCs w:val="20"/>
          <w:lang w:val="fr-FR"/>
        </w:rPr>
      </w:pPr>
      <w:r w:rsidRPr="00A02048">
        <w:rPr>
          <w:rFonts w:cs="Arial"/>
          <w:sz w:val="20"/>
          <w:szCs w:val="20"/>
          <w:lang w:val="fr-FR"/>
        </w:rPr>
        <w:t>Assurer la disponibilité des ressources nécessaires à la collecte, le traitement continu des données et la diffusion des résultats du SNGIE.</w:t>
      </w:r>
    </w:p>
    <w:p w14:paraId="2B749E41" w14:textId="77777777" w:rsidR="007B356D" w:rsidRPr="00A02048" w:rsidRDefault="007B356D" w:rsidP="00393CA8">
      <w:pPr>
        <w:numPr>
          <w:ilvl w:val="0"/>
          <w:numId w:val="54"/>
        </w:numPr>
        <w:spacing w:after="200" w:line="240" w:lineRule="auto"/>
        <w:contextualSpacing/>
        <w:rPr>
          <w:rFonts w:cs="Arial"/>
          <w:sz w:val="20"/>
          <w:szCs w:val="20"/>
          <w:lang w:val="fr-FR"/>
        </w:rPr>
      </w:pPr>
      <w:r w:rsidRPr="00A02048">
        <w:rPr>
          <w:rFonts w:cs="Arial"/>
          <w:sz w:val="20"/>
          <w:szCs w:val="20"/>
          <w:lang w:val="fr-FR"/>
        </w:rPr>
        <w:t>Assurer le renforcement des capacités techniques de l’AEDD par une assistance technique, surtout, pour l’analyse et l’interprétation des données du SNGIE.</w:t>
      </w:r>
    </w:p>
    <w:p w14:paraId="33E80073" w14:textId="77777777" w:rsidR="007B356D" w:rsidRPr="00A02048" w:rsidRDefault="007B356D" w:rsidP="00393CA8">
      <w:pPr>
        <w:numPr>
          <w:ilvl w:val="0"/>
          <w:numId w:val="54"/>
        </w:numPr>
        <w:spacing w:after="200" w:line="240" w:lineRule="auto"/>
        <w:contextualSpacing/>
        <w:rPr>
          <w:rFonts w:cs="Arial"/>
          <w:sz w:val="20"/>
          <w:szCs w:val="20"/>
          <w:lang w:val="fr-FR"/>
        </w:rPr>
      </w:pPr>
      <w:r w:rsidRPr="00A02048">
        <w:rPr>
          <w:rFonts w:cs="Arial"/>
          <w:sz w:val="20"/>
          <w:szCs w:val="20"/>
          <w:lang w:val="fr-FR"/>
        </w:rPr>
        <w:t>Mettre en place un observatoire de la qualité de l’air (à l’instar de celui de Dakar) incluant l’opérationnalisation / la réhabilitation de l’unité mobile actuellement hors service (*)</w:t>
      </w:r>
    </w:p>
    <w:p w14:paraId="666617A3" w14:textId="77777777" w:rsidR="007B356D" w:rsidRPr="00A02048" w:rsidRDefault="007B356D" w:rsidP="00393CA8">
      <w:pPr>
        <w:numPr>
          <w:ilvl w:val="0"/>
          <w:numId w:val="54"/>
        </w:numPr>
        <w:spacing w:after="200" w:line="240" w:lineRule="auto"/>
        <w:contextualSpacing/>
        <w:rPr>
          <w:rFonts w:cs="Arial"/>
          <w:sz w:val="20"/>
          <w:szCs w:val="20"/>
          <w:lang w:val="fr-FR"/>
        </w:rPr>
      </w:pPr>
      <w:r w:rsidRPr="00A02048">
        <w:rPr>
          <w:rFonts w:cs="Arial"/>
          <w:sz w:val="20"/>
          <w:szCs w:val="20"/>
          <w:lang w:val="fr-FR"/>
        </w:rPr>
        <w:t>Renforcer les capacités de développement des modèles (prévisions/prospectives/scénarii) et les analyses, notamment économiques du MEADD dans le but de réduire l’externalisation actuelle des études dans ce sens.</w:t>
      </w:r>
    </w:p>
    <w:p w14:paraId="75A5BC93" w14:textId="77777777" w:rsidR="007B356D" w:rsidRPr="00A02048" w:rsidRDefault="007B356D" w:rsidP="007B356D">
      <w:pPr>
        <w:spacing w:after="0" w:line="240" w:lineRule="auto"/>
        <w:contextualSpacing/>
        <w:rPr>
          <w:rFonts w:cs="Arial"/>
          <w:color w:val="C00000"/>
          <w:sz w:val="20"/>
          <w:szCs w:val="20"/>
          <w:u w:val="single"/>
          <w:lang w:val="fr-FR"/>
        </w:rPr>
      </w:pPr>
    </w:p>
    <w:p w14:paraId="724056F9" w14:textId="77777777" w:rsidR="007B356D" w:rsidRPr="00A02048" w:rsidRDefault="007B356D" w:rsidP="007B356D">
      <w:pPr>
        <w:spacing w:after="0" w:line="240" w:lineRule="auto"/>
        <w:contextualSpacing/>
        <w:rPr>
          <w:rFonts w:cs="Arial"/>
          <w:sz w:val="20"/>
          <w:szCs w:val="20"/>
          <w:u w:val="single"/>
          <w:lang w:val="fr-FR"/>
        </w:rPr>
      </w:pPr>
      <w:r w:rsidRPr="00A02048">
        <w:rPr>
          <w:rFonts w:cs="Arial"/>
          <w:sz w:val="20"/>
          <w:szCs w:val="20"/>
          <w:u w:val="single"/>
          <w:lang w:val="fr-FR"/>
        </w:rPr>
        <w:t>Appui à la décentralisation :</w:t>
      </w:r>
    </w:p>
    <w:p w14:paraId="29558D2A" w14:textId="77777777" w:rsidR="007B356D" w:rsidRPr="00A02048" w:rsidRDefault="007B356D" w:rsidP="00393CA8">
      <w:pPr>
        <w:numPr>
          <w:ilvl w:val="0"/>
          <w:numId w:val="45"/>
        </w:numPr>
        <w:spacing w:after="0" w:line="240" w:lineRule="auto"/>
        <w:contextualSpacing/>
        <w:rPr>
          <w:rFonts w:cs="Arial"/>
          <w:sz w:val="20"/>
          <w:szCs w:val="20"/>
          <w:lang w:val="fr-FR"/>
        </w:rPr>
      </w:pPr>
      <w:r w:rsidRPr="00A02048">
        <w:rPr>
          <w:rFonts w:cs="Arial"/>
          <w:sz w:val="20"/>
          <w:szCs w:val="20"/>
          <w:lang w:val="fr-FR"/>
        </w:rPr>
        <w:t xml:space="preserve">Accélérer l’élaboration des textes d’application et le transfert du budget </w:t>
      </w:r>
      <w:r w:rsidR="0028371C" w:rsidRPr="00A02048">
        <w:rPr>
          <w:rFonts w:cs="Arial"/>
          <w:sz w:val="20"/>
          <w:szCs w:val="20"/>
          <w:lang w:val="fr-FR"/>
        </w:rPr>
        <w:t xml:space="preserve">de l’Etat </w:t>
      </w:r>
      <w:r w:rsidRPr="00A02048">
        <w:rPr>
          <w:rFonts w:cs="Arial"/>
          <w:sz w:val="20"/>
          <w:szCs w:val="20"/>
          <w:lang w:val="fr-FR"/>
        </w:rPr>
        <w:t>aux communes</w:t>
      </w:r>
    </w:p>
    <w:p w14:paraId="52153DBA" w14:textId="77777777" w:rsidR="007B356D" w:rsidRPr="00A02048" w:rsidRDefault="007B356D" w:rsidP="00393CA8">
      <w:pPr>
        <w:numPr>
          <w:ilvl w:val="0"/>
          <w:numId w:val="45"/>
        </w:numPr>
        <w:spacing w:after="0" w:line="240" w:lineRule="auto"/>
        <w:contextualSpacing/>
        <w:rPr>
          <w:rFonts w:cs="Arial"/>
          <w:sz w:val="20"/>
          <w:szCs w:val="20"/>
          <w:lang w:val="fr-FR"/>
        </w:rPr>
      </w:pPr>
      <w:r w:rsidRPr="00A02048">
        <w:rPr>
          <w:rFonts w:cs="Arial"/>
          <w:sz w:val="20"/>
          <w:szCs w:val="20"/>
          <w:lang w:val="fr-FR"/>
        </w:rPr>
        <w:t>Faire des campagnes d’information et de diffusion des réglementations environnementales pertinentes au niveau des communes, auprès des collectivités locales (maires), des autorités locales (préfet, sous-préfet), des forces de l’ordre (police, gendarmes)</w:t>
      </w:r>
      <w:r w:rsidR="0028371C" w:rsidRPr="00A02048">
        <w:rPr>
          <w:rFonts w:cs="Arial"/>
          <w:sz w:val="20"/>
          <w:szCs w:val="20"/>
          <w:lang w:val="fr-FR"/>
        </w:rPr>
        <w:t>, services techniques déconcentrés</w:t>
      </w:r>
      <w:r w:rsidRPr="00A02048">
        <w:rPr>
          <w:rFonts w:cs="Arial"/>
          <w:sz w:val="20"/>
          <w:szCs w:val="20"/>
          <w:lang w:val="fr-FR"/>
        </w:rPr>
        <w:t xml:space="preserve"> et des acteurs locaux (secteur privé, ONG) (*).</w:t>
      </w:r>
    </w:p>
    <w:p w14:paraId="13EDEEA0" w14:textId="77777777" w:rsidR="007B356D" w:rsidRPr="00A02048" w:rsidRDefault="007B356D" w:rsidP="00393CA8">
      <w:pPr>
        <w:numPr>
          <w:ilvl w:val="0"/>
          <w:numId w:val="45"/>
        </w:numPr>
        <w:spacing w:after="0" w:line="240" w:lineRule="auto"/>
        <w:contextualSpacing/>
        <w:rPr>
          <w:rFonts w:cs="Arial"/>
          <w:sz w:val="20"/>
          <w:szCs w:val="20"/>
          <w:lang w:val="fr-FR"/>
        </w:rPr>
      </w:pPr>
      <w:r w:rsidRPr="00A02048">
        <w:rPr>
          <w:rFonts w:cs="Arial"/>
          <w:sz w:val="20"/>
          <w:szCs w:val="20"/>
          <w:lang w:val="fr-FR"/>
        </w:rPr>
        <w:t xml:space="preserve">Faciliter la mise en œuvre des </w:t>
      </w:r>
      <w:r w:rsidR="0028371C" w:rsidRPr="00A02048">
        <w:rPr>
          <w:rFonts w:cs="Arial"/>
          <w:sz w:val="20"/>
          <w:szCs w:val="20"/>
          <w:lang w:val="fr-FR"/>
        </w:rPr>
        <w:t>PDSEC 3</w:t>
      </w:r>
      <w:r w:rsidR="0028371C" w:rsidRPr="00A02048">
        <w:rPr>
          <w:rFonts w:cs="Arial"/>
          <w:sz w:val="20"/>
          <w:szCs w:val="20"/>
          <w:vertAlign w:val="superscript"/>
          <w:lang w:val="fr-FR"/>
        </w:rPr>
        <w:t>ème</w:t>
      </w:r>
      <w:r w:rsidR="0028371C" w:rsidRPr="00A02048">
        <w:rPr>
          <w:rFonts w:cs="Arial"/>
          <w:sz w:val="20"/>
          <w:szCs w:val="20"/>
          <w:lang w:val="fr-FR"/>
        </w:rPr>
        <w:t xml:space="preserve"> génération et des </w:t>
      </w:r>
      <w:r w:rsidRPr="00A02048">
        <w:rPr>
          <w:rFonts w:cs="Arial"/>
          <w:sz w:val="20"/>
          <w:szCs w:val="20"/>
          <w:lang w:val="fr-FR"/>
        </w:rPr>
        <w:t>PCAE (où ils existent) et appuyer leur élaboration dans les autres communes (*)</w:t>
      </w:r>
    </w:p>
    <w:p w14:paraId="29E832BD" w14:textId="77777777" w:rsidR="007B356D" w:rsidRPr="00A02048" w:rsidRDefault="007B356D" w:rsidP="0028371C">
      <w:pPr>
        <w:numPr>
          <w:ilvl w:val="0"/>
          <w:numId w:val="45"/>
        </w:numPr>
        <w:spacing w:after="0" w:line="240" w:lineRule="auto"/>
        <w:contextualSpacing/>
        <w:rPr>
          <w:rFonts w:cs="Arial"/>
          <w:sz w:val="20"/>
          <w:szCs w:val="20"/>
          <w:lang w:val="fr-FR"/>
        </w:rPr>
      </w:pPr>
      <w:r w:rsidRPr="00A02048">
        <w:rPr>
          <w:rFonts w:cs="Arial"/>
          <w:sz w:val="20"/>
          <w:szCs w:val="20"/>
          <w:lang w:val="fr-FR"/>
        </w:rPr>
        <w:t xml:space="preserve">Appuyer le fonctionnement des commissions foncières locales (COFO) </w:t>
      </w:r>
      <w:r w:rsidR="0028371C" w:rsidRPr="00A02048">
        <w:rPr>
          <w:rFonts w:cs="Arial"/>
          <w:sz w:val="20"/>
          <w:szCs w:val="20"/>
          <w:lang w:val="fr-FR"/>
        </w:rPr>
        <w:t xml:space="preserve">et des </w:t>
      </w:r>
      <w:r w:rsidR="00041443" w:rsidRPr="00A02048">
        <w:rPr>
          <w:rFonts w:cs="Arial"/>
          <w:sz w:val="20"/>
          <w:szCs w:val="20"/>
          <w:lang w:val="fr-FR"/>
        </w:rPr>
        <w:t xml:space="preserve">cercles de </w:t>
      </w:r>
      <w:r w:rsidR="0028371C" w:rsidRPr="00A02048">
        <w:rPr>
          <w:rFonts w:cs="Arial"/>
          <w:sz w:val="20"/>
          <w:szCs w:val="20"/>
          <w:lang w:val="fr-FR"/>
        </w:rPr>
        <w:t xml:space="preserve">dialogue pour la paix et la réconciliation </w:t>
      </w:r>
      <w:r w:rsidRPr="00A02048">
        <w:rPr>
          <w:rFonts w:cs="Arial"/>
          <w:sz w:val="20"/>
          <w:szCs w:val="20"/>
          <w:lang w:val="fr-FR"/>
        </w:rPr>
        <w:t>pour assurer les investissements environnementaux privés et/ou collectifs (*)</w:t>
      </w:r>
    </w:p>
    <w:p w14:paraId="4BEF427E" w14:textId="77777777" w:rsidR="007B356D" w:rsidRPr="00A02048" w:rsidRDefault="007B356D" w:rsidP="00DE6DE2">
      <w:pPr>
        <w:numPr>
          <w:ilvl w:val="0"/>
          <w:numId w:val="52"/>
        </w:numPr>
        <w:spacing w:after="0" w:line="240" w:lineRule="auto"/>
        <w:contextualSpacing/>
        <w:rPr>
          <w:rFonts w:cs="Arial"/>
          <w:sz w:val="20"/>
          <w:szCs w:val="20"/>
          <w:lang w:val="fr-FR"/>
        </w:rPr>
      </w:pPr>
      <w:r w:rsidRPr="00A02048">
        <w:rPr>
          <w:rFonts w:cs="Arial"/>
          <w:sz w:val="20"/>
          <w:szCs w:val="20"/>
          <w:lang w:val="fr-FR"/>
        </w:rPr>
        <w:t>Organiser et encadrer le secteur de l’orpaillage et les communes concernées en impliquant le service technique des mines, la DRACPN</w:t>
      </w:r>
      <w:r w:rsidR="00DE6DE2" w:rsidRPr="00A02048">
        <w:rPr>
          <w:rFonts w:cs="Arial"/>
          <w:sz w:val="20"/>
          <w:szCs w:val="20"/>
          <w:lang w:val="fr-FR"/>
        </w:rPr>
        <w:t>, le Conseil National des Orpailleurs, la Chambre des Mines, les acteurs sur les sites d’orpaillage</w:t>
      </w:r>
      <w:r w:rsidRPr="00A02048">
        <w:rPr>
          <w:rFonts w:cs="Arial"/>
          <w:sz w:val="20"/>
          <w:szCs w:val="20"/>
          <w:lang w:val="fr-FR"/>
        </w:rPr>
        <w:t xml:space="preserve"> et les forces de l’ordre (*)</w:t>
      </w:r>
    </w:p>
    <w:p w14:paraId="34D6C0B4" w14:textId="77777777" w:rsidR="007B356D" w:rsidRPr="00A02048" w:rsidRDefault="007B356D" w:rsidP="007B356D">
      <w:pPr>
        <w:spacing w:after="0" w:line="240" w:lineRule="auto"/>
        <w:contextualSpacing/>
        <w:rPr>
          <w:rFonts w:cs="Arial"/>
          <w:color w:val="C00000"/>
          <w:sz w:val="20"/>
          <w:szCs w:val="20"/>
          <w:lang w:val="fr-FR"/>
        </w:rPr>
      </w:pPr>
    </w:p>
    <w:p w14:paraId="2DAB8691" w14:textId="77777777" w:rsidR="007B356D" w:rsidRPr="00B7222E" w:rsidRDefault="007B356D" w:rsidP="007B356D">
      <w:pPr>
        <w:spacing w:after="0" w:line="240" w:lineRule="auto"/>
        <w:contextualSpacing/>
        <w:rPr>
          <w:rFonts w:cs="Arial"/>
          <w:sz w:val="20"/>
          <w:szCs w:val="20"/>
          <w:u w:val="single"/>
          <w:lang w:val="fr-FR"/>
        </w:rPr>
      </w:pPr>
      <w:r w:rsidRPr="00A02048">
        <w:rPr>
          <w:rFonts w:cs="Arial"/>
          <w:sz w:val="20"/>
          <w:szCs w:val="20"/>
          <w:u w:val="single"/>
          <w:lang w:val="fr-FR"/>
        </w:rPr>
        <w:t>Général :</w:t>
      </w:r>
    </w:p>
    <w:p w14:paraId="285645F7" w14:textId="77777777" w:rsidR="007B356D" w:rsidRPr="00B7222E" w:rsidRDefault="007B356D" w:rsidP="00393CA8">
      <w:pPr>
        <w:numPr>
          <w:ilvl w:val="0"/>
          <w:numId w:val="54"/>
        </w:numPr>
        <w:spacing w:after="0" w:line="240" w:lineRule="auto"/>
        <w:contextualSpacing/>
        <w:rPr>
          <w:rFonts w:cs="Arial"/>
          <w:sz w:val="20"/>
          <w:szCs w:val="20"/>
          <w:lang w:val="fr-FR"/>
        </w:rPr>
      </w:pPr>
      <w:r w:rsidRPr="00B7222E">
        <w:rPr>
          <w:rFonts w:cs="Arial"/>
          <w:sz w:val="20"/>
          <w:szCs w:val="20"/>
          <w:lang w:val="fr-FR"/>
        </w:rPr>
        <w:t xml:space="preserve">Mettre en place des programmes de subvention aux énergies domestiques alternatives au bois (gaz, équipements de cuisson électrique) au moins dans les grandes villes et interdire </w:t>
      </w:r>
      <w:r w:rsidR="00DE6DE2">
        <w:rPr>
          <w:rFonts w:cs="Arial"/>
          <w:sz w:val="20"/>
          <w:szCs w:val="20"/>
          <w:lang w:val="fr-FR"/>
        </w:rPr>
        <w:t xml:space="preserve">le bois –énergie </w:t>
      </w:r>
      <w:r w:rsidRPr="00B7222E">
        <w:rPr>
          <w:rFonts w:cs="Arial"/>
          <w:sz w:val="20"/>
          <w:szCs w:val="20"/>
          <w:lang w:val="fr-FR"/>
        </w:rPr>
        <w:t>ou développer un système de taxation à coût réel pour rendre les alternatives plus propres (gaz, électricité) compétitives.</w:t>
      </w:r>
    </w:p>
    <w:p w14:paraId="10C6CDAE" w14:textId="77777777" w:rsidR="007B356D" w:rsidRPr="00B7222E" w:rsidRDefault="007B356D" w:rsidP="00393CA8">
      <w:pPr>
        <w:numPr>
          <w:ilvl w:val="0"/>
          <w:numId w:val="54"/>
        </w:numPr>
        <w:spacing w:after="200" w:line="276" w:lineRule="auto"/>
        <w:contextualSpacing/>
        <w:rPr>
          <w:rFonts w:cs="Arial"/>
          <w:sz w:val="20"/>
          <w:szCs w:val="20"/>
          <w:lang w:val="fr-FR"/>
        </w:rPr>
      </w:pPr>
      <w:r w:rsidRPr="00B7222E">
        <w:rPr>
          <w:rFonts w:cs="Arial"/>
          <w:sz w:val="20"/>
          <w:szCs w:val="20"/>
          <w:lang w:val="fr-FR"/>
        </w:rPr>
        <w:lastRenderedPageBreak/>
        <w:t>Donner la préférence à la réhabilitation des centrales hydroélectriques et aux centrales solaires / mixtes isolé</w:t>
      </w:r>
      <w:r w:rsidR="00B7222E" w:rsidRPr="00B7222E">
        <w:rPr>
          <w:rFonts w:cs="Arial"/>
          <w:sz w:val="20"/>
          <w:szCs w:val="20"/>
          <w:lang w:val="fr-FR"/>
        </w:rPr>
        <w:t>e</w:t>
      </w:r>
      <w:r w:rsidRPr="00B7222E">
        <w:rPr>
          <w:rFonts w:cs="Arial"/>
          <w:sz w:val="20"/>
          <w:szCs w:val="20"/>
          <w:lang w:val="fr-FR"/>
        </w:rPr>
        <w:t>s dans la transition énergétique</w:t>
      </w:r>
      <w:r w:rsidR="00B7222E" w:rsidRPr="00B7222E">
        <w:rPr>
          <w:rFonts w:cs="Arial"/>
          <w:sz w:val="20"/>
          <w:szCs w:val="20"/>
          <w:lang w:val="fr-FR"/>
        </w:rPr>
        <w:t>.</w:t>
      </w:r>
    </w:p>
    <w:p w14:paraId="35CD417C" w14:textId="77777777" w:rsidR="008C73DC" w:rsidRPr="00B7222E" w:rsidRDefault="00393CA8" w:rsidP="00393CA8">
      <w:pPr>
        <w:numPr>
          <w:ilvl w:val="0"/>
          <w:numId w:val="54"/>
        </w:numPr>
        <w:spacing w:after="200" w:line="240" w:lineRule="auto"/>
        <w:contextualSpacing/>
        <w:rPr>
          <w:rFonts w:cs="Arial"/>
          <w:sz w:val="20"/>
          <w:szCs w:val="20"/>
          <w:lang w:val="fr-FR"/>
        </w:rPr>
      </w:pPr>
      <w:r w:rsidRPr="00B7222E">
        <w:rPr>
          <w:rFonts w:cs="Arial"/>
          <w:sz w:val="20"/>
          <w:szCs w:val="20"/>
          <w:lang w:val="fr-FR"/>
        </w:rPr>
        <w:t>Inclure systématiquement dans les projets d’aide au développement une ligne budgétaire pour l’assainissement des effluents liquide</w:t>
      </w:r>
      <w:r w:rsidR="007B356D" w:rsidRPr="00B7222E">
        <w:rPr>
          <w:rFonts w:cs="Arial"/>
          <w:sz w:val="20"/>
          <w:szCs w:val="20"/>
          <w:lang w:val="fr-FR"/>
        </w:rPr>
        <w:t>s et solides du projet.</w:t>
      </w:r>
      <w:r w:rsidRPr="00B7222E">
        <w:rPr>
          <w:rFonts w:cs="Arial"/>
          <w:sz w:val="20"/>
          <w:szCs w:val="20"/>
          <w:lang w:val="fr-FR"/>
        </w:rPr>
        <w:t xml:space="preserve"> (*)</w:t>
      </w:r>
    </w:p>
    <w:p w14:paraId="1E561182" w14:textId="77777777" w:rsidR="007B356D" w:rsidRPr="00B7222E" w:rsidRDefault="007B356D" w:rsidP="007B356D">
      <w:pPr>
        <w:spacing w:after="0" w:line="240" w:lineRule="auto"/>
        <w:rPr>
          <w:rFonts w:eastAsia="Calibri" w:cs="Arial"/>
          <w:sz w:val="20"/>
          <w:szCs w:val="20"/>
          <w:lang w:val="fr-FR" w:eastAsia="fr-FR"/>
        </w:rPr>
      </w:pPr>
    </w:p>
    <w:p w14:paraId="66EA6B6F" w14:textId="77777777" w:rsidR="007B356D" w:rsidRPr="00B7222E" w:rsidRDefault="007B356D" w:rsidP="007B356D">
      <w:pPr>
        <w:spacing w:after="0" w:line="240" w:lineRule="auto"/>
        <w:rPr>
          <w:rFonts w:eastAsia="Calibri" w:cs="Arial"/>
          <w:sz w:val="20"/>
          <w:szCs w:val="20"/>
          <w:lang w:val="fr-FR" w:eastAsia="fr-FR"/>
        </w:rPr>
      </w:pPr>
      <w:r w:rsidRPr="00B7222E">
        <w:rPr>
          <w:rFonts w:eastAsia="Calibri" w:cs="Arial"/>
          <w:sz w:val="20"/>
          <w:szCs w:val="20"/>
          <w:lang w:val="fr-FR" w:eastAsia="fr-FR"/>
        </w:rPr>
        <w:t>Recommandations du PEP 2014,  toujours valables et  d’actualité :</w:t>
      </w:r>
    </w:p>
    <w:p w14:paraId="4A287EE7" w14:textId="77777777" w:rsidR="007B356D" w:rsidRPr="007B356D" w:rsidRDefault="007B356D" w:rsidP="007B356D">
      <w:pPr>
        <w:spacing w:after="0" w:line="240" w:lineRule="auto"/>
        <w:rPr>
          <w:rFonts w:eastAsia="Calibri" w:cs="Arial"/>
          <w:color w:val="000000" w:themeColor="text1"/>
          <w:sz w:val="20"/>
          <w:szCs w:val="20"/>
          <w:lang w:val="fr-FR" w:eastAsia="fr-FR"/>
        </w:rPr>
      </w:pPr>
    </w:p>
    <w:p w14:paraId="0E994E3F" w14:textId="77777777" w:rsidR="007B356D" w:rsidRPr="007B356D" w:rsidRDefault="007B356D" w:rsidP="00393CA8">
      <w:pPr>
        <w:numPr>
          <w:ilvl w:val="0"/>
          <w:numId w:val="60"/>
        </w:numPr>
        <w:spacing w:after="0" w:line="240" w:lineRule="auto"/>
        <w:ind w:left="360"/>
        <w:contextualSpacing/>
        <w:rPr>
          <w:rFonts w:cs="Arial"/>
          <w:sz w:val="20"/>
          <w:szCs w:val="20"/>
          <w:lang w:val="fr-FR"/>
        </w:rPr>
      </w:pPr>
      <w:r w:rsidRPr="007B356D">
        <w:rPr>
          <w:rFonts w:cs="Arial"/>
          <w:sz w:val="20"/>
          <w:szCs w:val="20"/>
          <w:lang w:val="fr-FR"/>
        </w:rPr>
        <w:t>Insérer dans les programmes d’urgence de réhabilitation des régions du Nord et de réduction des disparités régionales les actions environnementales locales, concrètes et créatrices d’emploi local (HIMO) en favorisant la responsabilisation des acteurs locaux à travers : (*)</w:t>
      </w:r>
    </w:p>
    <w:p w14:paraId="2A5B70B3" w14:textId="77777777" w:rsidR="007B356D" w:rsidRPr="007B356D" w:rsidRDefault="007B356D" w:rsidP="00393CA8">
      <w:pPr>
        <w:numPr>
          <w:ilvl w:val="1"/>
          <w:numId w:val="60"/>
        </w:numPr>
        <w:spacing w:after="0" w:line="240" w:lineRule="auto"/>
        <w:ind w:left="709"/>
        <w:contextualSpacing/>
        <w:rPr>
          <w:rFonts w:cs="Arial"/>
          <w:sz w:val="20"/>
          <w:szCs w:val="20"/>
          <w:lang w:val="fr-FR"/>
        </w:rPr>
      </w:pPr>
      <w:r w:rsidRPr="007B356D">
        <w:rPr>
          <w:rFonts w:cs="Arial"/>
          <w:sz w:val="20"/>
          <w:szCs w:val="20"/>
          <w:lang w:val="fr-FR"/>
        </w:rPr>
        <w:t>la collecte, le tri et la valorisation des déchets</w:t>
      </w:r>
      <w:r w:rsidRPr="007B356D">
        <w:rPr>
          <w:rFonts w:cs="Arial"/>
          <w:color w:val="FF0000"/>
          <w:sz w:val="20"/>
          <w:szCs w:val="20"/>
          <w:lang w:val="fr-FR"/>
        </w:rPr>
        <w:t> </w:t>
      </w:r>
      <w:r w:rsidRPr="007B356D">
        <w:rPr>
          <w:rFonts w:cs="Arial"/>
          <w:sz w:val="20"/>
          <w:szCs w:val="20"/>
          <w:lang w:val="fr-FR"/>
        </w:rPr>
        <w:t>;</w:t>
      </w:r>
    </w:p>
    <w:p w14:paraId="10FF4425" w14:textId="77777777" w:rsidR="007B356D" w:rsidRPr="007B356D" w:rsidRDefault="007B356D" w:rsidP="00393CA8">
      <w:pPr>
        <w:numPr>
          <w:ilvl w:val="1"/>
          <w:numId w:val="60"/>
        </w:numPr>
        <w:spacing w:after="0" w:line="240" w:lineRule="auto"/>
        <w:ind w:left="709"/>
        <w:contextualSpacing/>
        <w:rPr>
          <w:rFonts w:cs="Arial"/>
          <w:sz w:val="20"/>
          <w:szCs w:val="20"/>
          <w:lang w:val="fr-FR"/>
        </w:rPr>
      </w:pPr>
      <w:r w:rsidRPr="007B356D">
        <w:rPr>
          <w:rFonts w:cs="Arial"/>
          <w:sz w:val="20"/>
          <w:szCs w:val="20"/>
          <w:lang w:val="fr-FR"/>
        </w:rPr>
        <w:t>la réalisation et l’entretien de mesures environnementales de compensation (p.ex. reboisement) des grandes infrastructures (routes, barrages, etc.)</w:t>
      </w:r>
      <w:r w:rsidRPr="007B356D">
        <w:rPr>
          <w:rFonts w:cs="Arial"/>
          <w:color w:val="FF0000"/>
          <w:sz w:val="20"/>
          <w:szCs w:val="20"/>
          <w:lang w:val="fr-FR"/>
        </w:rPr>
        <w:t> </w:t>
      </w:r>
      <w:r w:rsidRPr="007B356D">
        <w:rPr>
          <w:rFonts w:cs="Arial"/>
          <w:sz w:val="20"/>
          <w:szCs w:val="20"/>
          <w:lang w:val="fr-FR"/>
        </w:rPr>
        <w:t>;</w:t>
      </w:r>
    </w:p>
    <w:p w14:paraId="2BE5ED00" w14:textId="77777777" w:rsidR="007B356D" w:rsidRPr="007B356D" w:rsidRDefault="007B356D" w:rsidP="00393CA8">
      <w:pPr>
        <w:numPr>
          <w:ilvl w:val="1"/>
          <w:numId w:val="60"/>
        </w:numPr>
        <w:spacing w:after="0" w:line="240" w:lineRule="auto"/>
        <w:ind w:left="709"/>
        <w:contextualSpacing/>
        <w:rPr>
          <w:rFonts w:cs="Arial"/>
          <w:sz w:val="20"/>
          <w:szCs w:val="20"/>
          <w:lang w:val="fr-FR"/>
        </w:rPr>
      </w:pPr>
      <w:r w:rsidRPr="007B356D">
        <w:rPr>
          <w:rFonts w:cs="Arial"/>
          <w:sz w:val="20"/>
          <w:szCs w:val="20"/>
          <w:lang w:val="fr-FR"/>
        </w:rPr>
        <w:t xml:space="preserve">la restauration des terres dégradées par le conflit (anciens camps des différents groupes armés, réhabilitation des zones déboisées). </w:t>
      </w:r>
    </w:p>
    <w:p w14:paraId="2EC1DD43" w14:textId="77777777" w:rsidR="007B356D" w:rsidRPr="007B356D" w:rsidRDefault="007B356D" w:rsidP="00393CA8">
      <w:pPr>
        <w:numPr>
          <w:ilvl w:val="0"/>
          <w:numId w:val="60"/>
        </w:numPr>
        <w:spacing w:after="0" w:line="240" w:lineRule="auto"/>
        <w:ind w:left="360"/>
        <w:contextualSpacing/>
        <w:rPr>
          <w:rFonts w:cs="Arial"/>
          <w:sz w:val="20"/>
          <w:szCs w:val="20"/>
          <w:lang w:val="fr-FR"/>
        </w:rPr>
      </w:pPr>
      <w:r w:rsidRPr="007B356D">
        <w:rPr>
          <w:rFonts w:cs="Arial"/>
          <w:sz w:val="20"/>
          <w:szCs w:val="20"/>
          <w:lang w:val="fr-FR"/>
        </w:rPr>
        <w:t xml:space="preserve">Promouvoir et appuyer les mécanismes de planification, concertation, coordination et coopération intersectoriels aux niveaux régional et communal et créer des liens forts et une coopération étroite entre les </w:t>
      </w:r>
      <w:r w:rsidRPr="00865CCB">
        <w:rPr>
          <w:rFonts w:cs="Arial"/>
          <w:sz w:val="20"/>
          <w:szCs w:val="20"/>
          <w:lang w:val="fr-FR"/>
        </w:rPr>
        <w:t xml:space="preserve">structures du MEADD et </w:t>
      </w:r>
      <w:r w:rsidRPr="007B356D">
        <w:rPr>
          <w:rFonts w:cs="Arial"/>
          <w:sz w:val="20"/>
          <w:szCs w:val="20"/>
          <w:lang w:val="fr-FR"/>
        </w:rPr>
        <w:t>les chargés de la planification spatiale d’aménagement du territoire dans le but d’un développement intégré, durable et harmonisé.</w:t>
      </w:r>
    </w:p>
    <w:p w14:paraId="5E521906" w14:textId="77777777" w:rsidR="007B356D" w:rsidRPr="007B356D" w:rsidRDefault="007B356D" w:rsidP="00393CA8">
      <w:pPr>
        <w:numPr>
          <w:ilvl w:val="0"/>
          <w:numId w:val="60"/>
        </w:numPr>
        <w:spacing w:after="0" w:line="240" w:lineRule="auto"/>
        <w:ind w:left="360"/>
        <w:contextualSpacing/>
        <w:rPr>
          <w:rFonts w:cs="Arial"/>
          <w:sz w:val="20"/>
          <w:szCs w:val="20"/>
          <w:lang w:val="fr-FR"/>
        </w:rPr>
      </w:pPr>
      <w:r w:rsidRPr="007B356D">
        <w:rPr>
          <w:rFonts w:cs="Arial"/>
          <w:sz w:val="20"/>
          <w:szCs w:val="20"/>
          <w:lang w:val="fr-FR"/>
        </w:rPr>
        <w:t>Harmoniser/simplifier/clarifier les cadres institutionnels et législatifs pour réduire les doubles emplois et l’utilisation efficiente des ressources étatiques assez limitées en précisant les responsabilités et les tâches du MEADD et de ses organismes sous tutelle, notamment de l’AEDD, ainsi que des différentes administrations sectorielles et acteurs concernés.</w:t>
      </w:r>
    </w:p>
    <w:p w14:paraId="0E96D22D" w14:textId="77777777" w:rsidR="007B356D" w:rsidRPr="007B356D" w:rsidRDefault="007B356D" w:rsidP="00393CA8">
      <w:pPr>
        <w:numPr>
          <w:ilvl w:val="0"/>
          <w:numId w:val="60"/>
        </w:numPr>
        <w:spacing w:after="0" w:line="240" w:lineRule="auto"/>
        <w:ind w:left="360"/>
        <w:contextualSpacing/>
        <w:rPr>
          <w:rFonts w:cs="Arial"/>
          <w:sz w:val="20"/>
          <w:szCs w:val="20"/>
          <w:lang w:val="fr-FR"/>
        </w:rPr>
      </w:pPr>
      <w:r w:rsidRPr="007B356D">
        <w:rPr>
          <w:rFonts w:cs="Arial"/>
          <w:sz w:val="20"/>
          <w:szCs w:val="20"/>
          <w:lang w:val="fr-FR"/>
        </w:rPr>
        <w:t xml:space="preserve">Recentrer le rôle du MEADD et de ses structures attachées vers un mandat politique et transversal d’orientation stratégique et garant de la politique environnementale nationale (y compris les fonctions de conseil et d’accompagnement aux ministères sectoriels et aux collectivités territoriales, d’IEC et de suivi ; </w:t>
      </w:r>
    </w:p>
    <w:p w14:paraId="4B09B767" w14:textId="77777777" w:rsidR="007B356D" w:rsidRPr="00865CCB" w:rsidRDefault="007B356D" w:rsidP="00393CA8">
      <w:pPr>
        <w:numPr>
          <w:ilvl w:val="0"/>
          <w:numId w:val="60"/>
        </w:numPr>
        <w:spacing w:after="0" w:line="240" w:lineRule="auto"/>
        <w:ind w:left="360"/>
        <w:contextualSpacing/>
        <w:rPr>
          <w:rFonts w:cs="Arial"/>
          <w:sz w:val="20"/>
          <w:szCs w:val="20"/>
          <w:lang w:val="fr-FR"/>
        </w:rPr>
      </w:pPr>
      <w:r w:rsidRPr="007B356D">
        <w:rPr>
          <w:rFonts w:cs="Arial"/>
          <w:sz w:val="20"/>
          <w:szCs w:val="20"/>
          <w:lang w:val="fr-FR"/>
        </w:rPr>
        <w:t xml:space="preserve">Désengager le MEADD (et les autres Ministères) de toutes fonctions opérationnelles (en encourageant les systèmes de gestion du type partenariat public-privé (PPP) et prestation de service selon un cahier de charges précis, en renforçant l’action des communes et de la société civile et la professionnalisation du secteur </w:t>
      </w:r>
      <w:r w:rsidRPr="00865CCB">
        <w:rPr>
          <w:rFonts w:cs="Arial"/>
          <w:sz w:val="20"/>
          <w:szCs w:val="20"/>
          <w:lang w:val="fr-FR"/>
        </w:rPr>
        <w:t>privé (en cours et à suivre)</w:t>
      </w:r>
      <w:r w:rsidR="00865CCB">
        <w:rPr>
          <w:rFonts w:cs="Arial"/>
          <w:sz w:val="20"/>
          <w:szCs w:val="20"/>
          <w:lang w:val="fr-FR"/>
        </w:rPr>
        <w:t>.</w:t>
      </w:r>
    </w:p>
    <w:p w14:paraId="4ECDC6F4" w14:textId="77777777" w:rsidR="007B356D" w:rsidRPr="007B356D" w:rsidRDefault="007B356D" w:rsidP="00393CA8">
      <w:pPr>
        <w:numPr>
          <w:ilvl w:val="0"/>
          <w:numId w:val="60"/>
        </w:numPr>
        <w:spacing w:after="0" w:line="240" w:lineRule="auto"/>
        <w:ind w:left="360"/>
        <w:contextualSpacing/>
        <w:rPr>
          <w:rFonts w:cs="Arial"/>
          <w:sz w:val="20"/>
          <w:szCs w:val="20"/>
          <w:lang w:val="fr-FR"/>
        </w:rPr>
      </w:pPr>
      <w:r w:rsidRPr="007B356D">
        <w:rPr>
          <w:rFonts w:cs="Arial"/>
          <w:sz w:val="20"/>
          <w:szCs w:val="20"/>
          <w:lang w:val="fr-FR"/>
        </w:rPr>
        <w:t>Développer et mettre en œuvre des mécanismes viables de mobilisation des ressources financières nationales pour l’action environnementale (taxation locale des prélèvements des ressources naturelles dans un but commercial, application du principe pollueur – payeur, préleveur – payeur selon les coûts réels, alimentation suffisante du fonds national pour l’environnement par une partie des taxes d’importation des produits polluants (p.ex. taxe d’importation sur les véhicules usés) ; révision de la clé de répartition des amendes environnementales dans le but d’encourager les communes à contrôler l’utilisation des ressources naturelles, etc.</w:t>
      </w:r>
    </w:p>
    <w:p w14:paraId="475664FE" w14:textId="77777777" w:rsidR="007B356D" w:rsidRPr="007B356D" w:rsidRDefault="007B356D" w:rsidP="00393CA8">
      <w:pPr>
        <w:numPr>
          <w:ilvl w:val="0"/>
          <w:numId w:val="60"/>
        </w:numPr>
        <w:spacing w:after="0" w:line="240" w:lineRule="auto"/>
        <w:ind w:left="360"/>
        <w:contextualSpacing/>
        <w:rPr>
          <w:rFonts w:cs="Arial"/>
          <w:sz w:val="20"/>
          <w:szCs w:val="20"/>
          <w:lang w:val="fr-FR"/>
        </w:rPr>
      </w:pPr>
      <w:r w:rsidRPr="007B356D">
        <w:rPr>
          <w:rFonts w:cs="Arial"/>
          <w:sz w:val="20"/>
          <w:szCs w:val="20"/>
          <w:lang w:val="fr-FR"/>
        </w:rPr>
        <w:t>Négocier, intensifier et encourager le processus de « Responsabilité Sociale des Entreprises » (incluant environnementale) en commençant avec les grandes sociétés internationales (mines, télécommunication, …) et les grands entreprises (EPIC et EPA) au niveau national (CMDT, Office du Niger, EDM,…).</w:t>
      </w:r>
    </w:p>
    <w:p w14:paraId="586D42C2" w14:textId="77777777" w:rsidR="007B356D" w:rsidRPr="007B356D" w:rsidRDefault="007B356D" w:rsidP="00393CA8">
      <w:pPr>
        <w:numPr>
          <w:ilvl w:val="0"/>
          <w:numId w:val="60"/>
        </w:numPr>
        <w:spacing w:after="0" w:line="240" w:lineRule="auto"/>
        <w:ind w:left="360"/>
        <w:contextualSpacing/>
        <w:rPr>
          <w:rFonts w:cs="Arial"/>
          <w:sz w:val="20"/>
          <w:szCs w:val="20"/>
          <w:lang w:val="fr-FR"/>
        </w:rPr>
      </w:pPr>
      <w:r w:rsidRPr="007B356D">
        <w:rPr>
          <w:rFonts w:cs="Arial"/>
          <w:sz w:val="20"/>
          <w:szCs w:val="20"/>
          <w:lang w:val="fr-FR"/>
        </w:rPr>
        <w:t>Promouvoir et appuyer le développement de l’économie verte (p.ex. recyclage).</w:t>
      </w:r>
    </w:p>
    <w:p w14:paraId="72A6E830" w14:textId="77777777" w:rsidR="007B356D" w:rsidRPr="007B356D" w:rsidRDefault="007B356D" w:rsidP="00393CA8">
      <w:pPr>
        <w:numPr>
          <w:ilvl w:val="0"/>
          <w:numId w:val="60"/>
        </w:numPr>
        <w:spacing w:after="0" w:line="240" w:lineRule="auto"/>
        <w:ind w:left="360"/>
        <w:contextualSpacing/>
        <w:rPr>
          <w:rFonts w:cs="Arial"/>
          <w:sz w:val="20"/>
          <w:szCs w:val="20"/>
          <w:lang w:val="fr-FR"/>
        </w:rPr>
      </w:pPr>
      <w:r w:rsidRPr="007B356D">
        <w:rPr>
          <w:rFonts w:cs="Arial"/>
          <w:sz w:val="20"/>
          <w:szCs w:val="20"/>
          <w:lang w:val="fr-FR"/>
        </w:rPr>
        <w:t xml:space="preserve">Continuer les efforts pour le remplissage des conditionnalités pour l’adhésion aux nouveaux mécanismes internationaux de financement d’action environnementale (marché du carbone ; REDD+, engagés depuis 2010 (CILSS). </w:t>
      </w:r>
    </w:p>
    <w:p w14:paraId="08265FDE" w14:textId="77777777" w:rsidR="007B356D" w:rsidRPr="007B356D" w:rsidRDefault="007B356D" w:rsidP="00393CA8">
      <w:pPr>
        <w:numPr>
          <w:ilvl w:val="0"/>
          <w:numId w:val="60"/>
        </w:numPr>
        <w:spacing w:after="0" w:line="240" w:lineRule="auto"/>
        <w:ind w:left="360"/>
        <w:contextualSpacing/>
        <w:rPr>
          <w:rFonts w:cs="Arial"/>
          <w:sz w:val="20"/>
          <w:szCs w:val="20"/>
          <w:lang w:val="fr-FR"/>
        </w:rPr>
      </w:pPr>
      <w:r w:rsidRPr="007B356D">
        <w:rPr>
          <w:rFonts w:cs="Arial"/>
          <w:sz w:val="20"/>
          <w:szCs w:val="20"/>
          <w:lang w:val="fr-FR"/>
        </w:rPr>
        <w:t xml:space="preserve">Favoriser et appuyer la mise en œuvre des programmes intégrés et transversaux (approche systémique) regroupant tous les acteurs institutionnels concernés dans la mise en œuvre, tel le CSI-GDT développé depuis 2010 ou la GIRE, … </w:t>
      </w:r>
    </w:p>
    <w:p w14:paraId="433886D0" w14:textId="77777777" w:rsidR="007B356D" w:rsidRPr="007B356D" w:rsidRDefault="007B356D" w:rsidP="00393CA8">
      <w:pPr>
        <w:numPr>
          <w:ilvl w:val="0"/>
          <w:numId w:val="60"/>
        </w:numPr>
        <w:spacing w:after="0" w:line="240" w:lineRule="auto"/>
        <w:ind w:left="360"/>
        <w:contextualSpacing/>
        <w:rPr>
          <w:rFonts w:cs="Arial"/>
          <w:sz w:val="20"/>
          <w:szCs w:val="20"/>
          <w:lang w:val="fr-FR"/>
        </w:rPr>
      </w:pPr>
      <w:r w:rsidRPr="007B356D">
        <w:rPr>
          <w:rFonts w:cs="Arial"/>
          <w:sz w:val="20"/>
          <w:szCs w:val="20"/>
          <w:lang w:val="fr-FR"/>
        </w:rPr>
        <w:t>Inclure l’écoconception (utilisation rationnelle de l’eau, de l’énergie, de la terre, construction sans bois, etc.) dans tous les programmes de développement des infrastructures rurales (incluant la construction des écoles, des centres de santé,…).</w:t>
      </w:r>
    </w:p>
    <w:p w14:paraId="6A98B81F" w14:textId="77777777" w:rsidR="007B356D" w:rsidRPr="007B356D" w:rsidRDefault="007B356D" w:rsidP="00393CA8">
      <w:pPr>
        <w:numPr>
          <w:ilvl w:val="0"/>
          <w:numId w:val="60"/>
        </w:numPr>
        <w:spacing w:after="0" w:line="240" w:lineRule="auto"/>
        <w:ind w:left="360"/>
        <w:contextualSpacing/>
        <w:rPr>
          <w:rFonts w:cs="Arial"/>
          <w:sz w:val="20"/>
          <w:szCs w:val="20"/>
          <w:lang w:val="fr-FR"/>
        </w:rPr>
      </w:pPr>
      <w:r w:rsidRPr="007B356D">
        <w:rPr>
          <w:rFonts w:cs="Arial"/>
          <w:sz w:val="20"/>
          <w:szCs w:val="20"/>
          <w:lang w:val="fr-FR"/>
        </w:rPr>
        <w:t xml:space="preserve">Orienter les appuis vers des mesures de prévention des pressions sur l’environnement (utilisation rationnelle de l’eau et de l’énergie, réduction et recyclage des déchets, technologies propres, production de fourrage  et de bois d’énergie, intensification de la productivité agricole à la place d’extension des superficies,…) et de renforcement des capacités (humaines, techniques et financières) pour la bonne gouvernance environnementale locale. Les mesures curatives (p.ex. stabilisation des berges des fleuves, aide alimentaire, réhabilitation des sites dégradés) sont généralement plus coûteuses (= privilégier la démarche amont (causes) à la démarche aval (effets de la dégradation). </w:t>
      </w:r>
    </w:p>
    <w:p w14:paraId="7FDC5FF0" w14:textId="77777777" w:rsidR="007B356D" w:rsidRPr="007B356D" w:rsidRDefault="007B356D" w:rsidP="00393CA8">
      <w:pPr>
        <w:numPr>
          <w:ilvl w:val="0"/>
          <w:numId w:val="60"/>
        </w:numPr>
        <w:spacing w:after="0" w:line="240" w:lineRule="auto"/>
        <w:ind w:left="360"/>
        <w:contextualSpacing/>
        <w:rPr>
          <w:rFonts w:cs="Arial"/>
          <w:sz w:val="20"/>
          <w:szCs w:val="20"/>
          <w:lang w:val="fr-FR"/>
        </w:rPr>
      </w:pPr>
      <w:r w:rsidRPr="007B356D">
        <w:rPr>
          <w:rFonts w:cs="Arial"/>
          <w:sz w:val="20"/>
          <w:szCs w:val="20"/>
          <w:lang w:val="fr-FR"/>
        </w:rPr>
        <w:t xml:space="preserve">Accélérer et finaliser le processus de transfert des compétences de gestion des ressources naturelles et des finances respectives. Ceci demande aussi la clarification des questions foncières, un meilleur dialogue local sur les questions environnementales et l’accompagnement des communes et des acteurs locaux soit par un personnel déconcentré du </w:t>
      </w:r>
      <w:r w:rsidRPr="00B7222E">
        <w:rPr>
          <w:rFonts w:cs="Arial"/>
          <w:sz w:val="20"/>
          <w:szCs w:val="20"/>
          <w:lang w:val="fr-FR"/>
        </w:rPr>
        <w:t>MEADD renforcé</w:t>
      </w:r>
      <w:r w:rsidRPr="007B356D">
        <w:rPr>
          <w:rFonts w:cs="Arial"/>
          <w:sz w:val="20"/>
          <w:szCs w:val="20"/>
          <w:lang w:val="fr-FR"/>
        </w:rPr>
        <w:t>, soit par un autre acteur compétent dans le domaine (p.ex. contrat de l’Etat avec les ONG/bureaux d’études, agences régionales/locales d’appui au développement intégré, coopération décentralisée entre les PTF et les organisations sur le terrain)</w:t>
      </w:r>
      <w:r w:rsidR="009B4A49">
        <w:rPr>
          <w:rFonts w:cs="Arial"/>
          <w:sz w:val="20"/>
          <w:szCs w:val="20"/>
          <w:lang w:val="fr-FR"/>
        </w:rPr>
        <w:t>.</w:t>
      </w:r>
    </w:p>
    <w:p w14:paraId="445982DB" w14:textId="77777777" w:rsidR="007B356D" w:rsidRPr="007B356D" w:rsidRDefault="007B356D" w:rsidP="00393CA8">
      <w:pPr>
        <w:widowControl w:val="0"/>
        <w:numPr>
          <w:ilvl w:val="0"/>
          <w:numId w:val="60"/>
        </w:numPr>
        <w:adjustRightInd w:val="0"/>
        <w:spacing w:after="0" w:line="240" w:lineRule="auto"/>
        <w:ind w:left="360"/>
        <w:textAlignment w:val="baseline"/>
        <w:rPr>
          <w:rFonts w:eastAsia="SimSun" w:cs="Arial"/>
          <w:sz w:val="20"/>
          <w:szCs w:val="20"/>
          <w:lang w:val="fr-FR" w:eastAsia="zh-CN"/>
        </w:rPr>
      </w:pPr>
      <w:r w:rsidRPr="007B356D">
        <w:rPr>
          <w:rFonts w:eastAsia="SimSun" w:cs="Arial"/>
          <w:sz w:val="20"/>
          <w:szCs w:val="20"/>
          <w:lang w:val="fr-FR" w:eastAsia="zh-CN"/>
        </w:rPr>
        <w:t xml:space="preserve">Renforcer la </w:t>
      </w:r>
      <w:r w:rsidRPr="007B356D">
        <w:rPr>
          <w:rFonts w:eastAsia="SimSun" w:cs="Arial"/>
          <w:sz w:val="20"/>
          <w:szCs w:val="20"/>
          <w:u w:val="single"/>
          <w:lang w:val="fr-FR" w:eastAsia="zh-CN"/>
        </w:rPr>
        <w:t>sensibilisation et l’information</w:t>
      </w:r>
      <w:r w:rsidRPr="007B356D">
        <w:rPr>
          <w:rFonts w:eastAsia="SimSun" w:cs="Arial"/>
          <w:sz w:val="20"/>
          <w:szCs w:val="20"/>
          <w:lang w:val="fr-FR" w:eastAsia="zh-CN"/>
        </w:rPr>
        <w:t xml:space="preserve"> de tous les acteurs sur les questions environnementales pour mieux développer une culture environnementale et modifier les comportements (écocitoyenneté). Ceci doit inclure :</w:t>
      </w:r>
    </w:p>
    <w:p w14:paraId="38FDF163" w14:textId="77777777" w:rsidR="007B356D" w:rsidRPr="007B356D" w:rsidRDefault="007B356D" w:rsidP="00393CA8">
      <w:pPr>
        <w:widowControl w:val="0"/>
        <w:numPr>
          <w:ilvl w:val="1"/>
          <w:numId w:val="60"/>
        </w:numPr>
        <w:adjustRightInd w:val="0"/>
        <w:spacing w:after="0" w:line="240" w:lineRule="auto"/>
        <w:ind w:left="774" w:hanging="425"/>
        <w:textAlignment w:val="baseline"/>
        <w:rPr>
          <w:rFonts w:eastAsia="SimSun" w:cs="Arial"/>
          <w:sz w:val="20"/>
          <w:szCs w:val="20"/>
          <w:lang w:val="fr-FR" w:eastAsia="zh-CN"/>
        </w:rPr>
      </w:pPr>
      <w:r w:rsidRPr="007B356D">
        <w:rPr>
          <w:rFonts w:eastAsia="SimSun" w:cs="Arial"/>
          <w:sz w:val="20"/>
          <w:szCs w:val="20"/>
          <w:lang w:val="fr-FR" w:eastAsia="zh-CN"/>
        </w:rPr>
        <w:lastRenderedPageBreak/>
        <w:t>Une relance des programmes nationaux de l’éducation environnementale scolaire (modèle PAGEEM).</w:t>
      </w:r>
    </w:p>
    <w:p w14:paraId="0122370A" w14:textId="77777777" w:rsidR="007B356D" w:rsidRPr="007B356D" w:rsidRDefault="007B356D" w:rsidP="00393CA8">
      <w:pPr>
        <w:widowControl w:val="0"/>
        <w:numPr>
          <w:ilvl w:val="1"/>
          <w:numId w:val="60"/>
        </w:numPr>
        <w:adjustRightInd w:val="0"/>
        <w:spacing w:after="0" w:line="240" w:lineRule="auto"/>
        <w:ind w:left="774" w:hanging="425"/>
        <w:textAlignment w:val="baseline"/>
        <w:rPr>
          <w:rFonts w:eastAsia="SimSun" w:cs="Arial"/>
          <w:sz w:val="20"/>
          <w:szCs w:val="20"/>
          <w:lang w:val="fr-FR" w:eastAsia="zh-CN"/>
        </w:rPr>
      </w:pPr>
      <w:r w:rsidRPr="007B356D">
        <w:rPr>
          <w:rFonts w:eastAsia="SimSun" w:cs="Arial"/>
          <w:sz w:val="20"/>
          <w:szCs w:val="20"/>
          <w:lang w:val="fr-FR" w:eastAsia="zh-CN"/>
        </w:rPr>
        <w:t>la formation et l’accompagnement de l’ensemble des acteurs, et notamment des communes à la prise en compte transversale de l’environnement aux actions concrètes, simples et réalisables à leur niveau. Cet accompagnement des communes pourrait être fait par les services techniques déconcentrés ou pourrait être assuré sous forme de contrats de prestation de service avec les ONG, bureaux d’études, institutions spécialisées … dans le cadre d’appui au processus de la décentralisation</w:t>
      </w:r>
    </w:p>
    <w:p w14:paraId="18A62678" w14:textId="77777777" w:rsidR="007B356D" w:rsidRPr="007B356D" w:rsidRDefault="007B356D" w:rsidP="00393CA8">
      <w:pPr>
        <w:widowControl w:val="0"/>
        <w:numPr>
          <w:ilvl w:val="1"/>
          <w:numId w:val="60"/>
        </w:numPr>
        <w:adjustRightInd w:val="0"/>
        <w:spacing w:after="0" w:line="240" w:lineRule="auto"/>
        <w:ind w:left="774" w:hanging="425"/>
        <w:textAlignment w:val="baseline"/>
        <w:rPr>
          <w:rFonts w:eastAsia="SimSun" w:cs="Arial"/>
          <w:sz w:val="20"/>
          <w:szCs w:val="20"/>
          <w:lang w:val="fr-FR" w:eastAsia="zh-CN"/>
        </w:rPr>
      </w:pPr>
      <w:r w:rsidRPr="007B356D">
        <w:rPr>
          <w:rFonts w:eastAsia="SimSun" w:cs="Arial"/>
          <w:sz w:val="20"/>
          <w:szCs w:val="20"/>
          <w:lang w:val="fr-FR" w:eastAsia="zh-CN"/>
        </w:rPr>
        <w:t>Renforcer les efforts de professionnalisation et d’organisation du secteur informel en intégrant la dimension environnementale selon les domaines dans les formations (p.ex. orpailleurs, transporteurs de routes, commerçants,…).</w:t>
      </w:r>
    </w:p>
    <w:p w14:paraId="391E8709" w14:textId="77777777" w:rsidR="007B356D" w:rsidRPr="007B356D" w:rsidRDefault="007B356D" w:rsidP="007B356D">
      <w:pPr>
        <w:widowControl w:val="0"/>
        <w:adjustRightInd w:val="0"/>
        <w:spacing w:after="0" w:line="240" w:lineRule="auto"/>
        <w:ind w:left="372"/>
        <w:textAlignment w:val="baseline"/>
        <w:rPr>
          <w:rFonts w:eastAsia="SimSun" w:cs="Arial"/>
          <w:sz w:val="20"/>
          <w:szCs w:val="20"/>
          <w:lang w:val="fr-FR" w:eastAsia="zh-CN"/>
        </w:rPr>
      </w:pPr>
    </w:p>
    <w:p w14:paraId="632F4783" w14:textId="77777777" w:rsidR="007B356D" w:rsidRPr="00B7222E" w:rsidRDefault="007B356D" w:rsidP="007B356D">
      <w:pPr>
        <w:spacing w:after="0" w:line="240" w:lineRule="auto"/>
        <w:rPr>
          <w:rFonts w:eastAsia="SimSun" w:cs="Arial"/>
          <w:sz w:val="20"/>
          <w:szCs w:val="20"/>
          <w:u w:val="single"/>
          <w:lang w:val="fr-FR" w:eastAsia="zh-CN"/>
        </w:rPr>
      </w:pPr>
      <w:r w:rsidRPr="007B356D">
        <w:rPr>
          <w:rFonts w:cs="Arial"/>
          <w:sz w:val="20"/>
          <w:szCs w:val="20"/>
          <w:u w:val="single"/>
          <w:lang w:val="fr-FR" w:eastAsia="zh-CN"/>
        </w:rPr>
        <w:t xml:space="preserve">Suivi environnemental spécifique de </w:t>
      </w:r>
      <w:r w:rsidRPr="00B7222E">
        <w:rPr>
          <w:rFonts w:cs="Arial"/>
          <w:sz w:val="20"/>
          <w:szCs w:val="20"/>
          <w:u w:val="single"/>
          <w:lang w:val="fr-FR" w:eastAsia="zh-CN"/>
        </w:rPr>
        <w:t>la CE</w:t>
      </w:r>
      <w:r w:rsidRPr="00B7222E">
        <w:rPr>
          <w:rFonts w:cs="Arial"/>
          <w:sz w:val="20"/>
          <w:szCs w:val="20"/>
          <w:lang w:val="fr-FR" w:eastAsia="zh-CN"/>
        </w:rPr>
        <w:t xml:space="preserve"> (post 11</w:t>
      </w:r>
      <w:r w:rsidRPr="00B7222E">
        <w:rPr>
          <w:rFonts w:cs="Arial"/>
          <w:sz w:val="20"/>
          <w:szCs w:val="20"/>
          <w:vertAlign w:val="superscript"/>
          <w:lang w:val="fr-FR" w:eastAsia="zh-CN"/>
        </w:rPr>
        <w:t>ème</w:t>
      </w:r>
      <w:r w:rsidRPr="00B7222E">
        <w:rPr>
          <w:rFonts w:cs="Arial"/>
          <w:sz w:val="20"/>
          <w:szCs w:val="20"/>
          <w:lang w:val="fr-FR" w:eastAsia="zh-CN"/>
        </w:rPr>
        <w:t xml:space="preserve"> FED), </w:t>
      </w:r>
      <w:r w:rsidRPr="00B7222E">
        <w:rPr>
          <w:rFonts w:eastAsia="SimSun" w:cs="Arial"/>
          <w:sz w:val="20"/>
          <w:szCs w:val="20"/>
          <w:u w:val="single"/>
          <w:lang w:val="fr-FR" w:eastAsia="zh-CN"/>
        </w:rPr>
        <w:t>Réforme de l’Etat et la consolidation de l’Etat de droit incluant la relance de l’économie et le renforcement des institutions publiques</w:t>
      </w:r>
    </w:p>
    <w:p w14:paraId="27D749A7" w14:textId="77777777" w:rsidR="007B356D" w:rsidRPr="00B7222E" w:rsidRDefault="007B356D" w:rsidP="007B356D">
      <w:pPr>
        <w:widowControl w:val="0"/>
        <w:numPr>
          <w:ilvl w:val="0"/>
          <w:numId w:val="6"/>
        </w:numPr>
        <w:adjustRightInd w:val="0"/>
        <w:spacing w:after="0" w:line="240" w:lineRule="auto"/>
        <w:contextualSpacing/>
        <w:textAlignment w:val="baseline"/>
        <w:rPr>
          <w:rFonts w:eastAsia="SimSun" w:cs="Arial"/>
          <w:sz w:val="20"/>
          <w:szCs w:val="20"/>
          <w:lang w:val="fr-FR" w:eastAsia="zh-CN"/>
        </w:rPr>
      </w:pPr>
      <w:r w:rsidRPr="00B7222E">
        <w:rPr>
          <w:rFonts w:eastAsia="SimSun" w:cs="Arial"/>
          <w:sz w:val="20"/>
          <w:szCs w:val="20"/>
          <w:lang w:val="fr-FR" w:eastAsia="zh-CN"/>
        </w:rPr>
        <w:t xml:space="preserve">Suivi des indicateurs de </w:t>
      </w:r>
      <w:r w:rsidRPr="00B7222E">
        <w:rPr>
          <w:rFonts w:cs="Arial"/>
          <w:sz w:val="20"/>
          <w:szCs w:val="20"/>
          <w:lang w:val="fr-FR"/>
        </w:rPr>
        <w:t>« </w:t>
      </w:r>
      <w:r w:rsidRPr="00B7222E">
        <w:rPr>
          <w:rFonts w:eastAsia="SimSun" w:cs="Arial"/>
          <w:sz w:val="20"/>
          <w:szCs w:val="20"/>
          <w:lang w:val="fr-FR" w:eastAsia="zh-CN"/>
        </w:rPr>
        <w:t>verdissement</w:t>
      </w:r>
      <w:r w:rsidRPr="00B7222E">
        <w:rPr>
          <w:rFonts w:cs="Arial"/>
          <w:sz w:val="20"/>
          <w:szCs w:val="20"/>
          <w:lang w:val="fr-FR"/>
        </w:rPr>
        <w:t> »</w:t>
      </w:r>
      <w:r w:rsidRPr="00B7222E">
        <w:rPr>
          <w:rFonts w:eastAsia="SimSun" w:cs="Arial"/>
          <w:sz w:val="20"/>
          <w:szCs w:val="20"/>
          <w:lang w:val="fr-FR" w:eastAsia="zh-CN"/>
        </w:rPr>
        <w:t xml:space="preserve"> de chaque secteur du CREDD et des ODD.</w:t>
      </w:r>
    </w:p>
    <w:p w14:paraId="09315613" w14:textId="77777777" w:rsidR="007B356D" w:rsidRPr="007B356D" w:rsidRDefault="007B356D" w:rsidP="007B356D">
      <w:pPr>
        <w:widowControl w:val="0"/>
        <w:numPr>
          <w:ilvl w:val="0"/>
          <w:numId w:val="6"/>
        </w:numPr>
        <w:adjustRightInd w:val="0"/>
        <w:spacing w:after="0" w:line="240" w:lineRule="auto"/>
        <w:contextualSpacing/>
        <w:textAlignment w:val="baseline"/>
        <w:rPr>
          <w:rFonts w:eastAsia="SimSun" w:cs="Arial"/>
          <w:sz w:val="20"/>
          <w:szCs w:val="20"/>
          <w:lang w:val="fr-FR" w:eastAsia="zh-CN"/>
        </w:rPr>
      </w:pPr>
      <w:r w:rsidRPr="007B356D">
        <w:rPr>
          <w:rFonts w:eastAsia="SimSun" w:cs="Arial"/>
          <w:sz w:val="20"/>
          <w:szCs w:val="20"/>
          <w:lang w:val="fr-FR" w:eastAsia="zh-CN"/>
        </w:rPr>
        <w:t>% du transfert effectif des compétences et des ressources financières de gestion des ressources naturelles aux communes et mise en œuvre des Plans Communaux d’Action Environnementale (PCAE).</w:t>
      </w:r>
    </w:p>
    <w:p w14:paraId="44BFD88A" w14:textId="77777777" w:rsidR="007B356D" w:rsidRPr="007B356D" w:rsidRDefault="007B356D" w:rsidP="007B356D">
      <w:pPr>
        <w:widowControl w:val="0"/>
        <w:numPr>
          <w:ilvl w:val="0"/>
          <w:numId w:val="6"/>
        </w:numPr>
        <w:adjustRightInd w:val="0"/>
        <w:spacing w:after="0" w:line="240" w:lineRule="auto"/>
        <w:contextualSpacing/>
        <w:textAlignment w:val="baseline"/>
        <w:rPr>
          <w:rFonts w:eastAsia="SimSun" w:cs="Arial"/>
          <w:sz w:val="20"/>
          <w:szCs w:val="20"/>
          <w:lang w:val="fr-FR" w:eastAsia="zh-CN"/>
        </w:rPr>
      </w:pPr>
      <w:r w:rsidRPr="007B356D">
        <w:rPr>
          <w:rFonts w:eastAsia="SimSun" w:cs="Arial"/>
          <w:sz w:val="20"/>
          <w:szCs w:val="20"/>
          <w:lang w:val="fr-FR" w:eastAsia="zh-CN"/>
        </w:rPr>
        <w:t>% du budget de l’Etat alloué aux actions concrètes des secteurs suivants : énergie renouvelable, assainissement, éducation environnementale et information et communication, protection de la nature, mise en œuvre du CSI/GDT et adaptation aux changements climatiques</w:t>
      </w:r>
    </w:p>
    <w:p w14:paraId="0EE30479" w14:textId="77777777" w:rsidR="007B356D" w:rsidRPr="007B356D" w:rsidRDefault="007B356D" w:rsidP="007B356D">
      <w:pPr>
        <w:spacing w:after="200" w:line="276" w:lineRule="auto"/>
        <w:jc w:val="left"/>
        <w:rPr>
          <w:rFonts w:eastAsia="Calibri" w:cs="Arial"/>
          <w:b/>
          <w:bCs/>
          <w:color w:val="948A54" w:themeColor="background2" w:themeShade="80"/>
          <w:highlight w:val="yellow"/>
          <w:lang w:val="fr-FR" w:eastAsia="fr-FR"/>
        </w:rPr>
      </w:pPr>
      <w:bookmarkStart w:id="108" w:name="_Toc393900316"/>
      <w:r w:rsidRPr="007B356D">
        <w:rPr>
          <w:rFonts w:eastAsia="Calibri" w:cs="Arial"/>
          <w:b/>
          <w:bCs/>
          <w:color w:val="948A54" w:themeColor="background2" w:themeShade="80"/>
          <w:highlight w:val="yellow"/>
          <w:lang w:val="fr-FR" w:eastAsia="fr-FR"/>
        </w:rPr>
        <w:br w:type="page"/>
      </w:r>
    </w:p>
    <w:p w14:paraId="362F3D5F" w14:textId="77777777" w:rsidR="007B356D" w:rsidRPr="007B356D" w:rsidRDefault="007B356D" w:rsidP="007B356D">
      <w:pPr>
        <w:keepNext/>
        <w:keepLines/>
        <w:spacing w:before="200" w:after="0"/>
        <w:outlineLvl w:val="2"/>
        <w:rPr>
          <w:rFonts w:eastAsia="Calibri" w:cs="Arial"/>
          <w:b/>
          <w:bCs/>
          <w:color w:val="948A54" w:themeColor="background2" w:themeShade="80"/>
          <w:lang w:val="fr-FR" w:eastAsia="fr-FR"/>
        </w:rPr>
      </w:pPr>
      <w:bookmarkStart w:id="109" w:name="_Toc20505698"/>
      <w:r w:rsidRPr="00AA0443">
        <w:rPr>
          <w:rFonts w:eastAsia="Calibri" w:cs="Arial"/>
          <w:b/>
          <w:bCs/>
          <w:color w:val="948A54" w:themeColor="background2" w:themeShade="80"/>
          <w:lang w:val="fr-FR" w:eastAsia="fr-FR"/>
        </w:rPr>
        <w:lastRenderedPageBreak/>
        <w:t>7.3.2 Principales recommandations secteur ‘Développement rural et la sécurité alimentaire’</w:t>
      </w:r>
      <w:bookmarkEnd w:id="108"/>
      <w:bookmarkEnd w:id="109"/>
    </w:p>
    <w:p w14:paraId="4D522DD1" w14:textId="77777777" w:rsidR="007B356D" w:rsidRPr="007B356D" w:rsidRDefault="007B356D" w:rsidP="007B356D">
      <w:pPr>
        <w:spacing w:after="0" w:line="240" w:lineRule="auto"/>
        <w:rPr>
          <w:rFonts w:eastAsia="SimSun" w:cs="Arial"/>
          <w:bCs/>
          <w:i/>
          <w:sz w:val="20"/>
          <w:szCs w:val="20"/>
          <w:lang w:val="fr-FR" w:eastAsia="zh-CN"/>
        </w:rPr>
      </w:pPr>
      <w:r w:rsidRPr="007B356D">
        <w:rPr>
          <w:rFonts w:eastAsia="SimSun" w:cs="Arial"/>
          <w:bCs/>
          <w:i/>
          <w:sz w:val="20"/>
          <w:szCs w:val="20"/>
          <w:lang w:val="fr-FR" w:eastAsia="zh-CN"/>
        </w:rPr>
        <w:t xml:space="preserve"> (*) indique les recommandations spécifiques qui concernent la DUE.</w:t>
      </w:r>
    </w:p>
    <w:p w14:paraId="64B48FA1" w14:textId="77777777" w:rsidR="007B356D" w:rsidRPr="007B356D" w:rsidRDefault="007B356D" w:rsidP="007B356D">
      <w:pPr>
        <w:spacing w:after="0" w:line="240" w:lineRule="auto"/>
        <w:rPr>
          <w:rFonts w:eastAsia="Calibri" w:cs="Arial"/>
          <w:color w:val="000000" w:themeColor="text1"/>
          <w:sz w:val="20"/>
          <w:szCs w:val="20"/>
          <w:lang w:val="fr-FR" w:eastAsia="fr-FR"/>
        </w:rPr>
      </w:pPr>
    </w:p>
    <w:p w14:paraId="7DF6F21F" w14:textId="77777777" w:rsidR="007B356D" w:rsidRPr="00B7222E" w:rsidRDefault="007B356D" w:rsidP="00393CA8">
      <w:pPr>
        <w:numPr>
          <w:ilvl w:val="0"/>
          <w:numId w:val="44"/>
        </w:numPr>
        <w:spacing w:after="0" w:line="240" w:lineRule="auto"/>
        <w:contextualSpacing/>
        <w:rPr>
          <w:rFonts w:cs="Arial"/>
          <w:sz w:val="20"/>
          <w:szCs w:val="20"/>
          <w:lang w:val="fr-FR"/>
        </w:rPr>
      </w:pPr>
      <w:r w:rsidRPr="00B7222E">
        <w:rPr>
          <w:rFonts w:cs="Arial"/>
          <w:sz w:val="20"/>
          <w:szCs w:val="20"/>
          <w:lang w:val="fr-FR"/>
        </w:rPr>
        <w:t>Mettre en place/renforcer en milieu rural les initiatives pour l’utilisation et la production plus efficientes du bois – énergie (carbonisation améliorée, plantations individuelles/villageoises, foyers améliorés, valorisation des résidus agricoles comme combustible, redynamisation des marchés ruraux sous contrôle efficace, etc.).(*) + AGCC2)</w:t>
      </w:r>
    </w:p>
    <w:p w14:paraId="05B378EA" w14:textId="77777777" w:rsidR="007B356D" w:rsidRPr="00B7222E" w:rsidRDefault="007B356D" w:rsidP="00393CA8">
      <w:pPr>
        <w:numPr>
          <w:ilvl w:val="0"/>
          <w:numId w:val="44"/>
        </w:numPr>
        <w:spacing w:after="0" w:line="240" w:lineRule="auto"/>
        <w:contextualSpacing/>
        <w:rPr>
          <w:rFonts w:cs="Arial"/>
          <w:sz w:val="20"/>
          <w:szCs w:val="20"/>
          <w:lang w:val="fr-FR"/>
        </w:rPr>
      </w:pPr>
      <w:r w:rsidRPr="00B7222E">
        <w:rPr>
          <w:rFonts w:cs="Arial"/>
          <w:sz w:val="20"/>
          <w:szCs w:val="20"/>
          <w:lang w:val="fr-FR"/>
        </w:rPr>
        <w:t>Favoriser l’augmentation de la productivité à la place de l’extension des surfaces de production (*)</w:t>
      </w:r>
    </w:p>
    <w:p w14:paraId="513260FB" w14:textId="77777777" w:rsidR="007B356D" w:rsidRPr="00B7222E" w:rsidRDefault="007B356D" w:rsidP="00393CA8">
      <w:pPr>
        <w:numPr>
          <w:ilvl w:val="0"/>
          <w:numId w:val="44"/>
        </w:numPr>
        <w:spacing w:after="0" w:line="240" w:lineRule="auto"/>
        <w:contextualSpacing/>
        <w:rPr>
          <w:rFonts w:cs="Arial"/>
          <w:sz w:val="20"/>
          <w:szCs w:val="20"/>
          <w:lang w:val="fr-FR"/>
        </w:rPr>
      </w:pPr>
      <w:r w:rsidRPr="00B7222E">
        <w:rPr>
          <w:rFonts w:cs="Arial"/>
          <w:sz w:val="20"/>
          <w:szCs w:val="20"/>
          <w:lang w:val="fr-FR"/>
        </w:rPr>
        <w:t>Promouvoir les techniques d’utilisation rationnelle des ressources naturelles par une approche systémique pour une utilisation rationnelle de l’espace (eau d’irrigation, agriculture intégrée à l’élevage (renforcement des cultures fourragères), à la foresterie (agroforesterie) (*)</w:t>
      </w:r>
    </w:p>
    <w:p w14:paraId="14BF4AF6" w14:textId="77777777" w:rsidR="007B356D" w:rsidRPr="00B7222E" w:rsidRDefault="007B356D" w:rsidP="00393CA8">
      <w:pPr>
        <w:numPr>
          <w:ilvl w:val="0"/>
          <w:numId w:val="44"/>
        </w:numPr>
        <w:spacing w:after="0" w:line="240" w:lineRule="auto"/>
        <w:contextualSpacing/>
        <w:rPr>
          <w:rFonts w:cs="Arial"/>
          <w:sz w:val="20"/>
          <w:szCs w:val="20"/>
          <w:lang w:val="fr-FR"/>
        </w:rPr>
      </w:pPr>
      <w:r w:rsidRPr="00B7222E">
        <w:rPr>
          <w:rFonts w:cs="Arial"/>
          <w:sz w:val="20"/>
          <w:szCs w:val="20"/>
          <w:lang w:val="fr-FR"/>
        </w:rPr>
        <w:t xml:space="preserve">Prendre en compte les projections du changement climatique à moyen/long terme dans le développement des projets (*) </w:t>
      </w:r>
    </w:p>
    <w:p w14:paraId="09AB87AD" w14:textId="77777777" w:rsidR="007B356D" w:rsidRPr="00B7222E" w:rsidRDefault="007B356D" w:rsidP="00393CA8">
      <w:pPr>
        <w:numPr>
          <w:ilvl w:val="0"/>
          <w:numId w:val="44"/>
        </w:numPr>
        <w:spacing w:after="0" w:line="240" w:lineRule="auto"/>
        <w:contextualSpacing/>
        <w:rPr>
          <w:rFonts w:cs="Arial"/>
          <w:sz w:val="20"/>
          <w:szCs w:val="20"/>
          <w:lang w:val="fr-FR"/>
        </w:rPr>
      </w:pPr>
      <w:r w:rsidRPr="00B7222E">
        <w:rPr>
          <w:rFonts w:cs="Arial"/>
          <w:sz w:val="20"/>
          <w:szCs w:val="20"/>
          <w:lang w:val="fr-FR"/>
        </w:rPr>
        <w:t>Vulgariser les semences et variétés adaptées et résilientes aux conditions climatiques prévisibles à moyen terme. (*)</w:t>
      </w:r>
    </w:p>
    <w:p w14:paraId="1480B631" w14:textId="77777777" w:rsidR="007B356D" w:rsidRPr="00B7222E" w:rsidRDefault="007B356D" w:rsidP="00393CA8">
      <w:pPr>
        <w:numPr>
          <w:ilvl w:val="0"/>
          <w:numId w:val="44"/>
        </w:numPr>
        <w:spacing w:after="0" w:line="240" w:lineRule="auto"/>
        <w:contextualSpacing/>
        <w:rPr>
          <w:rFonts w:cs="Arial"/>
          <w:sz w:val="20"/>
          <w:szCs w:val="20"/>
          <w:lang w:val="fr-FR"/>
        </w:rPr>
      </w:pPr>
      <w:r w:rsidRPr="00B7222E">
        <w:rPr>
          <w:rFonts w:cs="Arial"/>
          <w:sz w:val="20"/>
          <w:szCs w:val="20"/>
          <w:lang w:val="fr-FR"/>
        </w:rPr>
        <w:t>Promouvoir la construction de greniers/silos adaptés aux évènements météorologiques extrêmes et mettre en place un système d’assurance pour les agriculteurs comme réponse aux changements climatiques. (*)</w:t>
      </w:r>
    </w:p>
    <w:p w14:paraId="28DA2E13" w14:textId="77777777" w:rsidR="007B356D" w:rsidRPr="00B7222E" w:rsidRDefault="00865CE3" w:rsidP="00393CA8">
      <w:pPr>
        <w:numPr>
          <w:ilvl w:val="0"/>
          <w:numId w:val="44"/>
        </w:numPr>
        <w:spacing w:after="0" w:line="240" w:lineRule="auto"/>
        <w:contextualSpacing/>
        <w:rPr>
          <w:rFonts w:cs="Arial"/>
          <w:sz w:val="20"/>
          <w:szCs w:val="20"/>
          <w:lang w:val="fr-FR"/>
        </w:rPr>
      </w:pPr>
      <w:r w:rsidRPr="009B4A49">
        <w:rPr>
          <w:rFonts w:cs="Arial"/>
          <w:sz w:val="20"/>
          <w:szCs w:val="20"/>
          <w:lang w:val="fr-FR"/>
        </w:rPr>
        <w:t xml:space="preserve">Chercher un équilibre entre les appuis en faveur du domaine des changements climatiques et des domaines classiques </w:t>
      </w:r>
      <w:r w:rsidRPr="00865CE3">
        <w:rPr>
          <w:rFonts w:cs="Arial"/>
          <w:sz w:val="20"/>
          <w:szCs w:val="20"/>
          <w:lang w:val="fr-FR"/>
        </w:rPr>
        <w:t>de gestion durable des ressources naturelles (GDT, lutte contre la désertification, GIRE, foresterie, AP et protection de la faune, lutte contre les sources des pollutions), qui restent toujours d’actualité</w:t>
      </w:r>
      <w:r w:rsidR="007B356D" w:rsidRPr="00B7222E">
        <w:rPr>
          <w:rFonts w:cs="Arial"/>
          <w:sz w:val="20"/>
          <w:szCs w:val="20"/>
          <w:lang w:val="fr-FR"/>
        </w:rPr>
        <w:t>.</w:t>
      </w:r>
      <w:r>
        <w:rPr>
          <w:rFonts w:cs="Arial"/>
          <w:sz w:val="20"/>
          <w:szCs w:val="20"/>
          <w:lang w:val="fr-FR"/>
        </w:rPr>
        <w:t xml:space="preserve"> (*)</w:t>
      </w:r>
    </w:p>
    <w:p w14:paraId="55265230" w14:textId="77777777" w:rsidR="007B356D" w:rsidRPr="00B7222E" w:rsidRDefault="007B356D" w:rsidP="00393CA8">
      <w:pPr>
        <w:numPr>
          <w:ilvl w:val="0"/>
          <w:numId w:val="44"/>
        </w:numPr>
        <w:spacing w:after="0" w:line="240" w:lineRule="auto"/>
        <w:contextualSpacing/>
        <w:rPr>
          <w:rFonts w:cs="Arial"/>
          <w:sz w:val="20"/>
          <w:szCs w:val="20"/>
          <w:lang w:val="fr-FR"/>
        </w:rPr>
      </w:pPr>
      <w:r w:rsidRPr="00B7222E">
        <w:rPr>
          <w:rFonts w:cs="Arial"/>
          <w:sz w:val="20"/>
          <w:szCs w:val="20"/>
          <w:lang w:val="fr-FR"/>
        </w:rPr>
        <w:t>Inclure systématiquement dans les projets d’aide au développement une ligne budgétaire pour l’assainissement des effluents liquides et solides du projet. (*)</w:t>
      </w:r>
    </w:p>
    <w:p w14:paraId="3A2BD99F" w14:textId="77777777" w:rsidR="007B356D" w:rsidRPr="00B7222E" w:rsidRDefault="007B356D" w:rsidP="007B356D">
      <w:pPr>
        <w:spacing w:after="0" w:line="240" w:lineRule="auto"/>
        <w:rPr>
          <w:rFonts w:eastAsia="Calibri" w:cs="Arial"/>
          <w:sz w:val="20"/>
          <w:szCs w:val="20"/>
          <w:lang w:val="fr-FR" w:eastAsia="fr-FR"/>
        </w:rPr>
      </w:pPr>
    </w:p>
    <w:p w14:paraId="3F488EF7" w14:textId="77777777" w:rsidR="007B356D" w:rsidRPr="00B7222E" w:rsidRDefault="007B356D" w:rsidP="007B356D">
      <w:pPr>
        <w:spacing w:after="0" w:line="240" w:lineRule="auto"/>
        <w:rPr>
          <w:rFonts w:eastAsia="Calibri" w:cs="Arial"/>
          <w:sz w:val="20"/>
          <w:szCs w:val="20"/>
          <w:lang w:val="fr-FR" w:eastAsia="fr-FR"/>
        </w:rPr>
      </w:pPr>
      <w:r w:rsidRPr="00B7222E">
        <w:rPr>
          <w:rFonts w:eastAsia="Calibri" w:cs="Arial"/>
          <w:sz w:val="20"/>
          <w:szCs w:val="20"/>
          <w:lang w:val="fr-FR" w:eastAsia="fr-FR"/>
        </w:rPr>
        <w:t>Recommandations du PEP 2014,  toujours valables et  d’actualité :</w:t>
      </w:r>
    </w:p>
    <w:p w14:paraId="5DA16A47" w14:textId="77777777" w:rsidR="007B356D" w:rsidRPr="007B356D" w:rsidRDefault="007B356D" w:rsidP="007B356D">
      <w:pPr>
        <w:spacing w:after="0" w:line="240" w:lineRule="auto"/>
        <w:rPr>
          <w:rFonts w:eastAsia="Calibri" w:cs="Arial"/>
          <w:color w:val="000000" w:themeColor="text1"/>
          <w:sz w:val="20"/>
          <w:szCs w:val="20"/>
          <w:lang w:val="fr-FR" w:eastAsia="fr-FR"/>
        </w:rPr>
      </w:pPr>
    </w:p>
    <w:p w14:paraId="147709C0" w14:textId="77777777" w:rsidR="007B356D" w:rsidRPr="007B356D" w:rsidRDefault="007B356D" w:rsidP="00393CA8">
      <w:pPr>
        <w:numPr>
          <w:ilvl w:val="0"/>
          <w:numId w:val="63"/>
        </w:numPr>
        <w:spacing w:after="0" w:line="240" w:lineRule="auto"/>
        <w:ind w:left="360"/>
        <w:contextualSpacing/>
        <w:rPr>
          <w:rFonts w:cs="Arial"/>
          <w:sz w:val="20"/>
          <w:szCs w:val="20"/>
          <w:lang w:val="fr-FR"/>
        </w:rPr>
      </w:pPr>
      <w:r w:rsidRPr="007B356D">
        <w:rPr>
          <w:rFonts w:cs="Arial"/>
          <w:sz w:val="20"/>
          <w:szCs w:val="20"/>
          <w:lang w:val="fr-FR"/>
        </w:rPr>
        <w:t xml:space="preserve">Insérer dans les programmes d’urgence de réhabilitation des régions du Nord et de réduction des disparités régionales les actions environnementales locales, concrètes et créatrices d’emploi local (HIMO) en favorisant la responsabilisation des acteurs locaux à travers : </w:t>
      </w:r>
    </w:p>
    <w:p w14:paraId="35BDCA11" w14:textId="77777777" w:rsidR="007B356D" w:rsidRPr="007B356D" w:rsidRDefault="007B356D" w:rsidP="00393CA8">
      <w:pPr>
        <w:numPr>
          <w:ilvl w:val="0"/>
          <w:numId w:val="64"/>
        </w:numPr>
        <w:spacing w:after="0" w:line="240" w:lineRule="auto"/>
        <w:contextualSpacing/>
        <w:rPr>
          <w:rFonts w:cs="Arial"/>
          <w:sz w:val="20"/>
          <w:szCs w:val="20"/>
          <w:lang w:val="fr-FR"/>
        </w:rPr>
      </w:pPr>
      <w:r w:rsidRPr="007B356D">
        <w:rPr>
          <w:rFonts w:cs="Arial"/>
          <w:sz w:val="20"/>
          <w:szCs w:val="20"/>
          <w:lang w:val="fr-FR"/>
        </w:rPr>
        <w:t>la collecte, le tri et la valorisation des déchets</w:t>
      </w:r>
      <w:r w:rsidRPr="007B356D">
        <w:rPr>
          <w:rFonts w:cs="Arial"/>
          <w:color w:val="FF0000"/>
          <w:sz w:val="20"/>
          <w:szCs w:val="20"/>
          <w:lang w:val="fr-FR"/>
        </w:rPr>
        <w:t> </w:t>
      </w:r>
      <w:r w:rsidRPr="007B356D">
        <w:rPr>
          <w:rFonts w:cs="Arial"/>
          <w:sz w:val="20"/>
          <w:szCs w:val="20"/>
          <w:lang w:val="fr-FR"/>
        </w:rPr>
        <w:t>;</w:t>
      </w:r>
    </w:p>
    <w:p w14:paraId="4CFDB44F" w14:textId="77777777" w:rsidR="007B356D" w:rsidRPr="007B356D" w:rsidRDefault="007B356D" w:rsidP="00393CA8">
      <w:pPr>
        <w:numPr>
          <w:ilvl w:val="0"/>
          <w:numId w:val="64"/>
        </w:numPr>
        <w:spacing w:after="0" w:line="240" w:lineRule="auto"/>
        <w:contextualSpacing/>
        <w:rPr>
          <w:rFonts w:cs="Arial"/>
          <w:sz w:val="20"/>
          <w:szCs w:val="20"/>
          <w:lang w:val="fr-FR"/>
        </w:rPr>
      </w:pPr>
      <w:r w:rsidRPr="007B356D">
        <w:rPr>
          <w:rFonts w:cs="Arial"/>
          <w:sz w:val="20"/>
          <w:szCs w:val="20"/>
          <w:lang w:val="fr-FR"/>
        </w:rPr>
        <w:t>la réalisation et l’entretien de mesures environnementales de compensation (p.ex. reboisement) des grandes infrastructures (routes, barrages, etc.)</w:t>
      </w:r>
      <w:r w:rsidRPr="007B356D">
        <w:rPr>
          <w:rFonts w:cs="Arial"/>
          <w:color w:val="FF0000"/>
          <w:sz w:val="20"/>
          <w:szCs w:val="20"/>
          <w:lang w:val="fr-FR"/>
        </w:rPr>
        <w:t> </w:t>
      </w:r>
      <w:r w:rsidRPr="007B356D">
        <w:rPr>
          <w:rFonts w:cs="Arial"/>
          <w:sz w:val="20"/>
          <w:szCs w:val="20"/>
          <w:lang w:val="fr-FR"/>
        </w:rPr>
        <w:t>;</w:t>
      </w:r>
    </w:p>
    <w:p w14:paraId="3BFB1523" w14:textId="77777777" w:rsidR="007B356D" w:rsidRPr="007B356D" w:rsidRDefault="007B356D" w:rsidP="00393CA8">
      <w:pPr>
        <w:numPr>
          <w:ilvl w:val="0"/>
          <w:numId w:val="64"/>
        </w:numPr>
        <w:spacing w:after="0" w:line="240" w:lineRule="auto"/>
        <w:contextualSpacing/>
        <w:rPr>
          <w:rFonts w:cs="Arial"/>
          <w:sz w:val="20"/>
          <w:szCs w:val="20"/>
          <w:lang w:val="fr-FR"/>
        </w:rPr>
      </w:pPr>
      <w:r w:rsidRPr="007B356D">
        <w:rPr>
          <w:rFonts w:cs="Arial"/>
          <w:sz w:val="20"/>
          <w:szCs w:val="20"/>
          <w:lang w:val="fr-FR"/>
        </w:rPr>
        <w:t>la restauration des terres dégradées par le conflit (anciens camps des différents groupes armés, réhabilitation des zones déboisées)</w:t>
      </w:r>
    </w:p>
    <w:p w14:paraId="2A66C2C6" w14:textId="77777777" w:rsidR="007B356D" w:rsidRPr="007B356D" w:rsidRDefault="007B356D" w:rsidP="00393CA8">
      <w:pPr>
        <w:numPr>
          <w:ilvl w:val="0"/>
          <w:numId w:val="63"/>
        </w:numPr>
        <w:spacing w:after="0" w:line="240" w:lineRule="auto"/>
        <w:ind w:left="360"/>
        <w:contextualSpacing/>
        <w:rPr>
          <w:rFonts w:cs="Arial"/>
          <w:sz w:val="20"/>
          <w:szCs w:val="20"/>
          <w:lang w:val="fr-FR"/>
        </w:rPr>
      </w:pPr>
      <w:r w:rsidRPr="007B356D">
        <w:rPr>
          <w:rFonts w:cs="Arial"/>
          <w:sz w:val="20"/>
          <w:szCs w:val="20"/>
          <w:lang w:val="fr-FR"/>
        </w:rPr>
        <w:t xml:space="preserve">Promouvoir et appuyer les mécanismes de planification, concertation,  coordination et coopération intersectoriels aux niveaux régional et communal et créer des liens forts et une coopération étroite entre les structures du MEADD et les chargés de la planification spatiale d’aménagement du territoire dans le but d’un développement intégré, durable et harmonisé. </w:t>
      </w:r>
    </w:p>
    <w:p w14:paraId="434ADE5A" w14:textId="77777777" w:rsidR="007B356D" w:rsidRPr="007B356D" w:rsidRDefault="007B356D" w:rsidP="00393CA8">
      <w:pPr>
        <w:numPr>
          <w:ilvl w:val="0"/>
          <w:numId w:val="63"/>
        </w:numPr>
        <w:spacing w:after="0" w:line="240" w:lineRule="auto"/>
        <w:ind w:left="360"/>
        <w:contextualSpacing/>
        <w:rPr>
          <w:rFonts w:cs="Arial"/>
          <w:sz w:val="20"/>
          <w:szCs w:val="20"/>
          <w:lang w:val="fr-FR"/>
        </w:rPr>
      </w:pPr>
      <w:r w:rsidRPr="007B356D">
        <w:rPr>
          <w:rFonts w:cs="Arial"/>
          <w:sz w:val="20"/>
          <w:szCs w:val="20"/>
          <w:lang w:val="fr-FR"/>
        </w:rPr>
        <w:t>Promouvoir et appuyer le développement des filières diversifiées de valorisation durable des ressources naturelles (p.ex. mise en valeur touristique des aires protégées ; promotion des filières karité, coton bio,..), de l’économie verte (p.ex. recyclage). Ceci doit inclure les cultures et pratiques à haute résilience aux chocs externes (CC) (p.ex. produits à cycle court, diversification de l’économie familiale, semences résistantes,..).</w:t>
      </w:r>
    </w:p>
    <w:p w14:paraId="2A40F3EB" w14:textId="77777777" w:rsidR="007B356D" w:rsidRPr="007B356D" w:rsidRDefault="007B356D" w:rsidP="00393CA8">
      <w:pPr>
        <w:numPr>
          <w:ilvl w:val="0"/>
          <w:numId w:val="63"/>
        </w:numPr>
        <w:spacing w:after="0" w:line="240" w:lineRule="auto"/>
        <w:ind w:left="360"/>
        <w:contextualSpacing/>
        <w:rPr>
          <w:rFonts w:cs="Arial"/>
          <w:sz w:val="20"/>
          <w:szCs w:val="20"/>
          <w:lang w:val="fr-FR"/>
        </w:rPr>
      </w:pPr>
      <w:r w:rsidRPr="007B356D">
        <w:rPr>
          <w:rFonts w:cs="Arial"/>
          <w:sz w:val="20"/>
          <w:szCs w:val="20"/>
          <w:lang w:val="fr-FR"/>
        </w:rPr>
        <w:t>Favoriser et appuyer la mise en œuvre des programmes intégrés et transversaux (approche systémique) regroupant tous les acteurs institutionnels concernés dans la mise en œuvre, notamment le CSI-GDT développé depuis 2010 ou la GIRE, …</w:t>
      </w:r>
    </w:p>
    <w:p w14:paraId="18DA5451" w14:textId="77777777" w:rsidR="007B356D" w:rsidRPr="007B356D" w:rsidRDefault="007B356D" w:rsidP="00393CA8">
      <w:pPr>
        <w:numPr>
          <w:ilvl w:val="0"/>
          <w:numId w:val="63"/>
        </w:numPr>
        <w:spacing w:after="0" w:line="240" w:lineRule="auto"/>
        <w:ind w:left="360"/>
        <w:contextualSpacing/>
        <w:rPr>
          <w:rFonts w:cs="Arial"/>
          <w:sz w:val="20"/>
          <w:szCs w:val="20"/>
          <w:lang w:val="fr-FR"/>
        </w:rPr>
      </w:pPr>
      <w:r w:rsidRPr="007B356D">
        <w:rPr>
          <w:rFonts w:cs="Arial"/>
          <w:sz w:val="20"/>
          <w:szCs w:val="20"/>
          <w:lang w:val="fr-FR"/>
        </w:rPr>
        <w:t>Relancer et appuyer les programmes d’énergie domestique (PRESAP) en favorisant la substitution du bois d’énergie par d’autres combustibles, la foresterie communautaire bien encadrée et l’engagement du secteur privé. Un appui par des subventions semble être indispensable dans ce domaine crucial.</w:t>
      </w:r>
    </w:p>
    <w:p w14:paraId="0AE16804" w14:textId="77777777" w:rsidR="007B356D" w:rsidRPr="007B356D" w:rsidRDefault="007B356D" w:rsidP="00393CA8">
      <w:pPr>
        <w:numPr>
          <w:ilvl w:val="0"/>
          <w:numId w:val="63"/>
        </w:numPr>
        <w:spacing w:after="0" w:line="240" w:lineRule="auto"/>
        <w:ind w:left="360"/>
        <w:contextualSpacing/>
        <w:rPr>
          <w:rFonts w:cs="Arial"/>
          <w:sz w:val="20"/>
          <w:szCs w:val="20"/>
          <w:lang w:val="fr-FR"/>
        </w:rPr>
      </w:pPr>
      <w:r w:rsidRPr="007B356D">
        <w:rPr>
          <w:rFonts w:cs="Arial"/>
          <w:sz w:val="20"/>
          <w:szCs w:val="20"/>
          <w:lang w:val="fr-FR"/>
        </w:rPr>
        <w:t>Inclure l’écoconception (utilisation rationnelle de l’eau, de l’énergie, de la terre, construction sans bois, etc.) dans tous les programmes de développement des infrastructures rurales (incluant la construction des écoles, centres de santé,…).</w:t>
      </w:r>
    </w:p>
    <w:p w14:paraId="04602AF6" w14:textId="77777777" w:rsidR="007B356D" w:rsidRPr="007B356D" w:rsidRDefault="007B356D" w:rsidP="00393CA8">
      <w:pPr>
        <w:numPr>
          <w:ilvl w:val="0"/>
          <w:numId w:val="63"/>
        </w:numPr>
        <w:spacing w:after="0" w:line="240" w:lineRule="auto"/>
        <w:ind w:left="360"/>
        <w:contextualSpacing/>
        <w:rPr>
          <w:rFonts w:cs="Arial"/>
          <w:sz w:val="20"/>
          <w:szCs w:val="20"/>
          <w:lang w:val="fr-FR"/>
        </w:rPr>
      </w:pPr>
      <w:r w:rsidRPr="007B356D">
        <w:rPr>
          <w:rFonts w:cs="Arial"/>
          <w:sz w:val="20"/>
          <w:szCs w:val="20"/>
          <w:lang w:val="fr-FR"/>
        </w:rPr>
        <w:t>Orienter les appuis vers des mesures de prévention et de réduction des pressions exercées sur l’environnement (utilisation rationnelle de l’eau et de l’énergie, réduction et recyclage des déchets, technologies propres, production de fourrage  et de bois d’énergie, intensification de la productivité agricole à la place d’extension des superficies,…) et de renforcement des  capacités (humaines, techniques et financières) pour la bonne gouvernance environnementale locale. Les mesures curatives (p.ex. stabilisation des berges des fleuves, aide alimentaire, réhabilitation des sites dégradés) sont généralement plus coûteuses (= privilégier la démarche amont (causes) à la démarche aval (effets de la dégradation).</w:t>
      </w:r>
    </w:p>
    <w:p w14:paraId="785CDA1C" w14:textId="77777777" w:rsidR="007B356D" w:rsidRPr="007B356D" w:rsidRDefault="007B356D" w:rsidP="00393CA8">
      <w:pPr>
        <w:widowControl w:val="0"/>
        <w:numPr>
          <w:ilvl w:val="0"/>
          <w:numId w:val="63"/>
        </w:numPr>
        <w:adjustRightInd w:val="0"/>
        <w:spacing w:after="0" w:line="240" w:lineRule="auto"/>
        <w:ind w:left="360"/>
        <w:textAlignment w:val="baseline"/>
        <w:rPr>
          <w:rFonts w:eastAsia="SimSun" w:cs="Arial"/>
          <w:sz w:val="20"/>
          <w:szCs w:val="20"/>
          <w:lang w:val="fr-FR" w:eastAsia="zh-CN"/>
        </w:rPr>
      </w:pPr>
      <w:r w:rsidRPr="007B356D">
        <w:rPr>
          <w:rFonts w:eastAsia="SimSun" w:cs="Arial"/>
          <w:sz w:val="20"/>
          <w:szCs w:val="20"/>
          <w:lang w:val="fr-FR" w:eastAsia="zh-CN"/>
        </w:rPr>
        <w:t xml:space="preserve">Renforcer la </w:t>
      </w:r>
      <w:r w:rsidRPr="007B356D">
        <w:rPr>
          <w:rFonts w:eastAsia="SimSun" w:cs="Arial"/>
          <w:sz w:val="20"/>
          <w:szCs w:val="20"/>
          <w:u w:val="single"/>
          <w:lang w:val="fr-FR" w:eastAsia="zh-CN"/>
        </w:rPr>
        <w:t>sensibilisation et l’information</w:t>
      </w:r>
      <w:r w:rsidRPr="007B356D">
        <w:rPr>
          <w:rFonts w:eastAsia="SimSun" w:cs="Arial"/>
          <w:sz w:val="20"/>
          <w:szCs w:val="20"/>
          <w:lang w:val="fr-FR" w:eastAsia="zh-CN"/>
        </w:rPr>
        <w:t xml:space="preserve"> de tous les acteurs sur les questions environnementales pour mieux développer une culture environnementale et modifier les comportements (écocitoyenneté). Ceci doit inclure :</w:t>
      </w:r>
    </w:p>
    <w:p w14:paraId="1D284D99" w14:textId="77777777" w:rsidR="007B356D" w:rsidRPr="007B356D" w:rsidRDefault="007B356D" w:rsidP="00393CA8">
      <w:pPr>
        <w:widowControl w:val="0"/>
        <w:numPr>
          <w:ilvl w:val="1"/>
          <w:numId w:val="63"/>
        </w:numPr>
        <w:adjustRightInd w:val="0"/>
        <w:spacing w:after="0" w:line="240" w:lineRule="auto"/>
        <w:ind w:left="709" w:hanging="283"/>
        <w:textAlignment w:val="baseline"/>
        <w:rPr>
          <w:rFonts w:eastAsia="SimSun" w:cs="Arial"/>
          <w:sz w:val="20"/>
          <w:szCs w:val="20"/>
          <w:lang w:val="fr-FR" w:eastAsia="zh-CN"/>
        </w:rPr>
      </w:pPr>
      <w:r w:rsidRPr="007B356D">
        <w:rPr>
          <w:rFonts w:eastAsia="SimSun" w:cs="Arial"/>
          <w:sz w:val="20"/>
          <w:szCs w:val="20"/>
          <w:lang w:val="fr-FR" w:eastAsia="zh-CN"/>
        </w:rPr>
        <w:t xml:space="preserve">la formation et l’accompagnement de l’ensemble des acteurs, et notamment des communes à la prise en compte transversale de l’environnement et aux actions concrètes, simples et réalisables à leur niveau. Cet accompagnement des communes pourrait être fait par les  services techniques déconcentrés ou pourrait être </w:t>
      </w:r>
      <w:r w:rsidRPr="007B356D">
        <w:rPr>
          <w:rFonts w:eastAsia="SimSun" w:cs="Arial"/>
          <w:sz w:val="20"/>
          <w:szCs w:val="20"/>
          <w:lang w:val="fr-FR" w:eastAsia="zh-CN"/>
        </w:rPr>
        <w:lastRenderedPageBreak/>
        <w:t>assuré sous forme de contrats de prestation de service avec les ONG, bureaux d’études, institutions spécialisées… dans le cadre d’appui au processus de la décentralisation.</w:t>
      </w:r>
    </w:p>
    <w:p w14:paraId="2E35AFF0" w14:textId="77777777" w:rsidR="007B356D" w:rsidRPr="007B356D" w:rsidRDefault="007B356D" w:rsidP="00393CA8">
      <w:pPr>
        <w:widowControl w:val="0"/>
        <w:numPr>
          <w:ilvl w:val="1"/>
          <w:numId w:val="63"/>
        </w:numPr>
        <w:adjustRightInd w:val="0"/>
        <w:spacing w:after="0" w:line="240" w:lineRule="auto"/>
        <w:ind w:left="1080"/>
        <w:textAlignment w:val="baseline"/>
        <w:rPr>
          <w:rFonts w:eastAsia="SimSun" w:cs="Arial"/>
          <w:sz w:val="20"/>
          <w:szCs w:val="20"/>
          <w:lang w:val="fr-FR" w:eastAsia="zh-CN"/>
        </w:rPr>
      </w:pPr>
      <w:r w:rsidRPr="007B356D">
        <w:rPr>
          <w:rFonts w:eastAsia="SimSun" w:cs="Arial"/>
          <w:sz w:val="20"/>
          <w:szCs w:val="20"/>
          <w:lang w:val="fr-FR" w:eastAsia="zh-CN"/>
        </w:rPr>
        <w:t>Renforcer les efforts de professionnalisation et d’organisation du secteur informel en intégrant la dimension environnementale selon les domaines dans les formations (p.ex. orpailleurs, transporteurs de routes, commerçants,…)</w:t>
      </w:r>
    </w:p>
    <w:p w14:paraId="5CAB5D5B" w14:textId="77777777" w:rsidR="007B356D" w:rsidRPr="007B356D" w:rsidRDefault="007B356D" w:rsidP="007B356D">
      <w:pPr>
        <w:widowControl w:val="0"/>
        <w:adjustRightInd w:val="0"/>
        <w:spacing w:after="0" w:line="240" w:lineRule="auto"/>
        <w:ind w:left="732"/>
        <w:textAlignment w:val="baseline"/>
        <w:rPr>
          <w:rFonts w:eastAsia="SimSun" w:cs="Arial"/>
          <w:sz w:val="20"/>
          <w:szCs w:val="20"/>
          <w:lang w:val="fr-FR" w:eastAsia="zh-CN"/>
        </w:rPr>
      </w:pPr>
    </w:p>
    <w:p w14:paraId="35295DBA" w14:textId="77777777" w:rsidR="007B356D" w:rsidRPr="007B356D" w:rsidRDefault="007B356D" w:rsidP="007B356D">
      <w:pPr>
        <w:spacing w:after="0" w:line="240" w:lineRule="auto"/>
        <w:rPr>
          <w:rFonts w:eastAsia="SimSun" w:cs="Arial"/>
          <w:sz w:val="20"/>
          <w:szCs w:val="20"/>
          <w:u w:val="single"/>
          <w:lang w:val="fr-FR" w:eastAsia="zh-CN"/>
        </w:rPr>
      </w:pPr>
      <w:r w:rsidRPr="007B356D">
        <w:rPr>
          <w:rFonts w:cs="Arial"/>
          <w:sz w:val="20"/>
          <w:szCs w:val="20"/>
          <w:u w:val="single"/>
          <w:lang w:val="fr-FR" w:eastAsia="zh-CN"/>
        </w:rPr>
        <w:t xml:space="preserve">Suivi environnemental spécifique </w:t>
      </w:r>
      <w:r w:rsidRPr="00B7222E">
        <w:rPr>
          <w:rFonts w:cs="Arial"/>
          <w:sz w:val="20"/>
          <w:szCs w:val="20"/>
          <w:u w:val="single"/>
          <w:lang w:val="fr-FR" w:eastAsia="zh-CN"/>
        </w:rPr>
        <w:t>de la CE (post 11</w:t>
      </w:r>
      <w:r w:rsidRPr="00B7222E">
        <w:rPr>
          <w:rFonts w:cs="Arial"/>
          <w:sz w:val="20"/>
          <w:szCs w:val="20"/>
          <w:u w:val="single"/>
          <w:vertAlign w:val="superscript"/>
          <w:lang w:val="fr-FR" w:eastAsia="zh-CN"/>
        </w:rPr>
        <w:t>ème</w:t>
      </w:r>
      <w:r w:rsidRPr="00B7222E">
        <w:rPr>
          <w:rFonts w:cs="Arial"/>
          <w:sz w:val="20"/>
          <w:szCs w:val="20"/>
          <w:u w:val="single"/>
          <w:lang w:val="fr-FR" w:eastAsia="zh-CN"/>
        </w:rPr>
        <w:t xml:space="preserve"> FED</w:t>
      </w:r>
      <w:r w:rsidRPr="007B356D">
        <w:rPr>
          <w:rFonts w:cs="Arial"/>
          <w:sz w:val="20"/>
          <w:szCs w:val="20"/>
          <w:u w:val="single"/>
          <w:lang w:val="fr-FR" w:eastAsia="zh-CN"/>
        </w:rPr>
        <w:t xml:space="preserve">), </w:t>
      </w:r>
      <w:r w:rsidRPr="007B356D">
        <w:rPr>
          <w:rFonts w:eastAsia="SimSun" w:cs="Arial"/>
          <w:sz w:val="20"/>
          <w:szCs w:val="20"/>
          <w:u w:val="single"/>
          <w:lang w:val="fr-FR" w:eastAsia="zh-CN"/>
        </w:rPr>
        <w:t>Développement rural et sécurité alimentaire</w:t>
      </w:r>
    </w:p>
    <w:p w14:paraId="0EFD711B" w14:textId="77777777" w:rsidR="007B356D" w:rsidRPr="007B356D" w:rsidRDefault="007B356D" w:rsidP="007B356D">
      <w:pPr>
        <w:spacing w:after="0" w:line="240" w:lineRule="auto"/>
        <w:rPr>
          <w:rFonts w:eastAsia="SimSun" w:cs="Arial"/>
          <w:sz w:val="20"/>
          <w:szCs w:val="20"/>
          <w:u w:val="single"/>
          <w:lang w:val="fr-FR" w:eastAsia="zh-CN"/>
        </w:rPr>
      </w:pPr>
    </w:p>
    <w:p w14:paraId="2BE8C5B1" w14:textId="77777777" w:rsidR="007B356D" w:rsidRPr="007B356D" w:rsidRDefault="007B356D" w:rsidP="007B356D">
      <w:pPr>
        <w:widowControl w:val="0"/>
        <w:numPr>
          <w:ilvl w:val="0"/>
          <w:numId w:val="6"/>
        </w:numPr>
        <w:adjustRightInd w:val="0"/>
        <w:spacing w:after="0" w:line="240" w:lineRule="auto"/>
        <w:contextualSpacing/>
        <w:textAlignment w:val="baseline"/>
        <w:rPr>
          <w:rFonts w:eastAsia="SimSun" w:cs="Arial"/>
          <w:sz w:val="20"/>
          <w:szCs w:val="20"/>
          <w:lang w:val="fr-FR" w:eastAsia="zh-CN"/>
        </w:rPr>
      </w:pPr>
      <w:r w:rsidRPr="007B356D">
        <w:rPr>
          <w:rFonts w:eastAsia="SimSun" w:cs="Arial"/>
          <w:sz w:val="20"/>
          <w:szCs w:val="20"/>
          <w:lang w:val="fr-FR" w:eastAsia="zh-CN"/>
        </w:rPr>
        <w:t>Suivi des principaux indicateurs d’impact des secteurs agriculture, élevage et pêche selon l’EES du Développement rural (2011), à savoir :</w:t>
      </w:r>
    </w:p>
    <w:p w14:paraId="1BF4E993" w14:textId="77777777" w:rsidR="007B356D" w:rsidRPr="007B356D" w:rsidRDefault="007B356D" w:rsidP="007B356D">
      <w:pPr>
        <w:widowControl w:val="0"/>
        <w:adjustRightInd w:val="0"/>
        <w:spacing w:after="0" w:line="240" w:lineRule="auto"/>
        <w:ind w:left="993"/>
        <w:contextualSpacing/>
        <w:textAlignment w:val="baseline"/>
        <w:rPr>
          <w:rFonts w:eastAsia="SimSun" w:cs="Arial"/>
          <w:sz w:val="20"/>
          <w:szCs w:val="20"/>
          <w:lang w:val="fr-FR" w:eastAsia="zh-CN"/>
        </w:rPr>
      </w:pPr>
      <w:r w:rsidRPr="007B356D">
        <w:rPr>
          <w:rFonts w:eastAsia="SimSun" w:cs="Arial"/>
          <w:sz w:val="20"/>
          <w:szCs w:val="20"/>
          <w:lang w:val="fr-FR" w:eastAsia="zh-CN"/>
        </w:rPr>
        <w:t>- Evolution des surfaces nouvellement défrichées, dégradées et de la désertification.</w:t>
      </w:r>
    </w:p>
    <w:p w14:paraId="1DB170D0" w14:textId="77777777" w:rsidR="007B356D" w:rsidRPr="007B356D" w:rsidRDefault="007B356D" w:rsidP="007B356D">
      <w:pPr>
        <w:widowControl w:val="0"/>
        <w:adjustRightInd w:val="0"/>
        <w:spacing w:after="0" w:line="240" w:lineRule="auto"/>
        <w:ind w:left="993"/>
        <w:contextualSpacing/>
        <w:textAlignment w:val="baseline"/>
        <w:rPr>
          <w:rFonts w:eastAsia="SimSun" w:cs="Arial"/>
          <w:sz w:val="20"/>
          <w:szCs w:val="20"/>
          <w:lang w:val="fr-FR" w:eastAsia="zh-CN"/>
        </w:rPr>
      </w:pPr>
      <w:r w:rsidRPr="007B356D">
        <w:rPr>
          <w:rFonts w:eastAsia="SimSun" w:cs="Arial"/>
          <w:sz w:val="20"/>
          <w:szCs w:val="20"/>
          <w:lang w:val="fr-FR" w:eastAsia="zh-CN"/>
        </w:rPr>
        <w:t>- Consommation de ressources naturelles renouvelables (ratio</w:t>
      </w:r>
      <w:r w:rsidRPr="007B356D">
        <w:rPr>
          <w:rFonts w:cs="Arial"/>
          <w:sz w:val="20"/>
          <w:szCs w:val="20"/>
          <w:lang w:val="fr-FR"/>
        </w:rPr>
        <w:t xml:space="preserve"> </w:t>
      </w:r>
      <w:r w:rsidRPr="007B356D">
        <w:rPr>
          <w:rFonts w:eastAsia="SimSun" w:cs="Arial"/>
          <w:sz w:val="20"/>
          <w:szCs w:val="20"/>
          <w:lang w:val="fr-FR" w:eastAsia="zh-CN"/>
        </w:rPr>
        <w:t>de la productivité/ha et de la consommation    d’eau</w:t>
      </w:r>
      <w:r w:rsidR="009B4A49">
        <w:rPr>
          <w:rFonts w:eastAsia="SimSun" w:cs="Arial"/>
          <w:sz w:val="20"/>
          <w:szCs w:val="20"/>
          <w:lang w:val="fr-FR" w:eastAsia="zh-CN"/>
        </w:rPr>
        <w:t xml:space="preserve"> </w:t>
      </w:r>
      <w:r w:rsidRPr="007B356D">
        <w:rPr>
          <w:rFonts w:eastAsia="SimSun" w:cs="Arial"/>
          <w:sz w:val="20"/>
          <w:szCs w:val="20"/>
          <w:lang w:val="fr-FR" w:eastAsia="zh-CN"/>
        </w:rPr>
        <w:t xml:space="preserve">/ha irrigué). </w:t>
      </w:r>
    </w:p>
    <w:p w14:paraId="3B41AF2F" w14:textId="77777777" w:rsidR="007B356D" w:rsidRPr="007B356D" w:rsidRDefault="007B356D" w:rsidP="007B356D">
      <w:pPr>
        <w:widowControl w:val="0"/>
        <w:adjustRightInd w:val="0"/>
        <w:spacing w:after="0" w:line="240" w:lineRule="auto"/>
        <w:ind w:left="993"/>
        <w:contextualSpacing/>
        <w:textAlignment w:val="baseline"/>
        <w:rPr>
          <w:rFonts w:eastAsia="SimSun" w:cs="Arial"/>
          <w:sz w:val="20"/>
          <w:szCs w:val="20"/>
          <w:lang w:val="fr-FR" w:eastAsia="zh-CN"/>
        </w:rPr>
      </w:pPr>
      <w:r w:rsidRPr="007B356D">
        <w:rPr>
          <w:rFonts w:eastAsia="SimSun" w:cs="Arial"/>
          <w:sz w:val="20"/>
          <w:szCs w:val="20"/>
          <w:lang w:val="fr-FR" w:eastAsia="zh-CN"/>
        </w:rPr>
        <w:t>- Pressions sur les ressources naturelles (rapport entre prélèvements et stocks renouvelables).</w:t>
      </w:r>
    </w:p>
    <w:p w14:paraId="61EA6CD2" w14:textId="77777777" w:rsidR="007B356D" w:rsidRPr="007B356D" w:rsidRDefault="007B356D" w:rsidP="007B356D">
      <w:pPr>
        <w:widowControl w:val="0"/>
        <w:adjustRightInd w:val="0"/>
        <w:spacing w:after="0" w:line="240" w:lineRule="auto"/>
        <w:ind w:left="993"/>
        <w:contextualSpacing/>
        <w:textAlignment w:val="baseline"/>
        <w:rPr>
          <w:rFonts w:eastAsia="SimSun" w:cs="Arial"/>
          <w:sz w:val="20"/>
          <w:szCs w:val="20"/>
          <w:lang w:val="fr-FR" w:eastAsia="zh-CN"/>
        </w:rPr>
      </w:pPr>
      <w:r w:rsidRPr="007B356D">
        <w:rPr>
          <w:rFonts w:eastAsia="SimSun" w:cs="Arial"/>
          <w:sz w:val="20"/>
          <w:szCs w:val="20"/>
          <w:lang w:val="fr-FR" w:eastAsia="zh-CN"/>
        </w:rPr>
        <w:t>- Qualité / pollution de l’eau.</w:t>
      </w:r>
    </w:p>
    <w:p w14:paraId="795DB0D1" w14:textId="77777777" w:rsidR="007B356D" w:rsidRPr="007B356D" w:rsidRDefault="007B356D" w:rsidP="007B356D">
      <w:pPr>
        <w:widowControl w:val="0"/>
        <w:adjustRightInd w:val="0"/>
        <w:spacing w:after="0" w:line="240" w:lineRule="auto"/>
        <w:ind w:left="993"/>
        <w:contextualSpacing/>
        <w:textAlignment w:val="baseline"/>
        <w:rPr>
          <w:rFonts w:eastAsia="SimSun" w:cs="Arial"/>
          <w:sz w:val="20"/>
          <w:szCs w:val="20"/>
          <w:lang w:val="fr-FR" w:eastAsia="zh-CN"/>
        </w:rPr>
      </w:pPr>
      <w:r w:rsidRPr="007B356D">
        <w:rPr>
          <w:rFonts w:eastAsia="SimSun" w:cs="Arial"/>
          <w:sz w:val="20"/>
          <w:szCs w:val="20"/>
          <w:lang w:val="fr-FR" w:eastAsia="zh-CN"/>
        </w:rPr>
        <w:t>- Emissions dans l’atmosphère.</w:t>
      </w:r>
    </w:p>
    <w:p w14:paraId="1A553DC9" w14:textId="77777777" w:rsidR="007B356D" w:rsidRPr="007B356D" w:rsidRDefault="007B356D" w:rsidP="007B356D">
      <w:pPr>
        <w:widowControl w:val="0"/>
        <w:adjustRightInd w:val="0"/>
        <w:spacing w:after="0" w:line="240" w:lineRule="auto"/>
        <w:ind w:left="993"/>
        <w:contextualSpacing/>
        <w:textAlignment w:val="baseline"/>
        <w:rPr>
          <w:rFonts w:eastAsia="SimSun" w:cs="Arial"/>
          <w:sz w:val="20"/>
          <w:szCs w:val="20"/>
          <w:lang w:val="fr-FR" w:eastAsia="zh-CN"/>
        </w:rPr>
      </w:pPr>
      <w:r w:rsidRPr="007B356D">
        <w:rPr>
          <w:rFonts w:eastAsia="SimSun" w:cs="Arial"/>
          <w:sz w:val="20"/>
          <w:szCs w:val="20"/>
          <w:lang w:val="fr-FR" w:eastAsia="zh-CN"/>
        </w:rPr>
        <w:t>- Diversification de l’économie familiale rurale respectant l’environnement et évolution des revenus.</w:t>
      </w:r>
    </w:p>
    <w:p w14:paraId="5330053C" w14:textId="77777777" w:rsidR="007B356D" w:rsidRPr="007B356D" w:rsidRDefault="007B356D" w:rsidP="007B356D">
      <w:pPr>
        <w:spacing w:after="200" w:line="276" w:lineRule="auto"/>
        <w:jc w:val="left"/>
        <w:rPr>
          <w:rFonts w:eastAsia="Calibri" w:cs="Arial"/>
          <w:b/>
          <w:bCs/>
          <w:color w:val="948A54" w:themeColor="background2" w:themeShade="80"/>
          <w:highlight w:val="yellow"/>
          <w:lang w:val="fr-FR" w:eastAsia="fr-FR"/>
        </w:rPr>
      </w:pPr>
      <w:bookmarkStart w:id="110" w:name="_Toc393900317"/>
      <w:r w:rsidRPr="007B356D">
        <w:rPr>
          <w:rFonts w:eastAsia="Calibri" w:cs="Arial"/>
          <w:b/>
          <w:bCs/>
          <w:color w:val="948A54" w:themeColor="background2" w:themeShade="80"/>
          <w:highlight w:val="yellow"/>
          <w:lang w:val="fr-FR" w:eastAsia="fr-FR"/>
        </w:rPr>
        <w:br w:type="page"/>
      </w:r>
    </w:p>
    <w:p w14:paraId="7445B7FE" w14:textId="77777777" w:rsidR="007B356D" w:rsidRPr="007B356D" w:rsidRDefault="007B356D" w:rsidP="007B356D">
      <w:pPr>
        <w:keepNext/>
        <w:keepLines/>
        <w:spacing w:before="200" w:after="0"/>
        <w:outlineLvl w:val="2"/>
        <w:rPr>
          <w:rFonts w:eastAsia="Calibri" w:cs="Arial"/>
          <w:b/>
          <w:bCs/>
          <w:color w:val="948A54" w:themeColor="background2" w:themeShade="80"/>
          <w:lang w:val="fr-FR" w:eastAsia="fr-FR"/>
        </w:rPr>
      </w:pPr>
      <w:bookmarkStart w:id="111" w:name="_Toc20505699"/>
      <w:r w:rsidRPr="00AA0443">
        <w:rPr>
          <w:rFonts w:eastAsia="Calibri" w:cs="Arial"/>
          <w:b/>
          <w:bCs/>
          <w:color w:val="948A54" w:themeColor="background2" w:themeShade="80"/>
          <w:lang w:val="fr-FR" w:eastAsia="fr-FR"/>
        </w:rPr>
        <w:lastRenderedPageBreak/>
        <w:t>7.3.3 Principales recommandations secteur ‘Education - formation’</w:t>
      </w:r>
      <w:bookmarkEnd w:id="110"/>
      <w:bookmarkEnd w:id="111"/>
    </w:p>
    <w:p w14:paraId="31B08C60" w14:textId="77777777" w:rsidR="007B356D" w:rsidRPr="007B356D" w:rsidRDefault="007B356D" w:rsidP="007B356D">
      <w:pPr>
        <w:spacing w:after="0" w:line="240" w:lineRule="auto"/>
        <w:rPr>
          <w:rFonts w:eastAsia="SimSun" w:cs="Arial"/>
          <w:bCs/>
          <w:i/>
          <w:sz w:val="20"/>
          <w:szCs w:val="20"/>
          <w:lang w:val="fr-FR" w:eastAsia="zh-CN"/>
        </w:rPr>
      </w:pPr>
      <w:r w:rsidRPr="007B356D">
        <w:rPr>
          <w:rFonts w:eastAsia="SimSun" w:cs="Arial"/>
          <w:bCs/>
          <w:i/>
          <w:sz w:val="20"/>
          <w:szCs w:val="20"/>
          <w:lang w:val="fr-FR" w:eastAsia="zh-CN"/>
        </w:rPr>
        <w:t xml:space="preserve"> (*) indique les recommandations spécifiques qui concernent la DUE.</w:t>
      </w:r>
    </w:p>
    <w:p w14:paraId="5D061784" w14:textId="77777777" w:rsidR="007B356D" w:rsidRPr="007B356D" w:rsidRDefault="007B356D" w:rsidP="007B356D">
      <w:pPr>
        <w:spacing w:after="0" w:line="240" w:lineRule="auto"/>
        <w:rPr>
          <w:rFonts w:eastAsia="SimSun" w:cs="Arial"/>
          <w:bCs/>
          <w:i/>
          <w:lang w:val="fr-FR" w:eastAsia="zh-CN"/>
        </w:rPr>
      </w:pPr>
    </w:p>
    <w:p w14:paraId="4DC0F839" w14:textId="77777777" w:rsidR="007B356D" w:rsidRPr="00B7222E" w:rsidRDefault="007B356D" w:rsidP="007B356D">
      <w:pPr>
        <w:spacing w:after="0" w:line="240" w:lineRule="auto"/>
        <w:rPr>
          <w:rFonts w:eastAsia="Calibri" w:cs="Arial"/>
          <w:sz w:val="20"/>
          <w:szCs w:val="20"/>
          <w:lang w:val="fr-FR" w:eastAsia="fr-FR"/>
        </w:rPr>
      </w:pPr>
      <w:r w:rsidRPr="00B7222E">
        <w:rPr>
          <w:rFonts w:eastAsia="Calibri" w:cs="Arial"/>
          <w:sz w:val="20"/>
          <w:szCs w:val="20"/>
          <w:lang w:val="fr-FR" w:eastAsia="fr-FR"/>
        </w:rPr>
        <w:t>Recommandations du PEP 2014,  toujours valables et  d’actualité :</w:t>
      </w:r>
    </w:p>
    <w:p w14:paraId="7EFF714E" w14:textId="77777777" w:rsidR="007B356D" w:rsidRPr="00B7222E" w:rsidRDefault="007B356D" w:rsidP="007B356D">
      <w:pPr>
        <w:spacing w:after="0" w:line="240" w:lineRule="auto"/>
        <w:ind w:left="720"/>
        <w:contextualSpacing/>
        <w:rPr>
          <w:rFonts w:cs="Arial"/>
          <w:sz w:val="20"/>
          <w:szCs w:val="20"/>
          <w:lang w:val="fr-FR"/>
        </w:rPr>
      </w:pPr>
    </w:p>
    <w:p w14:paraId="28AAABEF" w14:textId="77777777" w:rsidR="007B356D" w:rsidRPr="00B7222E" w:rsidRDefault="007B356D" w:rsidP="00393CA8">
      <w:pPr>
        <w:widowControl w:val="0"/>
        <w:numPr>
          <w:ilvl w:val="0"/>
          <w:numId w:val="59"/>
        </w:numPr>
        <w:adjustRightInd w:val="0"/>
        <w:spacing w:after="0" w:line="240" w:lineRule="auto"/>
        <w:ind w:left="360"/>
        <w:textAlignment w:val="baseline"/>
        <w:rPr>
          <w:rFonts w:eastAsia="SimSun" w:cs="Arial"/>
          <w:sz w:val="20"/>
          <w:szCs w:val="20"/>
          <w:lang w:val="fr-FR" w:eastAsia="zh-CN"/>
        </w:rPr>
      </w:pPr>
      <w:r w:rsidRPr="00B7222E">
        <w:rPr>
          <w:rFonts w:eastAsia="SimSun" w:cs="Arial"/>
          <w:sz w:val="20"/>
          <w:szCs w:val="20"/>
          <w:lang w:val="fr-FR" w:eastAsia="zh-CN"/>
        </w:rPr>
        <w:t xml:space="preserve">Renforcer la </w:t>
      </w:r>
      <w:r w:rsidRPr="00B7222E">
        <w:rPr>
          <w:rFonts w:eastAsia="SimSun" w:cs="Arial"/>
          <w:sz w:val="20"/>
          <w:szCs w:val="20"/>
          <w:u w:val="single"/>
          <w:lang w:val="fr-FR" w:eastAsia="zh-CN"/>
        </w:rPr>
        <w:t>sensibilisation et l’information</w:t>
      </w:r>
      <w:r w:rsidRPr="00B7222E">
        <w:rPr>
          <w:rFonts w:eastAsia="SimSun" w:cs="Arial"/>
          <w:sz w:val="20"/>
          <w:szCs w:val="20"/>
          <w:lang w:val="fr-FR" w:eastAsia="zh-CN"/>
        </w:rPr>
        <w:t xml:space="preserve"> de tous les acteurs sur les questions environnementales pour mieux développer une culture environnementale et modifier les comportements (écocitoyenneté). Ceci doit inclure :</w:t>
      </w:r>
    </w:p>
    <w:p w14:paraId="3692A732" w14:textId="77777777" w:rsidR="007B356D" w:rsidRPr="00B7222E" w:rsidRDefault="007B356D" w:rsidP="007B356D">
      <w:pPr>
        <w:spacing w:after="0" w:line="240" w:lineRule="auto"/>
        <w:ind w:left="360"/>
        <w:contextualSpacing/>
        <w:rPr>
          <w:rFonts w:eastAsia="SimSun" w:cs="Arial"/>
          <w:sz w:val="20"/>
          <w:szCs w:val="20"/>
          <w:lang w:val="fr-FR" w:eastAsia="zh-CN"/>
        </w:rPr>
      </w:pPr>
    </w:p>
    <w:p w14:paraId="33250BEC" w14:textId="77777777" w:rsidR="007B356D" w:rsidRPr="00B7222E" w:rsidRDefault="007B356D" w:rsidP="00393CA8">
      <w:pPr>
        <w:widowControl w:val="0"/>
        <w:numPr>
          <w:ilvl w:val="0"/>
          <w:numId w:val="62"/>
        </w:numPr>
        <w:adjustRightInd w:val="0"/>
        <w:spacing w:after="0" w:line="240" w:lineRule="auto"/>
        <w:textAlignment w:val="baseline"/>
        <w:rPr>
          <w:rFonts w:eastAsia="SimSun" w:cs="Arial"/>
          <w:sz w:val="20"/>
          <w:szCs w:val="20"/>
          <w:lang w:val="fr-FR" w:eastAsia="zh-CN"/>
        </w:rPr>
      </w:pPr>
      <w:r w:rsidRPr="00B7222E">
        <w:rPr>
          <w:rFonts w:eastAsia="SimSun" w:cs="Arial"/>
          <w:sz w:val="20"/>
          <w:szCs w:val="20"/>
          <w:lang w:val="fr-FR" w:eastAsia="zh-CN"/>
        </w:rPr>
        <w:t xml:space="preserve">une relance des programmes nationaux de l’éducation environnementale scolaire (modèle PAGEEM) </w:t>
      </w:r>
      <w:r w:rsidRPr="00B7222E">
        <w:rPr>
          <w:rFonts w:cs="Arial"/>
          <w:sz w:val="20"/>
          <w:szCs w:val="20"/>
          <w:lang w:val="fr-FR"/>
        </w:rPr>
        <w:t>(*)</w:t>
      </w:r>
    </w:p>
    <w:p w14:paraId="2F471FA6" w14:textId="77777777" w:rsidR="007B356D" w:rsidRPr="00B7222E" w:rsidRDefault="007B356D" w:rsidP="00393CA8">
      <w:pPr>
        <w:widowControl w:val="0"/>
        <w:numPr>
          <w:ilvl w:val="0"/>
          <w:numId w:val="62"/>
        </w:numPr>
        <w:adjustRightInd w:val="0"/>
        <w:spacing w:after="0" w:line="240" w:lineRule="auto"/>
        <w:textAlignment w:val="baseline"/>
        <w:rPr>
          <w:rFonts w:eastAsia="SimSun" w:cs="Arial"/>
          <w:sz w:val="20"/>
          <w:szCs w:val="20"/>
          <w:lang w:val="fr-FR" w:eastAsia="zh-CN"/>
        </w:rPr>
      </w:pPr>
      <w:r w:rsidRPr="00B7222E">
        <w:rPr>
          <w:rFonts w:eastAsia="SimSun" w:cs="Arial"/>
          <w:sz w:val="20"/>
          <w:szCs w:val="20"/>
          <w:lang w:val="fr-FR" w:eastAsia="zh-CN"/>
        </w:rPr>
        <w:t>Renforcer les efforts de professionnalisation et d’organisation du secteur informel en intégrant la dimension environnementale selon les domaines dans les formations (p.ex. orpailleurs, transporteurs de routes, commerçants,…)</w:t>
      </w:r>
    </w:p>
    <w:p w14:paraId="5695DEA6" w14:textId="77777777" w:rsidR="007B356D" w:rsidRPr="00B7222E" w:rsidRDefault="007B356D" w:rsidP="00393CA8">
      <w:pPr>
        <w:numPr>
          <w:ilvl w:val="0"/>
          <w:numId w:val="62"/>
        </w:numPr>
        <w:spacing w:after="200" w:line="276" w:lineRule="auto"/>
        <w:contextualSpacing/>
        <w:rPr>
          <w:rFonts w:cs="Arial"/>
          <w:sz w:val="20"/>
          <w:szCs w:val="20"/>
          <w:lang w:val="fr-FR"/>
        </w:rPr>
      </w:pPr>
      <w:r w:rsidRPr="00B7222E">
        <w:rPr>
          <w:rFonts w:cs="Arial"/>
          <w:sz w:val="20"/>
          <w:szCs w:val="20"/>
          <w:lang w:val="fr-FR"/>
        </w:rPr>
        <w:t>Renforcer / élargir les formations du secteur privé dans le domaine de l’impact des changements climatiques et de la dégradation des ressources naturelles dans leur secteur d’activité.</w:t>
      </w:r>
    </w:p>
    <w:p w14:paraId="4E8B5AC0" w14:textId="77777777" w:rsidR="007B356D" w:rsidRPr="007B356D" w:rsidRDefault="007B356D" w:rsidP="007B356D">
      <w:pPr>
        <w:spacing w:after="200" w:line="276" w:lineRule="auto"/>
        <w:ind w:left="1080"/>
        <w:contextualSpacing/>
        <w:rPr>
          <w:rFonts w:cs="Arial"/>
          <w:color w:val="FF0000"/>
          <w:sz w:val="20"/>
          <w:szCs w:val="20"/>
          <w:lang w:val="fr-FR"/>
        </w:rPr>
      </w:pPr>
    </w:p>
    <w:p w14:paraId="5325466D" w14:textId="77777777" w:rsidR="007B356D" w:rsidRPr="007B356D" w:rsidRDefault="007B356D" w:rsidP="00393CA8">
      <w:pPr>
        <w:widowControl w:val="0"/>
        <w:numPr>
          <w:ilvl w:val="0"/>
          <w:numId w:val="59"/>
        </w:numPr>
        <w:adjustRightInd w:val="0"/>
        <w:spacing w:after="0" w:line="240" w:lineRule="auto"/>
        <w:ind w:left="360"/>
        <w:contextualSpacing/>
        <w:textAlignment w:val="baseline"/>
        <w:rPr>
          <w:rFonts w:eastAsia="SimSun" w:cs="Arial"/>
          <w:sz w:val="20"/>
          <w:szCs w:val="20"/>
          <w:lang w:val="fr-FR" w:eastAsia="zh-CN"/>
        </w:rPr>
      </w:pPr>
      <w:r w:rsidRPr="007B356D">
        <w:rPr>
          <w:rFonts w:eastAsia="SimSun" w:cs="Arial"/>
          <w:sz w:val="20"/>
          <w:szCs w:val="20"/>
          <w:lang w:val="fr-FR" w:eastAsia="zh-CN"/>
        </w:rPr>
        <w:t>Inclure l’écoconception (utilisation rationnelle de l’eau, de l’énergie, de la terre, construction sans bois, etc.) dans tous les programmes de développement des infrastructures rurales (incluant la construction des écoles, centres de santé,…). (*)</w:t>
      </w:r>
    </w:p>
    <w:p w14:paraId="580B92CC" w14:textId="77777777" w:rsidR="007B356D" w:rsidRPr="007B356D" w:rsidRDefault="007B356D" w:rsidP="007B356D">
      <w:pPr>
        <w:widowControl w:val="0"/>
        <w:adjustRightInd w:val="0"/>
        <w:spacing w:after="0" w:line="240" w:lineRule="auto"/>
        <w:ind w:left="360"/>
        <w:contextualSpacing/>
        <w:textAlignment w:val="baseline"/>
        <w:rPr>
          <w:rFonts w:eastAsia="SimSun" w:cs="Arial"/>
          <w:sz w:val="20"/>
          <w:szCs w:val="20"/>
          <w:lang w:val="fr-FR" w:eastAsia="zh-CN"/>
        </w:rPr>
      </w:pPr>
    </w:p>
    <w:p w14:paraId="4F0B75B9" w14:textId="77777777" w:rsidR="007B356D" w:rsidRPr="00B7222E" w:rsidRDefault="007B356D" w:rsidP="00393CA8">
      <w:pPr>
        <w:widowControl w:val="0"/>
        <w:numPr>
          <w:ilvl w:val="0"/>
          <w:numId w:val="59"/>
        </w:numPr>
        <w:adjustRightInd w:val="0"/>
        <w:spacing w:after="0" w:line="240" w:lineRule="auto"/>
        <w:ind w:left="360"/>
        <w:textAlignment w:val="baseline"/>
        <w:rPr>
          <w:rFonts w:eastAsia="SimSun" w:cs="Arial"/>
          <w:sz w:val="20"/>
          <w:szCs w:val="20"/>
          <w:lang w:val="fr-FR" w:eastAsia="zh-CN"/>
        </w:rPr>
      </w:pPr>
      <w:r w:rsidRPr="00B7222E">
        <w:rPr>
          <w:rFonts w:eastAsia="SimSun" w:cs="Arial"/>
          <w:sz w:val="20"/>
          <w:szCs w:val="20"/>
          <w:lang w:val="fr-FR" w:eastAsia="zh-CN"/>
        </w:rPr>
        <w:t xml:space="preserve">Faire de </w:t>
      </w:r>
      <w:r w:rsidRPr="00B7222E">
        <w:rPr>
          <w:rFonts w:eastAsia="SimSun" w:cs="Arial"/>
          <w:sz w:val="20"/>
          <w:szCs w:val="20"/>
          <w:u w:val="single"/>
          <w:lang w:val="fr-FR" w:eastAsia="zh-CN"/>
        </w:rPr>
        <w:t>larges campagnes de promotion</w:t>
      </w:r>
      <w:r w:rsidRPr="00B7222E">
        <w:rPr>
          <w:rFonts w:eastAsia="SimSun" w:cs="Arial"/>
          <w:sz w:val="20"/>
          <w:szCs w:val="20"/>
          <w:lang w:val="fr-FR" w:eastAsia="zh-CN"/>
        </w:rPr>
        <w:t xml:space="preserve"> de la bonne gestion de l’environnement en soulignant les impacts et les conséquences directs à la vie quotidienne de la non-prise en compte des aspects environnementaux. Ceci doit inclure aussi la capitalisation et la valorisation des bonnes pratiques réussites au Mali </w:t>
      </w:r>
      <w:r w:rsidRPr="00B7222E">
        <w:rPr>
          <w:rFonts w:cs="Arial"/>
          <w:sz w:val="20"/>
          <w:szCs w:val="20"/>
          <w:lang w:val="fr-FR"/>
        </w:rPr>
        <w:t>(code 3)</w:t>
      </w:r>
      <w:r w:rsidR="00865CCB">
        <w:rPr>
          <w:rFonts w:cs="Arial"/>
          <w:sz w:val="20"/>
          <w:szCs w:val="20"/>
          <w:lang w:val="fr-FR"/>
        </w:rPr>
        <w:t xml:space="preserve"> </w:t>
      </w:r>
      <w:r w:rsidRPr="00B7222E">
        <w:rPr>
          <w:rFonts w:cs="Arial"/>
          <w:sz w:val="20"/>
          <w:szCs w:val="20"/>
          <w:lang w:val="fr-FR"/>
        </w:rPr>
        <w:t>(*)</w:t>
      </w:r>
    </w:p>
    <w:p w14:paraId="05B01D57" w14:textId="77777777" w:rsidR="007B356D" w:rsidRPr="00B7222E" w:rsidRDefault="007B356D" w:rsidP="00393CA8">
      <w:pPr>
        <w:widowControl w:val="0"/>
        <w:numPr>
          <w:ilvl w:val="0"/>
          <w:numId w:val="61"/>
        </w:numPr>
        <w:adjustRightInd w:val="0"/>
        <w:spacing w:after="0" w:line="240" w:lineRule="auto"/>
        <w:textAlignment w:val="baseline"/>
        <w:rPr>
          <w:rFonts w:eastAsia="SimSun" w:cs="Arial"/>
          <w:sz w:val="20"/>
          <w:szCs w:val="20"/>
          <w:lang w:val="fr-FR" w:eastAsia="zh-CN"/>
        </w:rPr>
      </w:pPr>
      <w:r w:rsidRPr="00B7222E">
        <w:rPr>
          <w:rFonts w:eastAsia="SimSun" w:cs="Arial"/>
          <w:sz w:val="20"/>
          <w:szCs w:val="20"/>
          <w:lang w:val="fr-FR" w:eastAsia="zh-CN"/>
        </w:rPr>
        <w:t>Produire et diffuser régulièrement à grande échelle les études de coût de la dégradation de l’environnement ou des différentes ressources naturelles pour attirer l’attention et sensibiliser les décideurs. La seule étude dans ce sens date de 2008. (code 2) (*).</w:t>
      </w:r>
    </w:p>
    <w:p w14:paraId="506251FE" w14:textId="77777777" w:rsidR="007B356D" w:rsidRPr="00B7222E" w:rsidRDefault="007B356D" w:rsidP="00393CA8">
      <w:pPr>
        <w:widowControl w:val="0"/>
        <w:numPr>
          <w:ilvl w:val="0"/>
          <w:numId w:val="61"/>
        </w:numPr>
        <w:adjustRightInd w:val="0"/>
        <w:spacing w:after="0" w:line="240" w:lineRule="auto"/>
        <w:textAlignment w:val="baseline"/>
        <w:rPr>
          <w:rFonts w:eastAsia="SimSun" w:cs="Arial"/>
          <w:sz w:val="20"/>
          <w:szCs w:val="20"/>
          <w:lang w:val="fr-FR" w:eastAsia="zh-CN"/>
        </w:rPr>
      </w:pPr>
      <w:r w:rsidRPr="00B7222E">
        <w:rPr>
          <w:rFonts w:eastAsia="SimSun" w:cs="Arial"/>
          <w:sz w:val="20"/>
          <w:szCs w:val="20"/>
          <w:lang w:val="fr-FR" w:eastAsia="zh-CN"/>
        </w:rPr>
        <w:t>Promouvoir l’utilisation d’outils calculant l‘empreinte écologique à tous les niveaux et faire une large diffusion dans les médias. (code 2)</w:t>
      </w:r>
    </w:p>
    <w:p w14:paraId="66F070BC" w14:textId="77777777" w:rsidR="007B356D" w:rsidRPr="00B7222E" w:rsidRDefault="007B356D" w:rsidP="007B356D">
      <w:pPr>
        <w:widowControl w:val="0"/>
        <w:adjustRightInd w:val="0"/>
        <w:spacing w:after="0" w:line="240" w:lineRule="auto"/>
        <w:ind w:left="360"/>
        <w:textAlignment w:val="baseline"/>
        <w:rPr>
          <w:rFonts w:eastAsia="SimSun" w:cs="Arial"/>
          <w:sz w:val="20"/>
          <w:szCs w:val="20"/>
          <w:lang w:val="fr-FR" w:eastAsia="zh-CN"/>
        </w:rPr>
      </w:pPr>
    </w:p>
    <w:p w14:paraId="3121D8FB" w14:textId="77777777" w:rsidR="007B356D" w:rsidRPr="00B7222E" w:rsidRDefault="007B356D" w:rsidP="00393CA8">
      <w:pPr>
        <w:widowControl w:val="0"/>
        <w:numPr>
          <w:ilvl w:val="0"/>
          <w:numId w:val="59"/>
        </w:numPr>
        <w:adjustRightInd w:val="0"/>
        <w:spacing w:after="0" w:line="240" w:lineRule="auto"/>
        <w:ind w:left="360"/>
        <w:textAlignment w:val="baseline"/>
        <w:rPr>
          <w:rFonts w:eastAsia="SimSun" w:cs="Arial"/>
          <w:sz w:val="20"/>
          <w:szCs w:val="20"/>
          <w:lang w:val="fr-FR" w:eastAsia="zh-CN"/>
        </w:rPr>
      </w:pPr>
      <w:r w:rsidRPr="00B7222E">
        <w:rPr>
          <w:rFonts w:eastAsia="SimSun" w:cs="Arial"/>
          <w:sz w:val="20"/>
          <w:szCs w:val="20"/>
          <w:lang w:val="fr-FR" w:eastAsia="zh-CN"/>
        </w:rPr>
        <w:t>Inclure systématiquement dans les projets d’aide au développement une ligne budgétaire pour l’assainissement des effluents liquides et solides du projet. (code 2) (*)</w:t>
      </w:r>
    </w:p>
    <w:p w14:paraId="7A8DD23F" w14:textId="77777777" w:rsidR="007B356D" w:rsidRPr="00B7222E" w:rsidRDefault="007B356D" w:rsidP="007B356D">
      <w:pPr>
        <w:widowControl w:val="0"/>
        <w:adjustRightInd w:val="0"/>
        <w:spacing w:after="0" w:line="240" w:lineRule="auto"/>
        <w:ind w:left="360"/>
        <w:textAlignment w:val="baseline"/>
        <w:rPr>
          <w:rFonts w:eastAsia="SimSun" w:cs="Arial"/>
          <w:sz w:val="20"/>
          <w:szCs w:val="20"/>
          <w:lang w:val="fr-FR" w:eastAsia="zh-CN"/>
        </w:rPr>
      </w:pPr>
    </w:p>
    <w:p w14:paraId="2DC7BC84" w14:textId="77777777" w:rsidR="007B356D" w:rsidRPr="00B7222E" w:rsidRDefault="007B356D" w:rsidP="007B356D">
      <w:pPr>
        <w:spacing w:after="0" w:line="240" w:lineRule="auto"/>
        <w:rPr>
          <w:rFonts w:eastAsia="SimSun" w:cs="Arial"/>
          <w:sz w:val="20"/>
          <w:szCs w:val="20"/>
          <w:u w:val="single"/>
          <w:lang w:val="fr-FR" w:eastAsia="zh-CN"/>
        </w:rPr>
      </w:pPr>
      <w:r w:rsidRPr="00B7222E">
        <w:rPr>
          <w:rFonts w:cs="Arial"/>
          <w:sz w:val="20"/>
          <w:szCs w:val="20"/>
          <w:u w:val="single"/>
          <w:lang w:val="fr-FR" w:eastAsia="zh-CN"/>
        </w:rPr>
        <w:t>Suivi environnemental spécifique de la CE (post 11</w:t>
      </w:r>
      <w:r w:rsidRPr="00B7222E">
        <w:rPr>
          <w:rFonts w:cs="Arial"/>
          <w:sz w:val="20"/>
          <w:szCs w:val="20"/>
          <w:u w:val="single"/>
          <w:vertAlign w:val="superscript"/>
          <w:lang w:val="fr-FR" w:eastAsia="zh-CN"/>
        </w:rPr>
        <w:t>ème</w:t>
      </w:r>
      <w:r w:rsidRPr="00B7222E">
        <w:rPr>
          <w:rFonts w:cs="Arial"/>
          <w:sz w:val="20"/>
          <w:szCs w:val="20"/>
          <w:u w:val="single"/>
          <w:lang w:val="fr-FR" w:eastAsia="zh-CN"/>
        </w:rPr>
        <w:t xml:space="preserve"> FED), </w:t>
      </w:r>
      <w:r w:rsidRPr="00B7222E">
        <w:rPr>
          <w:rFonts w:eastAsia="SimSun" w:cs="Arial"/>
          <w:sz w:val="20"/>
          <w:szCs w:val="20"/>
          <w:u w:val="single"/>
          <w:lang w:val="fr-FR" w:eastAsia="zh-CN"/>
        </w:rPr>
        <w:t>Education</w:t>
      </w:r>
    </w:p>
    <w:p w14:paraId="6297D0B8" w14:textId="77777777" w:rsidR="007B356D" w:rsidRPr="007B356D" w:rsidRDefault="007B356D" w:rsidP="007B356D">
      <w:pPr>
        <w:spacing w:after="0" w:line="240" w:lineRule="auto"/>
        <w:rPr>
          <w:rFonts w:eastAsia="SimSun" w:cs="Arial"/>
          <w:sz w:val="20"/>
          <w:szCs w:val="20"/>
          <w:u w:val="single"/>
          <w:lang w:val="fr-FR" w:eastAsia="zh-CN"/>
        </w:rPr>
      </w:pPr>
    </w:p>
    <w:p w14:paraId="752F0898" w14:textId="77777777" w:rsidR="007B356D" w:rsidRPr="007B356D" w:rsidRDefault="007B356D" w:rsidP="007B356D">
      <w:pPr>
        <w:widowControl w:val="0"/>
        <w:numPr>
          <w:ilvl w:val="0"/>
          <w:numId w:val="5"/>
        </w:numPr>
        <w:adjustRightInd w:val="0"/>
        <w:spacing w:after="0" w:line="240" w:lineRule="auto"/>
        <w:contextualSpacing/>
        <w:textAlignment w:val="baseline"/>
        <w:rPr>
          <w:rFonts w:eastAsia="SimSun" w:cs="Arial"/>
          <w:sz w:val="20"/>
          <w:szCs w:val="20"/>
          <w:lang w:val="fr-FR" w:eastAsia="zh-CN"/>
        </w:rPr>
      </w:pPr>
      <w:r w:rsidRPr="007B356D">
        <w:rPr>
          <w:rFonts w:eastAsia="SimSun" w:cs="Arial"/>
          <w:sz w:val="20"/>
          <w:szCs w:val="20"/>
          <w:lang w:val="fr-FR" w:eastAsia="zh-CN"/>
        </w:rPr>
        <w:t>Degré de l’écoconception des écoles (latrines respectant les normes environnementales, cantines utilisant les foyers améliorés ou d’autres sources d’énergie).</w:t>
      </w:r>
    </w:p>
    <w:p w14:paraId="2869A2AF" w14:textId="77777777" w:rsidR="007B356D" w:rsidRPr="007B356D" w:rsidRDefault="007B356D" w:rsidP="007B356D">
      <w:pPr>
        <w:widowControl w:val="0"/>
        <w:numPr>
          <w:ilvl w:val="0"/>
          <w:numId w:val="5"/>
        </w:numPr>
        <w:adjustRightInd w:val="0"/>
        <w:spacing w:after="0" w:line="240" w:lineRule="auto"/>
        <w:contextualSpacing/>
        <w:textAlignment w:val="baseline"/>
        <w:rPr>
          <w:rFonts w:eastAsia="SimSun" w:cs="Arial"/>
          <w:sz w:val="20"/>
          <w:szCs w:val="20"/>
          <w:lang w:val="fr-FR" w:eastAsia="zh-CN"/>
        </w:rPr>
      </w:pPr>
      <w:r w:rsidRPr="007B356D">
        <w:rPr>
          <w:rFonts w:eastAsia="SimSun" w:cs="Arial"/>
          <w:sz w:val="20"/>
          <w:szCs w:val="20"/>
          <w:lang w:val="fr-FR" w:eastAsia="zh-CN"/>
        </w:rPr>
        <w:t>% des écoles ayant un jardin de démonstration, pépinière, tri-sélectif… de formation pratique (= école verte).</w:t>
      </w:r>
    </w:p>
    <w:p w14:paraId="7792E9F7" w14:textId="77777777" w:rsidR="007B356D" w:rsidRPr="007B356D" w:rsidRDefault="007B356D" w:rsidP="007B356D">
      <w:pPr>
        <w:widowControl w:val="0"/>
        <w:numPr>
          <w:ilvl w:val="0"/>
          <w:numId w:val="5"/>
        </w:numPr>
        <w:adjustRightInd w:val="0"/>
        <w:spacing w:after="0" w:line="240" w:lineRule="auto"/>
        <w:contextualSpacing/>
        <w:textAlignment w:val="baseline"/>
        <w:rPr>
          <w:rFonts w:eastAsia="SimSun" w:cs="Arial"/>
          <w:sz w:val="20"/>
          <w:szCs w:val="20"/>
          <w:lang w:val="fr-FR" w:eastAsia="zh-CN"/>
        </w:rPr>
      </w:pPr>
      <w:r w:rsidRPr="007B356D">
        <w:rPr>
          <w:rFonts w:eastAsia="SimSun" w:cs="Arial"/>
          <w:sz w:val="20"/>
          <w:szCs w:val="20"/>
          <w:lang w:val="fr-FR" w:eastAsia="zh-CN"/>
        </w:rPr>
        <w:t>Budgétisation de l’éducation environnementale par le Ministère de l’Education.</w:t>
      </w:r>
    </w:p>
    <w:p w14:paraId="5A269321" w14:textId="77777777" w:rsidR="007B356D" w:rsidRPr="007B356D" w:rsidRDefault="007B356D" w:rsidP="007B356D">
      <w:pPr>
        <w:widowControl w:val="0"/>
        <w:numPr>
          <w:ilvl w:val="0"/>
          <w:numId w:val="5"/>
        </w:numPr>
        <w:adjustRightInd w:val="0"/>
        <w:spacing w:after="0" w:line="240" w:lineRule="auto"/>
        <w:contextualSpacing/>
        <w:textAlignment w:val="baseline"/>
        <w:rPr>
          <w:rFonts w:eastAsia="SimSun" w:cs="Arial"/>
          <w:sz w:val="20"/>
          <w:szCs w:val="20"/>
          <w:lang w:val="fr-FR" w:eastAsia="zh-CN"/>
        </w:rPr>
      </w:pPr>
      <w:r w:rsidRPr="007B356D">
        <w:rPr>
          <w:rFonts w:eastAsia="SimSun" w:cs="Arial"/>
          <w:sz w:val="20"/>
          <w:szCs w:val="20"/>
          <w:lang w:val="fr-FR" w:eastAsia="zh-CN"/>
        </w:rPr>
        <w:t>% des formations de professionnalisation incluant le lien du secteur à l’environnement.</w:t>
      </w:r>
    </w:p>
    <w:p w14:paraId="14E73022" w14:textId="77777777" w:rsidR="007B356D" w:rsidRPr="007B356D" w:rsidRDefault="007B356D" w:rsidP="007B356D">
      <w:pPr>
        <w:widowControl w:val="0"/>
        <w:adjustRightInd w:val="0"/>
        <w:spacing w:after="0" w:line="240" w:lineRule="auto"/>
        <w:ind w:left="720"/>
        <w:contextualSpacing/>
        <w:textAlignment w:val="baseline"/>
        <w:rPr>
          <w:rFonts w:eastAsia="SimSun" w:cs="Arial"/>
          <w:sz w:val="20"/>
          <w:szCs w:val="20"/>
          <w:lang w:val="fr-FR" w:eastAsia="zh-CN"/>
        </w:rPr>
      </w:pPr>
    </w:p>
    <w:p w14:paraId="042E4559" w14:textId="77777777" w:rsidR="007B356D" w:rsidRPr="007B356D" w:rsidRDefault="007B356D" w:rsidP="007B356D">
      <w:pPr>
        <w:spacing w:after="200" w:line="276" w:lineRule="auto"/>
        <w:jc w:val="left"/>
        <w:rPr>
          <w:rFonts w:eastAsia="Calibri" w:cs="Arial"/>
          <w:b/>
          <w:bCs/>
          <w:color w:val="948A54" w:themeColor="background2" w:themeShade="80"/>
          <w:highlight w:val="yellow"/>
          <w:lang w:val="fr-FR" w:eastAsia="fr-FR"/>
        </w:rPr>
      </w:pPr>
      <w:bookmarkStart w:id="112" w:name="_Toc393900318"/>
      <w:r w:rsidRPr="007B356D">
        <w:rPr>
          <w:rFonts w:eastAsia="Calibri" w:cs="Arial"/>
          <w:b/>
          <w:bCs/>
          <w:color w:val="948A54" w:themeColor="background2" w:themeShade="80"/>
          <w:highlight w:val="yellow"/>
          <w:lang w:val="fr-FR" w:eastAsia="fr-FR"/>
        </w:rPr>
        <w:br w:type="page"/>
      </w:r>
    </w:p>
    <w:p w14:paraId="7E271542" w14:textId="77777777" w:rsidR="007B356D" w:rsidRPr="007B356D" w:rsidRDefault="007B356D" w:rsidP="007B356D">
      <w:pPr>
        <w:keepNext/>
        <w:keepLines/>
        <w:spacing w:before="200" w:after="0"/>
        <w:outlineLvl w:val="2"/>
        <w:rPr>
          <w:rFonts w:eastAsia="Calibri" w:cs="Arial"/>
          <w:b/>
          <w:bCs/>
          <w:color w:val="948A54" w:themeColor="background2" w:themeShade="80"/>
          <w:lang w:val="fr-FR" w:eastAsia="fr-FR"/>
        </w:rPr>
      </w:pPr>
      <w:bookmarkStart w:id="113" w:name="_Toc20505700"/>
      <w:r w:rsidRPr="00AA0443">
        <w:rPr>
          <w:rFonts w:eastAsia="Calibri" w:cs="Arial"/>
          <w:b/>
          <w:bCs/>
          <w:color w:val="948A54" w:themeColor="background2" w:themeShade="80"/>
          <w:lang w:val="fr-FR" w:eastAsia="fr-FR"/>
        </w:rPr>
        <w:lastRenderedPageBreak/>
        <w:t>7.3.4 Principales recommandations secteur ‘Route’</w:t>
      </w:r>
      <w:bookmarkEnd w:id="112"/>
      <w:bookmarkEnd w:id="113"/>
    </w:p>
    <w:p w14:paraId="3C679271" w14:textId="77777777" w:rsidR="007B356D" w:rsidRPr="007B356D" w:rsidRDefault="007B356D" w:rsidP="007B356D">
      <w:pPr>
        <w:spacing w:after="0" w:line="240" w:lineRule="auto"/>
        <w:rPr>
          <w:rFonts w:eastAsia="SimSun" w:cs="Arial"/>
          <w:bCs/>
          <w:i/>
          <w:sz w:val="20"/>
          <w:szCs w:val="20"/>
          <w:lang w:val="fr-FR" w:eastAsia="zh-CN"/>
        </w:rPr>
      </w:pPr>
      <w:r w:rsidRPr="007B356D">
        <w:rPr>
          <w:rFonts w:eastAsia="SimSun" w:cs="Arial"/>
          <w:bCs/>
          <w:i/>
          <w:sz w:val="20"/>
          <w:szCs w:val="20"/>
          <w:lang w:val="fr-FR" w:eastAsia="zh-CN"/>
        </w:rPr>
        <w:t xml:space="preserve"> (*) indique les recommandations spécifiques qui concernent la DUE.</w:t>
      </w:r>
    </w:p>
    <w:p w14:paraId="6C69D07D" w14:textId="77777777" w:rsidR="007B356D" w:rsidRPr="007B356D" w:rsidRDefault="007B356D" w:rsidP="007B356D">
      <w:pPr>
        <w:spacing w:after="0" w:line="240" w:lineRule="auto"/>
        <w:rPr>
          <w:rFonts w:cs="Arial"/>
          <w:sz w:val="16"/>
          <w:szCs w:val="16"/>
          <w:lang w:val="fr-FR"/>
        </w:rPr>
      </w:pPr>
    </w:p>
    <w:p w14:paraId="32704AA4" w14:textId="77777777" w:rsidR="007B356D" w:rsidRPr="00B7222E" w:rsidRDefault="007B356D" w:rsidP="00393CA8">
      <w:pPr>
        <w:numPr>
          <w:ilvl w:val="0"/>
          <w:numId w:val="47"/>
        </w:numPr>
        <w:spacing w:after="0" w:line="240" w:lineRule="auto"/>
        <w:ind w:left="360"/>
        <w:contextualSpacing/>
        <w:rPr>
          <w:rFonts w:cs="Arial"/>
          <w:sz w:val="20"/>
          <w:szCs w:val="20"/>
          <w:lang w:val="fr-FR"/>
        </w:rPr>
      </w:pPr>
      <w:r w:rsidRPr="00B7222E">
        <w:rPr>
          <w:rFonts w:cs="Arial"/>
          <w:sz w:val="20"/>
          <w:szCs w:val="20"/>
          <w:lang w:val="fr-FR"/>
        </w:rPr>
        <w:t>Appuyer l’élaboration et la mise en œuvre du plan de circulation de Bamako</w:t>
      </w:r>
      <w:r w:rsidR="00B7222E" w:rsidRPr="00B7222E">
        <w:rPr>
          <w:rFonts w:cs="Arial"/>
          <w:sz w:val="20"/>
          <w:szCs w:val="20"/>
          <w:lang w:val="fr-FR"/>
        </w:rPr>
        <w:t xml:space="preserve"> </w:t>
      </w:r>
      <w:r w:rsidRPr="00B7222E">
        <w:rPr>
          <w:rFonts w:cs="Arial"/>
          <w:sz w:val="20"/>
          <w:szCs w:val="20"/>
          <w:lang w:val="fr-FR"/>
        </w:rPr>
        <w:t>(*)</w:t>
      </w:r>
    </w:p>
    <w:p w14:paraId="18EC398A" w14:textId="77777777" w:rsidR="007B356D" w:rsidRPr="00B7222E" w:rsidRDefault="007B356D" w:rsidP="00393CA8">
      <w:pPr>
        <w:numPr>
          <w:ilvl w:val="0"/>
          <w:numId w:val="47"/>
        </w:numPr>
        <w:spacing w:after="0" w:line="240" w:lineRule="auto"/>
        <w:ind w:left="360"/>
        <w:contextualSpacing/>
        <w:rPr>
          <w:rFonts w:cs="Arial"/>
          <w:sz w:val="20"/>
          <w:szCs w:val="20"/>
          <w:lang w:val="fr-FR"/>
        </w:rPr>
      </w:pPr>
      <w:r w:rsidRPr="00B7222E">
        <w:rPr>
          <w:rFonts w:cs="Arial"/>
          <w:sz w:val="20"/>
          <w:szCs w:val="20"/>
          <w:lang w:val="fr-FR"/>
        </w:rPr>
        <w:t>Appuyer le développement / l’adaptation des canaux d’évacuation d’eau de surface</w:t>
      </w:r>
      <w:r w:rsidR="00B7222E" w:rsidRPr="00B7222E">
        <w:rPr>
          <w:rFonts w:cs="Arial"/>
          <w:sz w:val="20"/>
          <w:szCs w:val="20"/>
          <w:lang w:val="fr-FR"/>
        </w:rPr>
        <w:t xml:space="preserve"> </w:t>
      </w:r>
      <w:r w:rsidRPr="00B7222E">
        <w:rPr>
          <w:rFonts w:cs="Arial"/>
          <w:sz w:val="20"/>
          <w:szCs w:val="20"/>
          <w:lang w:val="fr-FR"/>
        </w:rPr>
        <w:t>(*)</w:t>
      </w:r>
    </w:p>
    <w:p w14:paraId="3968334F" w14:textId="77777777" w:rsidR="007B356D" w:rsidRPr="00B7222E" w:rsidRDefault="007B356D" w:rsidP="00393CA8">
      <w:pPr>
        <w:numPr>
          <w:ilvl w:val="0"/>
          <w:numId w:val="47"/>
        </w:numPr>
        <w:spacing w:after="0" w:line="240" w:lineRule="auto"/>
        <w:ind w:left="360"/>
        <w:contextualSpacing/>
        <w:rPr>
          <w:rFonts w:cs="Arial"/>
          <w:sz w:val="20"/>
          <w:szCs w:val="20"/>
          <w:lang w:val="fr-FR"/>
        </w:rPr>
      </w:pPr>
      <w:r w:rsidRPr="00B7222E">
        <w:rPr>
          <w:rFonts w:cs="Arial"/>
          <w:sz w:val="20"/>
          <w:szCs w:val="20"/>
          <w:lang w:val="fr-FR"/>
        </w:rPr>
        <w:t xml:space="preserve">Appuyer la révision des normes des contrôles techniques des véhicules en faveur de </w:t>
      </w:r>
      <w:r w:rsidR="00B7222E" w:rsidRPr="00B7222E">
        <w:rPr>
          <w:rFonts w:cs="Arial"/>
          <w:sz w:val="20"/>
          <w:szCs w:val="20"/>
          <w:lang w:val="fr-FR"/>
        </w:rPr>
        <w:t>la réduction</w:t>
      </w:r>
      <w:r w:rsidRPr="00B7222E">
        <w:rPr>
          <w:rFonts w:cs="Arial"/>
          <w:sz w:val="20"/>
          <w:szCs w:val="20"/>
          <w:lang w:val="fr-FR"/>
        </w:rPr>
        <w:t xml:space="preserve"> des pollutions</w:t>
      </w:r>
      <w:r w:rsidR="00B7222E" w:rsidRPr="00B7222E">
        <w:rPr>
          <w:rFonts w:cs="Arial"/>
          <w:sz w:val="20"/>
          <w:szCs w:val="20"/>
          <w:lang w:val="fr-FR"/>
        </w:rPr>
        <w:t xml:space="preserve"> </w:t>
      </w:r>
      <w:r w:rsidRPr="00B7222E">
        <w:rPr>
          <w:rFonts w:cs="Arial"/>
          <w:sz w:val="20"/>
          <w:szCs w:val="20"/>
          <w:lang w:val="fr-FR"/>
        </w:rPr>
        <w:t>(*)</w:t>
      </w:r>
    </w:p>
    <w:p w14:paraId="6D851ECF" w14:textId="77777777" w:rsidR="007B356D" w:rsidRPr="00B7222E" w:rsidRDefault="007B356D" w:rsidP="00393CA8">
      <w:pPr>
        <w:numPr>
          <w:ilvl w:val="0"/>
          <w:numId w:val="47"/>
        </w:numPr>
        <w:spacing w:after="0" w:line="240" w:lineRule="auto"/>
        <w:ind w:left="360"/>
        <w:contextualSpacing/>
        <w:rPr>
          <w:rFonts w:cs="Arial"/>
          <w:sz w:val="20"/>
          <w:szCs w:val="20"/>
          <w:lang w:val="fr-FR"/>
        </w:rPr>
      </w:pPr>
      <w:r w:rsidRPr="00B7222E">
        <w:rPr>
          <w:rFonts w:cs="Arial"/>
          <w:sz w:val="20"/>
          <w:szCs w:val="20"/>
          <w:lang w:val="fr-FR"/>
        </w:rPr>
        <w:t>Inclure systématiquement dans les projets d’aide au développement une ligne budgétaire pour l’assainissement des effluents liquides et solides du projet (*)</w:t>
      </w:r>
    </w:p>
    <w:p w14:paraId="26FBE57C" w14:textId="77777777" w:rsidR="007B356D" w:rsidRPr="00B7222E" w:rsidRDefault="007B356D" w:rsidP="00262273">
      <w:pPr>
        <w:numPr>
          <w:ilvl w:val="0"/>
          <w:numId w:val="47"/>
        </w:numPr>
        <w:spacing w:after="0" w:line="240" w:lineRule="auto"/>
        <w:contextualSpacing/>
        <w:rPr>
          <w:rFonts w:cs="Arial"/>
          <w:sz w:val="20"/>
          <w:szCs w:val="20"/>
          <w:lang w:val="fr-FR"/>
        </w:rPr>
      </w:pPr>
      <w:r w:rsidRPr="00A02048">
        <w:rPr>
          <w:rFonts w:cs="Arial"/>
          <w:sz w:val="20"/>
          <w:szCs w:val="20"/>
          <w:lang w:val="fr-FR"/>
        </w:rPr>
        <w:t xml:space="preserve">Associer aux projets routiers des projets </w:t>
      </w:r>
      <w:r w:rsidR="00262273" w:rsidRPr="00A02048">
        <w:rPr>
          <w:rFonts w:cs="Arial"/>
          <w:sz w:val="20"/>
          <w:szCs w:val="20"/>
          <w:lang w:val="fr-FR"/>
        </w:rPr>
        <w:t>de boisement et de reboisement (bois - énergie, bois de service, PFNL)</w:t>
      </w:r>
      <w:r w:rsidRPr="00B7222E">
        <w:rPr>
          <w:rFonts w:cs="Arial"/>
          <w:sz w:val="20"/>
          <w:szCs w:val="20"/>
          <w:lang w:val="fr-FR"/>
        </w:rPr>
        <w:t xml:space="preserve"> dans les villages en bord de route (*)</w:t>
      </w:r>
    </w:p>
    <w:p w14:paraId="289F8A4F" w14:textId="77777777" w:rsidR="007B356D" w:rsidRPr="00B7222E" w:rsidRDefault="007B356D" w:rsidP="00393CA8">
      <w:pPr>
        <w:numPr>
          <w:ilvl w:val="0"/>
          <w:numId w:val="47"/>
        </w:numPr>
        <w:spacing w:after="0" w:line="240" w:lineRule="auto"/>
        <w:ind w:left="360"/>
        <w:contextualSpacing/>
        <w:rPr>
          <w:rFonts w:eastAsia="Calibri" w:cs="Arial"/>
          <w:sz w:val="20"/>
          <w:szCs w:val="20"/>
          <w:lang w:val="fr-FR" w:eastAsia="fr-FR"/>
        </w:rPr>
      </w:pPr>
      <w:r w:rsidRPr="00B7222E">
        <w:rPr>
          <w:rFonts w:cs="Arial"/>
          <w:sz w:val="20"/>
          <w:szCs w:val="20"/>
          <w:lang w:val="fr-FR"/>
        </w:rPr>
        <w:t>Inclure systématiquement dans les projets d’aide au développement une ligne budgétaire pour l’assainissement des effluents liquides et solides du projet. (*)</w:t>
      </w:r>
    </w:p>
    <w:p w14:paraId="0B89BE63" w14:textId="77777777" w:rsidR="007B356D" w:rsidRPr="00B7222E" w:rsidRDefault="007B356D" w:rsidP="007B356D">
      <w:pPr>
        <w:spacing w:after="0" w:line="240" w:lineRule="auto"/>
        <w:ind w:left="360"/>
        <w:contextualSpacing/>
        <w:rPr>
          <w:rFonts w:eastAsia="Calibri" w:cs="Arial"/>
          <w:sz w:val="20"/>
          <w:szCs w:val="20"/>
          <w:lang w:val="fr-FR" w:eastAsia="fr-FR"/>
        </w:rPr>
      </w:pPr>
    </w:p>
    <w:p w14:paraId="3E598C98" w14:textId="77777777" w:rsidR="007B356D" w:rsidRPr="00B7222E" w:rsidRDefault="007B356D" w:rsidP="007B356D">
      <w:pPr>
        <w:spacing w:after="0" w:line="240" w:lineRule="auto"/>
        <w:rPr>
          <w:rFonts w:eastAsia="Calibri" w:cs="Arial"/>
          <w:sz w:val="20"/>
          <w:szCs w:val="20"/>
          <w:lang w:val="fr-FR" w:eastAsia="fr-FR"/>
        </w:rPr>
      </w:pPr>
      <w:r w:rsidRPr="00B7222E">
        <w:rPr>
          <w:rFonts w:eastAsia="Calibri" w:cs="Arial"/>
          <w:sz w:val="20"/>
          <w:szCs w:val="20"/>
          <w:lang w:val="fr-FR" w:eastAsia="fr-FR"/>
        </w:rPr>
        <w:t>Recommandations du PEP 2014,  toujours valables et  d’actualité :</w:t>
      </w:r>
    </w:p>
    <w:p w14:paraId="0C7378A4" w14:textId="77777777" w:rsidR="007B356D" w:rsidRPr="00B7222E" w:rsidRDefault="007B356D" w:rsidP="007B356D">
      <w:pPr>
        <w:spacing w:after="0" w:line="240" w:lineRule="auto"/>
        <w:rPr>
          <w:rFonts w:cs="Arial"/>
          <w:sz w:val="16"/>
          <w:szCs w:val="16"/>
          <w:lang w:val="fr-FR"/>
        </w:rPr>
      </w:pPr>
    </w:p>
    <w:p w14:paraId="44E7E1C0" w14:textId="77777777" w:rsidR="007B356D" w:rsidRPr="007B356D" w:rsidRDefault="007B356D" w:rsidP="00393CA8">
      <w:pPr>
        <w:numPr>
          <w:ilvl w:val="0"/>
          <w:numId w:val="65"/>
        </w:numPr>
        <w:spacing w:after="0" w:line="240" w:lineRule="auto"/>
        <w:contextualSpacing/>
        <w:rPr>
          <w:rFonts w:cs="Arial"/>
          <w:sz w:val="20"/>
          <w:szCs w:val="20"/>
          <w:lang w:val="fr-FR"/>
        </w:rPr>
      </w:pPr>
      <w:r w:rsidRPr="007B356D">
        <w:rPr>
          <w:rFonts w:cs="Arial"/>
          <w:sz w:val="20"/>
          <w:szCs w:val="20"/>
          <w:lang w:val="fr-FR"/>
        </w:rPr>
        <w:t xml:space="preserve">Insérer dans les programmes d’urgence de réhabilitation des régions du Nord et de réduction des disparités régionales les actions environnementales locales, concrètes et créatrices d’emploi local (HIMO) en favorisant la responsabilisation des acteurs locaux à travers : </w:t>
      </w:r>
    </w:p>
    <w:p w14:paraId="0ECC691B" w14:textId="77777777" w:rsidR="007B356D" w:rsidRPr="007B356D" w:rsidRDefault="007B356D" w:rsidP="00393CA8">
      <w:pPr>
        <w:numPr>
          <w:ilvl w:val="1"/>
          <w:numId w:val="65"/>
        </w:numPr>
        <w:spacing w:after="0" w:line="240" w:lineRule="auto"/>
        <w:ind w:left="851" w:hanging="425"/>
        <w:contextualSpacing/>
        <w:rPr>
          <w:rFonts w:cs="Arial"/>
          <w:sz w:val="20"/>
          <w:szCs w:val="20"/>
          <w:lang w:val="fr-FR"/>
        </w:rPr>
      </w:pPr>
      <w:r w:rsidRPr="007B356D">
        <w:rPr>
          <w:rFonts w:cs="Arial"/>
          <w:sz w:val="20"/>
          <w:szCs w:val="20"/>
          <w:lang w:val="fr-FR"/>
        </w:rPr>
        <w:t>la réalisation et l’entretien de mesures environnementales de compensation (p.ex. reboisement) des grandes infrastructures (routes, barrages, etc.) </w:t>
      </w:r>
    </w:p>
    <w:p w14:paraId="52E8E8EE" w14:textId="77777777" w:rsidR="007B356D" w:rsidRPr="007B356D" w:rsidRDefault="007B356D" w:rsidP="00393CA8">
      <w:pPr>
        <w:numPr>
          <w:ilvl w:val="0"/>
          <w:numId w:val="65"/>
        </w:numPr>
        <w:spacing w:after="0" w:line="240" w:lineRule="auto"/>
        <w:contextualSpacing/>
        <w:rPr>
          <w:rFonts w:cs="Arial"/>
          <w:sz w:val="20"/>
          <w:szCs w:val="20"/>
          <w:lang w:val="fr-FR"/>
        </w:rPr>
      </w:pPr>
      <w:r w:rsidRPr="007B356D">
        <w:rPr>
          <w:rFonts w:cs="Arial"/>
          <w:sz w:val="20"/>
          <w:szCs w:val="20"/>
          <w:lang w:val="fr-FR"/>
        </w:rPr>
        <w:t>Promouvoir et appuyer les mécanismes de planification et de concertation, coordination et de coopération intersectoriels aux niveaux régional et communal et créer des liens forts et une coopération étroite entre les structures du MEADD et les chargés de la planification spatiale d’aménagement du territoire dans le but d’un développement intégré, durable et harmonisé</w:t>
      </w:r>
      <w:r w:rsidRPr="007B356D">
        <w:rPr>
          <w:rFonts w:cs="Arial"/>
          <w:color w:val="FF0000"/>
          <w:sz w:val="20"/>
          <w:szCs w:val="20"/>
          <w:lang w:val="fr-FR"/>
        </w:rPr>
        <w:t>.</w:t>
      </w:r>
    </w:p>
    <w:p w14:paraId="4C3CCE2C" w14:textId="77777777" w:rsidR="007B356D" w:rsidRPr="007B356D" w:rsidRDefault="007B356D" w:rsidP="00393CA8">
      <w:pPr>
        <w:numPr>
          <w:ilvl w:val="0"/>
          <w:numId w:val="65"/>
        </w:numPr>
        <w:spacing w:after="0" w:line="240" w:lineRule="auto"/>
        <w:contextualSpacing/>
        <w:rPr>
          <w:rFonts w:cs="Arial"/>
          <w:sz w:val="20"/>
          <w:szCs w:val="20"/>
          <w:lang w:val="fr-FR"/>
        </w:rPr>
      </w:pPr>
      <w:r w:rsidRPr="007B356D">
        <w:rPr>
          <w:rFonts w:cs="Arial"/>
          <w:sz w:val="20"/>
          <w:szCs w:val="20"/>
          <w:lang w:val="fr-FR"/>
        </w:rPr>
        <w:t xml:space="preserve">Inclure l’écoconception (utilisation rationnelle de l’eau, de l’énergie, de la terre, construction sans bois, etc.) dans tous les programmes de développement des infrastructures rurales </w:t>
      </w:r>
    </w:p>
    <w:p w14:paraId="53BE5469" w14:textId="77777777" w:rsidR="007B356D" w:rsidRPr="007B356D" w:rsidRDefault="007B356D" w:rsidP="00393CA8">
      <w:pPr>
        <w:numPr>
          <w:ilvl w:val="0"/>
          <w:numId w:val="65"/>
        </w:numPr>
        <w:spacing w:after="0" w:line="240" w:lineRule="auto"/>
        <w:contextualSpacing/>
        <w:rPr>
          <w:rFonts w:cs="Arial"/>
          <w:sz w:val="20"/>
          <w:szCs w:val="20"/>
          <w:lang w:val="fr-FR"/>
        </w:rPr>
      </w:pPr>
      <w:r w:rsidRPr="007B356D">
        <w:rPr>
          <w:rFonts w:cs="Arial"/>
          <w:sz w:val="20"/>
          <w:szCs w:val="20"/>
          <w:lang w:val="fr-FR"/>
        </w:rPr>
        <w:t>Renforcer la mise en œuvre des Schémas d’Aménagement du Territoire (SAT) incluant la dimension environnementale dans le cadre des mesures d’accompagnement.</w:t>
      </w:r>
    </w:p>
    <w:p w14:paraId="47B92599" w14:textId="77777777" w:rsidR="007B356D" w:rsidRPr="007B356D" w:rsidRDefault="007B356D" w:rsidP="00393CA8">
      <w:pPr>
        <w:numPr>
          <w:ilvl w:val="0"/>
          <w:numId w:val="65"/>
        </w:numPr>
        <w:spacing w:after="0" w:line="240" w:lineRule="auto"/>
        <w:contextualSpacing/>
        <w:rPr>
          <w:rFonts w:cs="Arial"/>
          <w:sz w:val="20"/>
          <w:szCs w:val="20"/>
          <w:lang w:val="fr-FR"/>
        </w:rPr>
      </w:pPr>
      <w:r w:rsidRPr="007B356D">
        <w:rPr>
          <w:rFonts w:cs="Arial"/>
          <w:sz w:val="20"/>
          <w:szCs w:val="20"/>
          <w:lang w:val="fr-FR"/>
        </w:rPr>
        <w:t>Inscrire et budgétiser la mise en œuvre des plans d’atténuation, de compensation et les Plans de Gestion Environnemental et Social (PGES) des grands projets d’infrastructure dans la contribution du PTF.</w:t>
      </w:r>
    </w:p>
    <w:p w14:paraId="24E4362D" w14:textId="77777777" w:rsidR="007B356D" w:rsidRPr="007B356D" w:rsidRDefault="007B356D" w:rsidP="00393CA8">
      <w:pPr>
        <w:numPr>
          <w:ilvl w:val="0"/>
          <w:numId w:val="65"/>
        </w:numPr>
        <w:spacing w:after="0" w:line="240" w:lineRule="auto"/>
        <w:contextualSpacing/>
        <w:rPr>
          <w:rFonts w:cs="Arial"/>
          <w:sz w:val="20"/>
          <w:szCs w:val="20"/>
          <w:lang w:val="fr-FR"/>
        </w:rPr>
      </w:pPr>
      <w:r w:rsidRPr="007B356D">
        <w:rPr>
          <w:rFonts w:cs="Arial"/>
          <w:sz w:val="20"/>
          <w:szCs w:val="20"/>
          <w:lang w:val="fr-FR"/>
        </w:rPr>
        <w:t>Réaliser et poursuivre les études d’évaluation ex-post (plusieurs années après la réalisation) des projets routiers déjà inscrits et budgétisés dans le 10</w:t>
      </w:r>
      <w:r w:rsidRPr="007B356D">
        <w:rPr>
          <w:rFonts w:cs="Arial"/>
          <w:sz w:val="20"/>
          <w:szCs w:val="20"/>
          <w:vertAlign w:val="superscript"/>
          <w:lang w:val="fr-FR"/>
        </w:rPr>
        <w:t>ème</w:t>
      </w:r>
      <w:r w:rsidRPr="007B356D">
        <w:rPr>
          <w:rFonts w:cs="Arial"/>
          <w:sz w:val="20"/>
          <w:szCs w:val="20"/>
          <w:lang w:val="fr-FR"/>
        </w:rPr>
        <w:t xml:space="preserve"> FED, mais pas réalisés à cause de la crise.</w:t>
      </w:r>
    </w:p>
    <w:p w14:paraId="61FF1CC9" w14:textId="77777777" w:rsidR="007B356D" w:rsidRPr="007B356D" w:rsidRDefault="007B356D" w:rsidP="007B356D">
      <w:pPr>
        <w:spacing w:after="0" w:line="240" w:lineRule="auto"/>
        <w:ind w:left="540"/>
        <w:contextualSpacing/>
        <w:rPr>
          <w:rFonts w:cs="Arial"/>
          <w:sz w:val="16"/>
          <w:szCs w:val="16"/>
          <w:lang w:val="fr-FR"/>
        </w:rPr>
      </w:pPr>
    </w:p>
    <w:p w14:paraId="13002CF4" w14:textId="77777777" w:rsidR="007B356D" w:rsidRPr="007B356D" w:rsidRDefault="007B356D" w:rsidP="00393CA8">
      <w:pPr>
        <w:widowControl w:val="0"/>
        <w:numPr>
          <w:ilvl w:val="0"/>
          <w:numId w:val="65"/>
        </w:numPr>
        <w:adjustRightInd w:val="0"/>
        <w:spacing w:after="0" w:line="240" w:lineRule="auto"/>
        <w:textAlignment w:val="baseline"/>
        <w:rPr>
          <w:rFonts w:eastAsia="SimSun" w:cs="Arial"/>
          <w:sz w:val="20"/>
          <w:szCs w:val="20"/>
          <w:lang w:val="fr-FR" w:eastAsia="zh-CN"/>
        </w:rPr>
      </w:pPr>
      <w:r w:rsidRPr="007B356D">
        <w:rPr>
          <w:rFonts w:eastAsia="SimSun" w:cs="Arial"/>
          <w:sz w:val="20"/>
          <w:szCs w:val="20"/>
          <w:lang w:val="fr-FR" w:eastAsia="zh-CN"/>
        </w:rPr>
        <w:t xml:space="preserve">Renforcer la </w:t>
      </w:r>
      <w:r w:rsidRPr="007B356D">
        <w:rPr>
          <w:rFonts w:eastAsia="SimSun" w:cs="Arial"/>
          <w:sz w:val="20"/>
          <w:szCs w:val="20"/>
          <w:u w:val="single"/>
          <w:lang w:val="fr-FR" w:eastAsia="zh-CN"/>
        </w:rPr>
        <w:t>sensibilisation et l’information</w:t>
      </w:r>
      <w:r w:rsidRPr="007B356D">
        <w:rPr>
          <w:rFonts w:eastAsia="SimSun" w:cs="Arial"/>
          <w:sz w:val="20"/>
          <w:szCs w:val="20"/>
          <w:lang w:val="fr-FR" w:eastAsia="zh-CN"/>
        </w:rPr>
        <w:t xml:space="preserve"> de tous les acteurs sur les questions environnementales pour mieux développer une culture environnementale et modifier les comportements (écocitoyenneté). Ceci doit inclure :</w:t>
      </w:r>
    </w:p>
    <w:p w14:paraId="08C94FA1" w14:textId="77777777" w:rsidR="007B356D" w:rsidRPr="007B356D" w:rsidRDefault="007B356D" w:rsidP="00393CA8">
      <w:pPr>
        <w:widowControl w:val="0"/>
        <w:numPr>
          <w:ilvl w:val="1"/>
          <w:numId w:val="65"/>
        </w:numPr>
        <w:adjustRightInd w:val="0"/>
        <w:spacing w:after="0" w:line="240" w:lineRule="auto"/>
        <w:ind w:left="851" w:hanging="425"/>
        <w:textAlignment w:val="baseline"/>
        <w:rPr>
          <w:rFonts w:eastAsia="SimSun" w:cs="Arial"/>
          <w:sz w:val="20"/>
          <w:szCs w:val="20"/>
          <w:lang w:val="fr-FR" w:eastAsia="zh-CN"/>
        </w:rPr>
      </w:pPr>
      <w:r w:rsidRPr="007B356D">
        <w:rPr>
          <w:rFonts w:eastAsia="SimSun" w:cs="Arial"/>
          <w:sz w:val="20"/>
          <w:szCs w:val="20"/>
          <w:lang w:val="fr-FR" w:eastAsia="zh-CN"/>
        </w:rPr>
        <w:t>la formation et l’accompagnement de l’ensemble des acteurs, et notamment des communes à la prise en compte transversale de l’environnement et aux actions concrètes, simples et réalisables à leur niveau. Cet accompagnement des communes pourrait être fait par les  services techniques déconcentrés ou pourrait être assuré sous forme de contrats de prestation de service avec les ONG, bureaux d’études, institutions spécialisées … dans le cadre d’appui au processus de la décentralisation.</w:t>
      </w:r>
    </w:p>
    <w:p w14:paraId="2E0095CD" w14:textId="77777777" w:rsidR="007B356D" w:rsidRPr="007B356D" w:rsidRDefault="007B356D" w:rsidP="00393CA8">
      <w:pPr>
        <w:widowControl w:val="0"/>
        <w:numPr>
          <w:ilvl w:val="1"/>
          <w:numId w:val="65"/>
        </w:numPr>
        <w:adjustRightInd w:val="0"/>
        <w:spacing w:after="0" w:line="240" w:lineRule="auto"/>
        <w:ind w:left="851" w:hanging="425"/>
        <w:textAlignment w:val="baseline"/>
        <w:rPr>
          <w:rFonts w:eastAsia="SimSun" w:cs="Arial"/>
          <w:sz w:val="20"/>
          <w:szCs w:val="20"/>
          <w:lang w:val="fr-FR" w:eastAsia="zh-CN"/>
        </w:rPr>
      </w:pPr>
      <w:r w:rsidRPr="007B356D">
        <w:rPr>
          <w:rFonts w:eastAsia="SimSun" w:cs="Arial"/>
          <w:sz w:val="20"/>
          <w:szCs w:val="20"/>
          <w:lang w:val="fr-FR" w:eastAsia="zh-CN"/>
        </w:rPr>
        <w:t>Renforcer les efforts de professionnalisation et d’organisation du secteur informel en intégrant la dimension environnementale selon les domaines dans les formations (p.ex. orpailleurs, transporteurs de routes, commerçants,…)</w:t>
      </w:r>
    </w:p>
    <w:p w14:paraId="677FA9CB" w14:textId="77777777" w:rsidR="007B356D" w:rsidRPr="007B356D" w:rsidRDefault="007B356D" w:rsidP="007B356D">
      <w:pPr>
        <w:widowControl w:val="0"/>
        <w:adjustRightInd w:val="0"/>
        <w:spacing w:after="0" w:line="240" w:lineRule="auto"/>
        <w:ind w:left="732"/>
        <w:textAlignment w:val="baseline"/>
        <w:rPr>
          <w:rFonts w:eastAsia="SimSun" w:cs="Arial"/>
          <w:sz w:val="16"/>
          <w:szCs w:val="16"/>
          <w:lang w:val="fr-FR" w:eastAsia="zh-CN"/>
        </w:rPr>
      </w:pPr>
    </w:p>
    <w:p w14:paraId="27A1C629" w14:textId="77777777" w:rsidR="007B356D" w:rsidRPr="007B356D" w:rsidRDefault="007B356D" w:rsidP="007B356D">
      <w:pPr>
        <w:spacing w:after="0" w:line="240" w:lineRule="auto"/>
        <w:rPr>
          <w:rFonts w:eastAsia="SimSun" w:cs="Arial"/>
          <w:sz w:val="20"/>
          <w:szCs w:val="20"/>
          <w:u w:val="single"/>
          <w:lang w:val="fr-FR" w:eastAsia="zh-CN"/>
        </w:rPr>
      </w:pPr>
      <w:r w:rsidRPr="007B356D">
        <w:rPr>
          <w:rFonts w:cs="Arial"/>
          <w:sz w:val="20"/>
          <w:szCs w:val="20"/>
          <w:u w:val="single"/>
          <w:lang w:val="fr-FR" w:eastAsia="zh-CN"/>
        </w:rPr>
        <w:t>Suivi environnemental spécifique de la CE (11</w:t>
      </w:r>
      <w:r w:rsidRPr="007B356D">
        <w:rPr>
          <w:rFonts w:cs="Arial"/>
          <w:sz w:val="20"/>
          <w:szCs w:val="20"/>
          <w:u w:val="single"/>
          <w:vertAlign w:val="superscript"/>
          <w:lang w:val="fr-FR" w:eastAsia="zh-CN"/>
        </w:rPr>
        <w:t>ème</w:t>
      </w:r>
      <w:r w:rsidRPr="007B356D">
        <w:rPr>
          <w:rFonts w:cs="Arial"/>
          <w:sz w:val="20"/>
          <w:szCs w:val="20"/>
          <w:u w:val="single"/>
          <w:lang w:val="fr-FR" w:eastAsia="zh-CN"/>
        </w:rPr>
        <w:t xml:space="preserve"> FED), </w:t>
      </w:r>
      <w:r w:rsidRPr="007B356D">
        <w:rPr>
          <w:rFonts w:eastAsia="SimSun" w:cs="Arial"/>
          <w:sz w:val="20"/>
          <w:szCs w:val="20"/>
          <w:u w:val="single"/>
          <w:lang w:val="fr-FR" w:eastAsia="zh-CN"/>
        </w:rPr>
        <w:t xml:space="preserve">Secteur routier </w:t>
      </w:r>
    </w:p>
    <w:p w14:paraId="043BDE93" w14:textId="77777777" w:rsidR="007B356D" w:rsidRPr="007B356D" w:rsidRDefault="007B356D" w:rsidP="007B356D">
      <w:pPr>
        <w:widowControl w:val="0"/>
        <w:adjustRightInd w:val="0"/>
        <w:spacing w:after="0" w:line="240" w:lineRule="auto"/>
        <w:textAlignment w:val="baseline"/>
        <w:rPr>
          <w:rFonts w:eastAsia="SimSun" w:cs="Arial"/>
          <w:sz w:val="16"/>
          <w:szCs w:val="16"/>
          <w:lang w:val="fr-FR" w:eastAsia="zh-CN"/>
        </w:rPr>
      </w:pPr>
    </w:p>
    <w:p w14:paraId="07D6726A" w14:textId="77777777" w:rsidR="007B356D" w:rsidRPr="007B356D" w:rsidRDefault="007B356D" w:rsidP="007B356D">
      <w:pPr>
        <w:widowControl w:val="0"/>
        <w:adjustRightInd w:val="0"/>
        <w:spacing w:after="0" w:line="240" w:lineRule="auto"/>
        <w:textAlignment w:val="baseline"/>
        <w:rPr>
          <w:rFonts w:eastAsia="SimSun" w:cs="Arial"/>
          <w:sz w:val="20"/>
          <w:szCs w:val="20"/>
          <w:lang w:val="fr-FR" w:eastAsia="zh-CN"/>
        </w:rPr>
      </w:pPr>
      <w:r w:rsidRPr="007B356D">
        <w:rPr>
          <w:rFonts w:eastAsia="SimSun" w:cs="Arial"/>
          <w:sz w:val="20"/>
          <w:szCs w:val="20"/>
          <w:lang w:val="fr-FR" w:eastAsia="zh-CN"/>
        </w:rPr>
        <w:t>Insérer les indicateurs synthétiques préconisés par l’EES de 2008 :</w:t>
      </w:r>
    </w:p>
    <w:p w14:paraId="48F00B26" w14:textId="77777777" w:rsidR="007B356D" w:rsidRPr="007B356D" w:rsidRDefault="007B356D" w:rsidP="007B356D">
      <w:pPr>
        <w:widowControl w:val="0"/>
        <w:numPr>
          <w:ilvl w:val="0"/>
          <w:numId w:val="4"/>
        </w:numPr>
        <w:adjustRightInd w:val="0"/>
        <w:spacing w:after="0" w:line="240" w:lineRule="auto"/>
        <w:contextualSpacing/>
        <w:textAlignment w:val="baseline"/>
        <w:rPr>
          <w:rFonts w:eastAsia="SimSun" w:cs="Arial"/>
          <w:sz w:val="20"/>
          <w:szCs w:val="20"/>
          <w:lang w:val="fr-FR" w:eastAsia="zh-CN"/>
        </w:rPr>
      </w:pPr>
      <w:r w:rsidRPr="007B356D">
        <w:rPr>
          <w:rFonts w:eastAsia="SimSun" w:cs="Arial"/>
          <w:sz w:val="20"/>
          <w:szCs w:val="20"/>
          <w:lang w:val="fr-FR" w:eastAsia="zh-CN"/>
        </w:rPr>
        <w:t>Evolution du trafic routier par axe (nombre de véhicules et par nature de véhicules, en tonnages et par natures de biens transportés).</w:t>
      </w:r>
    </w:p>
    <w:p w14:paraId="3BE884F3" w14:textId="77777777" w:rsidR="007B356D" w:rsidRPr="007B356D" w:rsidRDefault="007B356D" w:rsidP="007B356D">
      <w:pPr>
        <w:widowControl w:val="0"/>
        <w:numPr>
          <w:ilvl w:val="0"/>
          <w:numId w:val="4"/>
        </w:numPr>
        <w:adjustRightInd w:val="0"/>
        <w:spacing w:after="0" w:line="240" w:lineRule="auto"/>
        <w:contextualSpacing/>
        <w:textAlignment w:val="baseline"/>
        <w:rPr>
          <w:rFonts w:eastAsia="SimSun" w:cs="Arial"/>
          <w:sz w:val="20"/>
          <w:szCs w:val="20"/>
          <w:lang w:val="fr-FR" w:eastAsia="zh-CN"/>
        </w:rPr>
      </w:pPr>
      <w:r w:rsidRPr="007B356D">
        <w:rPr>
          <w:rFonts w:eastAsia="SimSun" w:cs="Arial"/>
          <w:sz w:val="20"/>
          <w:szCs w:val="20"/>
          <w:lang w:val="fr-FR" w:eastAsia="zh-CN"/>
        </w:rPr>
        <w:t>Nombre de PGES mis en œuvre et niveau d’entretien des infrastructures de transport.</w:t>
      </w:r>
    </w:p>
    <w:p w14:paraId="62413771" w14:textId="77777777" w:rsidR="007B356D" w:rsidRPr="007B356D" w:rsidRDefault="007B356D" w:rsidP="007B356D">
      <w:pPr>
        <w:widowControl w:val="0"/>
        <w:numPr>
          <w:ilvl w:val="0"/>
          <w:numId w:val="4"/>
        </w:numPr>
        <w:adjustRightInd w:val="0"/>
        <w:spacing w:after="0" w:line="240" w:lineRule="auto"/>
        <w:contextualSpacing/>
        <w:textAlignment w:val="baseline"/>
        <w:rPr>
          <w:rFonts w:eastAsia="SimSun" w:cs="Arial"/>
          <w:sz w:val="20"/>
          <w:szCs w:val="20"/>
          <w:lang w:val="fr-FR" w:eastAsia="zh-CN"/>
        </w:rPr>
      </w:pPr>
      <w:r w:rsidRPr="007B356D">
        <w:rPr>
          <w:rFonts w:eastAsia="SimSun" w:cs="Arial"/>
          <w:sz w:val="20"/>
          <w:szCs w:val="20"/>
          <w:lang w:val="fr-FR" w:eastAsia="zh-CN"/>
        </w:rPr>
        <w:t>Mesure de l’exode rural par le suivi des soldes migratoires régionaux et sous régionaux (au niveau des régions et des cercles) et des densités de population (exploitation des recensements et des enquêtes démographiques).</w:t>
      </w:r>
    </w:p>
    <w:p w14:paraId="7AF8C9BB" w14:textId="77777777" w:rsidR="007B356D" w:rsidRPr="007B356D" w:rsidRDefault="007B356D" w:rsidP="007B356D">
      <w:pPr>
        <w:widowControl w:val="0"/>
        <w:numPr>
          <w:ilvl w:val="0"/>
          <w:numId w:val="4"/>
        </w:numPr>
        <w:adjustRightInd w:val="0"/>
        <w:spacing w:after="0" w:line="240" w:lineRule="auto"/>
        <w:contextualSpacing/>
        <w:textAlignment w:val="baseline"/>
        <w:rPr>
          <w:rFonts w:eastAsia="SimSun" w:cs="Arial"/>
          <w:sz w:val="20"/>
          <w:szCs w:val="20"/>
          <w:lang w:val="fr-FR" w:eastAsia="zh-CN"/>
        </w:rPr>
      </w:pPr>
      <w:r w:rsidRPr="007B356D">
        <w:rPr>
          <w:rFonts w:eastAsia="SimSun" w:cs="Arial"/>
          <w:sz w:val="20"/>
          <w:szCs w:val="20"/>
          <w:lang w:val="fr-FR" w:eastAsia="zh-CN"/>
        </w:rPr>
        <w:t>Suivi du nombre de conflits entre agriculteurs et éleveurs.</w:t>
      </w:r>
    </w:p>
    <w:p w14:paraId="3560096A" w14:textId="77777777" w:rsidR="007B356D" w:rsidRPr="007B356D" w:rsidRDefault="007B356D" w:rsidP="007B356D">
      <w:pPr>
        <w:widowControl w:val="0"/>
        <w:numPr>
          <w:ilvl w:val="0"/>
          <w:numId w:val="4"/>
        </w:numPr>
        <w:adjustRightInd w:val="0"/>
        <w:spacing w:after="0" w:line="240" w:lineRule="auto"/>
        <w:contextualSpacing/>
        <w:textAlignment w:val="baseline"/>
        <w:rPr>
          <w:rFonts w:eastAsia="SimSun" w:cs="Arial"/>
          <w:sz w:val="20"/>
          <w:szCs w:val="20"/>
          <w:lang w:val="fr-FR" w:eastAsia="zh-CN"/>
        </w:rPr>
      </w:pPr>
      <w:r w:rsidRPr="007B356D">
        <w:rPr>
          <w:rFonts w:eastAsia="SimSun" w:cs="Arial"/>
          <w:sz w:val="20"/>
          <w:szCs w:val="20"/>
          <w:lang w:val="fr-FR" w:eastAsia="zh-CN"/>
        </w:rPr>
        <w:t>Nombre de schémas directeurs et de plan d’aménagement produits à différentes échelles (régions, cercles, communes rurales) et superficies réelles sous aménagement.</w:t>
      </w:r>
    </w:p>
    <w:p w14:paraId="4055F25D" w14:textId="77777777" w:rsidR="007B356D" w:rsidRPr="007B356D" w:rsidRDefault="007B356D" w:rsidP="007B356D">
      <w:pPr>
        <w:widowControl w:val="0"/>
        <w:numPr>
          <w:ilvl w:val="0"/>
          <w:numId w:val="4"/>
        </w:numPr>
        <w:adjustRightInd w:val="0"/>
        <w:spacing w:after="0" w:line="240" w:lineRule="auto"/>
        <w:contextualSpacing/>
        <w:textAlignment w:val="baseline"/>
        <w:rPr>
          <w:rFonts w:eastAsia="SimSun" w:cs="Arial"/>
          <w:sz w:val="20"/>
          <w:szCs w:val="20"/>
          <w:lang w:val="fr-FR" w:eastAsia="zh-CN"/>
        </w:rPr>
      </w:pPr>
      <w:r w:rsidRPr="007B356D">
        <w:rPr>
          <w:rFonts w:eastAsia="SimSun" w:cs="Arial"/>
          <w:sz w:val="20"/>
          <w:szCs w:val="20"/>
          <w:lang w:val="fr-FR" w:eastAsia="zh-CN"/>
        </w:rPr>
        <w:t>Evolution des revenus dans les régions traversées.</w:t>
      </w:r>
    </w:p>
    <w:p w14:paraId="3C3F9EDF" w14:textId="77777777" w:rsidR="007B356D" w:rsidRPr="007B356D" w:rsidRDefault="007B356D" w:rsidP="007B356D">
      <w:pPr>
        <w:spacing w:after="200" w:line="276" w:lineRule="auto"/>
        <w:jc w:val="left"/>
        <w:rPr>
          <w:rFonts w:eastAsia="Calibri" w:cs="Arial"/>
          <w:b/>
          <w:bCs/>
          <w:color w:val="948A54" w:themeColor="background2" w:themeShade="80"/>
          <w:highlight w:val="yellow"/>
          <w:lang w:val="fr-FR" w:eastAsia="fr-FR"/>
        </w:rPr>
      </w:pPr>
      <w:r w:rsidRPr="007B356D">
        <w:rPr>
          <w:rFonts w:eastAsia="Calibri" w:cs="Arial"/>
          <w:b/>
          <w:bCs/>
          <w:color w:val="948A54" w:themeColor="background2" w:themeShade="80"/>
          <w:highlight w:val="yellow"/>
          <w:lang w:val="fr-FR" w:eastAsia="fr-FR"/>
        </w:rPr>
        <w:br w:type="page"/>
      </w:r>
    </w:p>
    <w:p w14:paraId="6FBE969E" w14:textId="77777777" w:rsidR="007B356D" w:rsidRPr="007B356D" w:rsidRDefault="007B356D" w:rsidP="007B356D">
      <w:pPr>
        <w:keepNext/>
        <w:keepLines/>
        <w:spacing w:before="200" w:after="0"/>
        <w:outlineLvl w:val="2"/>
        <w:rPr>
          <w:rFonts w:eastAsia="Calibri" w:cs="Arial"/>
          <w:b/>
          <w:bCs/>
          <w:color w:val="948A54" w:themeColor="background2" w:themeShade="80"/>
          <w:lang w:val="fr-FR" w:eastAsia="fr-FR"/>
        </w:rPr>
      </w:pPr>
      <w:bookmarkStart w:id="114" w:name="_Toc20505701"/>
      <w:r w:rsidRPr="00AA0443">
        <w:rPr>
          <w:rFonts w:eastAsia="Calibri" w:cs="Arial"/>
          <w:b/>
          <w:bCs/>
          <w:color w:val="948A54" w:themeColor="background2" w:themeShade="80"/>
          <w:lang w:val="fr-FR" w:eastAsia="fr-FR"/>
        </w:rPr>
        <w:lastRenderedPageBreak/>
        <w:t>7.3.5 Principales recommandations secteur ‘développement urbain’ (en cas d’un secteur spécifique dans le post 11</w:t>
      </w:r>
      <w:r w:rsidRPr="00AA0443">
        <w:rPr>
          <w:rFonts w:eastAsia="Calibri" w:cs="Arial"/>
          <w:b/>
          <w:bCs/>
          <w:color w:val="948A54" w:themeColor="background2" w:themeShade="80"/>
          <w:vertAlign w:val="superscript"/>
          <w:lang w:val="fr-FR" w:eastAsia="fr-FR"/>
        </w:rPr>
        <w:t>ème</w:t>
      </w:r>
      <w:r w:rsidRPr="00AA0443">
        <w:rPr>
          <w:rFonts w:eastAsia="Calibri" w:cs="Arial"/>
          <w:b/>
          <w:bCs/>
          <w:color w:val="948A54" w:themeColor="background2" w:themeShade="80"/>
          <w:lang w:val="fr-FR" w:eastAsia="fr-FR"/>
        </w:rPr>
        <w:t xml:space="preserve"> FED)</w:t>
      </w:r>
      <w:bookmarkEnd w:id="114"/>
    </w:p>
    <w:p w14:paraId="7DA521C8" w14:textId="77777777" w:rsidR="007B356D" w:rsidRPr="007B356D" w:rsidRDefault="007B356D" w:rsidP="007B356D">
      <w:pPr>
        <w:tabs>
          <w:tab w:val="left" w:pos="426"/>
        </w:tabs>
        <w:spacing w:after="0" w:line="240" w:lineRule="auto"/>
        <w:ind w:left="780"/>
        <w:contextualSpacing/>
        <w:rPr>
          <w:rFonts w:cs="Arial"/>
          <w:color w:val="C00000"/>
          <w:szCs w:val="24"/>
          <w:lang w:val="fr-FR"/>
        </w:rPr>
      </w:pPr>
    </w:p>
    <w:p w14:paraId="430DF58F" w14:textId="77777777" w:rsidR="007B356D" w:rsidRPr="00B7222E" w:rsidRDefault="007B356D" w:rsidP="00393CA8">
      <w:pPr>
        <w:numPr>
          <w:ilvl w:val="0"/>
          <w:numId w:val="50"/>
        </w:numPr>
        <w:tabs>
          <w:tab w:val="left" w:pos="426"/>
        </w:tabs>
        <w:spacing w:after="0" w:line="240" w:lineRule="auto"/>
        <w:contextualSpacing/>
        <w:rPr>
          <w:rFonts w:cs="Arial"/>
          <w:sz w:val="20"/>
          <w:szCs w:val="20"/>
          <w:lang w:val="fr-FR"/>
        </w:rPr>
      </w:pPr>
      <w:r w:rsidRPr="00B7222E">
        <w:rPr>
          <w:rFonts w:cs="Arial"/>
          <w:sz w:val="20"/>
          <w:szCs w:val="20"/>
          <w:lang w:val="fr-FR"/>
        </w:rPr>
        <w:t>Appuyer les efforts en cours pour l’élaboration du Schéma Directeur d’Urbanisme de l’agglomération de Bamako en incluant un appui technique pour résoudre les questions foncières et institutionnelles cruciales.(*)</w:t>
      </w:r>
    </w:p>
    <w:p w14:paraId="09924B31" w14:textId="77777777" w:rsidR="007B356D" w:rsidRPr="00B7222E" w:rsidRDefault="007B356D" w:rsidP="00393CA8">
      <w:pPr>
        <w:numPr>
          <w:ilvl w:val="0"/>
          <w:numId w:val="50"/>
        </w:numPr>
        <w:tabs>
          <w:tab w:val="left" w:pos="426"/>
        </w:tabs>
        <w:spacing w:after="0" w:line="240" w:lineRule="auto"/>
        <w:contextualSpacing/>
        <w:rPr>
          <w:rFonts w:cs="Arial"/>
          <w:sz w:val="20"/>
          <w:szCs w:val="20"/>
          <w:lang w:val="fr-FR"/>
        </w:rPr>
      </w:pPr>
      <w:r w:rsidRPr="00B7222E">
        <w:rPr>
          <w:rFonts w:cs="Arial"/>
          <w:sz w:val="20"/>
          <w:szCs w:val="20"/>
          <w:lang w:val="fr-FR"/>
        </w:rPr>
        <w:t>appuyer l’élaboration et la mise en œuvre du plan de circulation de Bamako.(*)</w:t>
      </w:r>
    </w:p>
    <w:p w14:paraId="4C5B3AEA" w14:textId="77777777" w:rsidR="007B356D" w:rsidRPr="00B7222E" w:rsidRDefault="007B356D" w:rsidP="00393CA8">
      <w:pPr>
        <w:numPr>
          <w:ilvl w:val="0"/>
          <w:numId w:val="50"/>
        </w:numPr>
        <w:tabs>
          <w:tab w:val="left" w:pos="426"/>
        </w:tabs>
        <w:spacing w:after="0" w:line="240" w:lineRule="auto"/>
        <w:contextualSpacing/>
        <w:rPr>
          <w:rFonts w:cs="Arial"/>
          <w:sz w:val="20"/>
          <w:szCs w:val="20"/>
          <w:lang w:val="fr-FR"/>
        </w:rPr>
      </w:pPr>
      <w:r w:rsidRPr="00B7222E">
        <w:rPr>
          <w:rFonts w:cs="Arial"/>
          <w:sz w:val="20"/>
          <w:szCs w:val="20"/>
          <w:lang w:val="fr-FR"/>
        </w:rPr>
        <w:t>Appuyer les filières intégrées d’assainissement (collecte, recyclage et dépôts de transit et final des déchets domestiques/industriels) et la mise en œuvre des actions techniques prioritaires (traitement/valorisation des boues de vidange, aménagement des dépôts transitoires)(*)</w:t>
      </w:r>
    </w:p>
    <w:p w14:paraId="62F011FA" w14:textId="77777777" w:rsidR="007B356D" w:rsidRPr="00B7222E" w:rsidRDefault="007B356D" w:rsidP="00393CA8">
      <w:pPr>
        <w:numPr>
          <w:ilvl w:val="0"/>
          <w:numId w:val="50"/>
        </w:numPr>
        <w:tabs>
          <w:tab w:val="left" w:pos="426"/>
        </w:tabs>
        <w:spacing w:after="0" w:line="240" w:lineRule="auto"/>
        <w:contextualSpacing/>
        <w:rPr>
          <w:rFonts w:cs="Arial"/>
          <w:sz w:val="20"/>
          <w:szCs w:val="20"/>
          <w:lang w:val="fr-FR"/>
        </w:rPr>
      </w:pPr>
      <w:r w:rsidRPr="00B7222E">
        <w:rPr>
          <w:rFonts w:cs="Arial"/>
          <w:sz w:val="20"/>
          <w:szCs w:val="20"/>
          <w:lang w:val="fr-FR"/>
        </w:rPr>
        <w:t>Appuyer le développement / l’adaptation des canaux d’évacuation d’eau de surface.(*)</w:t>
      </w:r>
    </w:p>
    <w:p w14:paraId="2EEE7E09" w14:textId="77777777" w:rsidR="007B356D" w:rsidRPr="00B7222E" w:rsidRDefault="007B356D" w:rsidP="00393CA8">
      <w:pPr>
        <w:numPr>
          <w:ilvl w:val="0"/>
          <w:numId w:val="50"/>
        </w:numPr>
        <w:tabs>
          <w:tab w:val="left" w:pos="426"/>
        </w:tabs>
        <w:spacing w:after="0" w:line="240" w:lineRule="auto"/>
        <w:contextualSpacing/>
        <w:rPr>
          <w:rFonts w:cs="Arial"/>
          <w:sz w:val="20"/>
          <w:szCs w:val="20"/>
          <w:lang w:val="fr-FR"/>
        </w:rPr>
      </w:pPr>
      <w:r w:rsidRPr="00B7222E">
        <w:rPr>
          <w:rFonts w:cs="Arial"/>
          <w:sz w:val="20"/>
          <w:szCs w:val="20"/>
          <w:lang w:val="fr-FR"/>
        </w:rPr>
        <w:t>Appuyer la révision des normes des contrôles techniques des véhicules en faveur de la  réduction des pollutions.(*)</w:t>
      </w:r>
    </w:p>
    <w:p w14:paraId="0E65ED6C" w14:textId="77777777" w:rsidR="007B356D" w:rsidRPr="00B7222E" w:rsidRDefault="007B356D" w:rsidP="00393CA8">
      <w:pPr>
        <w:numPr>
          <w:ilvl w:val="0"/>
          <w:numId w:val="50"/>
        </w:numPr>
        <w:tabs>
          <w:tab w:val="left" w:pos="426"/>
        </w:tabs>
        <w:spacing w:after="0" w:line="240" w:lineRule="auto"/>
        <w:contextualSpacing/>
        <w:rPr>
          <w:rFonts w:cs="Arial"/>
          <w:sz w:val="20"/>
          <w:szCs w:val="20"/>
          <w:lang w:val="fr-FR"/>
        </w:rPr>
      </w:pPr>
      <w:r w:rsidRPr="00B7222E">
        <w:rPr>
          <w:rFonts w:cs="Arial"/>
          <w:sz w:val="20"/>
          <w:szCs w:val="20"/>
          <w:lang w:val="fr-FR"/>
        </w:rPr>
        <w:t>Mettre en place un observatoire de la qualité de l’air (à l’instar de celui de Dakar) incluant l’opérationnalisation / la réhabilitation de l’unité mobile actuellement hors service (*)</w:t>
      </w:r>
    </w:p>
    <w:p w14:paraId="77520D04" w14:textId="77777777" w:rsidR="007B356D" w:rsidRPr="00B7222E" w:rsidRDefault="007B356D" w:rsidP="00393CA8">
      <w:pPr>
        <w:numPr>
          <w:ilvl w:val="0"/>
          <w:numId w:val="50"/>
        </w:numPr>
        <w:tabs>
          <w:tab w:val="left" w:pos="426"/>
        </w:tabs>
        <w:spacing w:after="0" w:line="240" w:lineRule="auto"/>
        <w:contextualSpacing/>
        <w:rPr>
          <w:rFonts w:cs="Arial"/>
          <w:sz w:val="20"/>
          <w:szCs w:val="20"/>
          <w:lang w:val="fr-FR"/>
        </w:rPr>
      </w:pPr>
      <w:r w:rsidRPr="00B7222E">
        <w:rPr>
          <w:rFonts w:cs="Arial"/>
          <w:sz w:val="20"/>
          <w:szCs w:val="20"/>
          <w:lang w:val="fr-FR"/>
        </w:rPr>
        <w:t>Appuyer / renforcer l’opérationnalité de la DNACPN afin qu’elle puisse assurer son mandat régalien de contrôle des pollutions (‘)</w:t>
      </w:r>
    </w:p>
    <w:p w14:paraId="21CA48EB" w14:textId="77777777" w:rsidR="007B356D" w:rsidRPr="00094841" w:rsidRDefault="007B356D" w:rsidP="00393CA8">
      <w:pPr>
        <w:numPr>
          <w:ilvl w:val="0"/>
          <w:numId w:val="50"/>
        </w:numPr>
        <w:tabs>
          <w:tab w:val="left" w:pos="426"/>
        </w:tabs>
        <w:spacing w:after="0" w:line="240" w:lineRule="auto"/>
        <w:contextualSpacing/>
        <w:rPr>
          <w:rFonts w:cs="Arial"/>
          <w:sz w:val="20"/>
          <w:szCs w:val="20"/>
          <w:lang w:val="fr-FR"/>
        </w:rPr>
      </w:pPr>
      <w:r w:rsidRPr="00B7222E">
        <w:rPr>
          <w:rFonts w:cs="Arial"/>
          <w:sz w:val="20"/>
          <w:szCs w:val="20"/>
          <w:lang w:val="fr-FR"/>
        </w:rPr>
        <w:t xml:space="preserve">Inclure systématiquement dans les projets d’aide au développement une ligne budgétaire pour l’assainissement des effluents liquides et </w:t>
      </w:r>
      <w:r w:rsidRPr="00094841">
        <w:rPr>
          <w:rFonts w:cs="Arial"/>
          <w:sz w:val="20"/>
          <w:szCs w:val="20"/>
          <w:lang w:val="fr-FR"/>
        </w:rPr>
        <w:t>solides du projet</w:t>
      </w:r>
      <w:r w:rsidR="00865CE3" w:rsidRPr="00094841">
        <w:rPr>
          <w:rFonts w:cs="Arial"/>
          <w:sz w:val="20"/>
          <w:szCs w:val="20"/>
          <w:lang w:val="fr-FR"/>
        </w:rPr>
        <w:t xml:space="preserve"> et assurer le suivi de la mise en œuvre des compensations prévues</w:t>
      </w:r>
      <w:r w:rsidRPr="00094841">
        <w:rPr>
          <w:rFonts w:cs="Arial"/>
          <w:sz w:val="20"/>
          <w:szCs w:val="20"/>
          <w:lang w:val="fr-FR"/>
        </w:rPr>
        <w:t>. (*)</w:t>
      </w:r>
    </w:p>
    <w:p w14:paraId="685C1997" w14:textId="77777777" w:rsidR="007B356D" w:rsidRPr="00B7222E" w:rsidRDefault="007B356D" w:rsidP="007B356D">
      <w:pPr>
        <w:tabs>
          <w:tab w:val="left" w:pos="426"/>
        </w:tabs>
        <w:spacing w:after="0" w:line="240" w:lineRule="auto"/>
        <w:ind w:left="780"/>
        <w:contextualSpacing/>
        <w:rPr>
          <w:rFonts w:cs="Arial"/>
          <w:sz w:val="20"/>
          <w:szCs w:val="20"/>
          <w:lang w:val="fr-FR"/>
        </w:rPr>
      </w:pPr>
    </w:p>
    <w:p w14:paraId="304E94DE" w14:textId="77777777" w:rsidR="009A44F9" w:rsidRPr="00B7222E" w:rsidRDefault="007B356D" w:rsidP="007B356D">
      <w:pPr>
        <w:tabs>
          <w:tab w:val="left" w:pos="426"/>
        </w:tabs>
        <w:spacing w:after="0" w:line="240" w:lineRule="auto"/>
        <w:ind w:left="420"/>
        <w:rPr>
          <w:rFonts w:eastAsia="Calibri" w:cs="Arial"/>
          <w:b/>
          <w:bCs/>
          <w:sz w:val="20"/>
          <w:szCs w:val="20"/>
          <w:lang w:val="fr-FR" w:eastAsia="fr-FR"/>
        </w:rPr>
      </w:pPr>
      <w:r w:rsidRPr="00B7222E">
        <w:rPr>
          <w:rFonts w:cs="Arial"/>
          <w:sz w:val="20"/>
          <w:szCs w:val="20"/>
          <w:lang w:val="fr-FR"/>
        </w:rPr>
        <w:t xml:space="preserve">NB : Une délégation d’un tel programme peut s’adresser aux PTF spécialisés (UN-Habitat, Enabel, SNV,..)  </w:t>
      </w:r>
    </w:p>
    <w:p w14:paraId="51B1C869" w14:textId="77777777" w:rsidR="00983FFA" w:rsidRPr="00B7222E" w:rsidRDefault="00983FFA" w:rsidP="00520D78">
      <w:pPr>
        <w:widowControl w:val="0"/>
        <w:numPr>
          <w:ilvl w:val="0"/>
          <w:numId w:val="4"/>
        </w:numPr>
        <w:adjustRightInd w:val="0"/>
        <w:spacing w:after="0" w:line="240" w:lineRule="auto"/>
        <w:contextualSpacing/>
        <w:textAlignment w:val="baseline"/>
        <w:rPr>
          <w:rFonts w:eastAsia="Calibri" w:cs="Arial"/>
          <w:spacing w:val="-2"/>
          <w:lang w:val="fr-FR" w:eastAsia="fr-FR"/>
        </w:rPr>
        <w:sectPr w:rsidR="00983FFA" w:rsidRPr="00B7222E" w:rsidSect="00D90285">
          <w:pgSz w:w="11906" w:h="16838"/>
          <w:pgMar w:top="1417" w:right="1417" w:bottom="1417" w:left="1417" w:header="708" w:footer="708" w:gutter="0"/>
          <w:cols w:space="708"/>
          <w:docGrid w:linePitch="360"/>
        </w:sectPr>
      </w:pPr>
      <w:r w:rsidRPr="00B7222E">
        <w:rPr>
          <w:rFonts w:eastAsia="Calibri" w:cs="Arial"/>
          <w:spacing w:val="-2"/>
          <w:lang w:val="fr-FR" w:eastAsia="fr-FR"/>
        </w:rPr>
        <w:br w:type="page"/>
      </w:r>
    </w:p>
    <w:p w14:paraId="2C625417" w14:textId="77777777" w:rsidR="00904168" w:rsidRPr="008C6592" w:rsidRDefault="007E10C0" w:rsidP="00913A0C">
      <w:pPr>
        <w:pStyle w:val="Titre2"/>
        <w:rPr>
          <w:rFonts w:eastAsia="SimSun"/>
          <w:lang w:eastAsia="zh-CN"/>
        </w:rPr>
      </w:pPr>
      <w:bookmarkStart w:id="115" w:name="_Toc20505702"/>
      <w:bookmarkStart w:id="116" w:name="_Toc393900320"/>
      <w:r>
        <w:rPr>
          <w:lang w:eastAsia="fr-FR"/>
        </w:rPr>
        <w:lastRenderedPageBreak/>
        <w:t>7</w:t>
      </w:r>
      <w:r w:rsidR="00904168" w:rsidRPr="008C6592">
        <w:rPr>
          <w:lang w:eastAsia="fr-FR"/>
        </w:rPr>
        <w:t>.</w:t>
      </w:r>
      <w:r w:rsidR="009A44F9">
        <w:rPr>
          <w:lang w:eastAsia="fr-FR"/>
        </w:rPr>
        <w:t>4</w:t>
      </w:r>
      <w:r w:rsidR="00904168" w:rsidRPr="008C6592">
        <w:rPr>
          <w:lang w:eastAsia="fr-FR"/>
        </w:rPr>
        <w:t xml:space="preserve"> Autre information technique se rapportant au sujet</w:t>
      </w:r>
      <w:bookmarkEnd w:id="115"/>
    </w:p>
    <w:p w14:paraId="5340B811" w14:textId="77777777" w:rsidR="00983FFA" w:rsidRPr="00A02048" w:rsidRDefault="007E10C0" w:rsidP="00525222">
      <w:pPr>
        <w:pStyle w:val="Titre3"/>
        <w:rPr>
          <w:noProof/>
        </w:rPr>
      </w:pPr>
      <w:bookmarkStart w:id="117" w:name="_Toc20505703"/>
      <w:r w:rsidRPr="00883224">
        <w:rPr>
          <w:rFonts w:eastAsia="SimSun"/>
          <w:lang w:eastAsia="zh-CN"/>
        </w:rPr>
        <w:t>7</w:t>
      </w:r>
      <w:r w:rsidR="000806D2" w:rsidRPr="00883224">
        <w:rPr>
          <w:rFonts w:eastAsia="SimSun"/>
          <w:lang w:eastAsia="zh-CN"/>
        </w:rPr>
        <w:t>.4</w:t>
      </w:r>
      <w:r w:rsidR="00471F84" w:rsidRPr="00883224">
        <w:rPr>
          <w:rFonts w:eastAsia="SimSun"/>
          <w:lang w:eastAsia="zh-CN"/>
        </w:rPr>
        <w:t>.1</w:t>
      </w:r>
      <w:r w:rsidR="0011274B" w:rsidRPr="00883224">
        <w:rPr>
          <w:rFonts w:eastAsia="SimSun"/>
          <w:lang w:eastAsia="zh-CN"/>
        </w:rPr>
        <w:t> </w:t>
      </w:r>
      <w:r w:rsidR="00983FFA" w:rsidRPr="00883224">
        <w:rPr>
          <w:noProof/>
        </w:rPr>
        <w:t>Recommandations PEP 20</w:t>
      </w:r>
      <w:r w:rsidRPr="00883224">
        <w:rPr>
          <w:noProof/>
        </w:rPr>
        <w:t>14</w:t>
      </w:r>
      <w:r w:rsidR="00983FFA" w:rsidRPr="00883224">
        <w:rPr>
          <w:noProof/>
        </w:rPr>
        <w:t xml:space="preserve"> et niveau de réalisation </w:t>
      </w:r>
      <w:r w:rsidRPr="00A02048">
        <w:rPr>
          <w:noProof/>
        </w:rPr>
        <w:t>septembre 201</w:t>
      </w:r>
      <w:bookmarkEnd w:id="116"/>
      <w:r w:rsidR="00F6481E" w:rsidRPr="00A02048">
        <w:rPr>
          <w:noProof/>
        </w:rPr>
        <w:t>9</w:t>
      </w:r>
      <w:bookmarkEnd w:id="117"/>
    </w:p>
    <w:tbl>
      <w:tblPr>
        <w:tblStyle w:val="Grilledutableau"/>
        <w:tblW w:w="0" w:type="auto"/>
        <w:tblLook w:val="04A0" w:firstRow="1" w:lastRow="0" w:firstColumn="1" w:lastColumn="0" w:noHBand="0" w:noVBand="1"/>
      </w:tblPr>
      <w:tblGrid>
        <w:gridCol w:w="5047"/>
        <w:gridCol w:w="6239"/>
        <w:gridCol w:w="1128"/>
        <w:gridCol w:w="1806"/>
      </w:tblGrid>
      <w:tr w:rsidR="00261588" w:rsidRPr="00A02048" w14:paraId="0C671BE1" w14:textId="77777777" w:rsidTr="00261588">
        <w:tc>
          <w:tcPr>
            <w:tcW w:w="0" w:type="auto"/>
          </w:tcPr>
          <w:p w14:paraId="74E2497A" w14:textId="77777777" w:rsidR="00261588" w:rsidRPr="00A02048" w:rsidRDefault="00261588" w:rsidP="00261588">
            <w:pPr>
              <w:overflowPunct w:val="0"/>
              <w:autoSpaceDE w:val="0"/>
              <w:autoSpaceDN w:val="0"/>
              <w:adjustRightInd w:val="0"/>
              <w:spacing w:line="240" w:lineRule="auto"/>
              <w:textAlignment w:val="baseline"/>
              <w:rPr>
                <w:rFonts w:cs="Arial"/>
                <w:b/>
                <w:sz w:val="18"/>
                <w:szCs w:val="18"/>
                <w:lang w:val="fr-FR" w:eastAsia="it-IT"/>
              </w:rPr>
            </w:pPr>
            <w:r w:rsidRPr="00A02048">
              <w:rPr>
                <w:rFonts w:cs="Arial"/>
                <w:b/>
                <w:lang w:eastAsia="it-IT"/>
              </w:rPr>
              <w:sym w:font="Wingdings" w:char="F04A"/>
            </w:r>
            <w:r w:rsidRPr="00A02048">
              <w:rPr>
                <w:rFonts w:cs="Arial"/>
                <w:b/>
                <w:sz w:val="18"/>
                <w:szCs w:val="18"/>
                <w:lang w:val="fr-FR" w:eastAsia="it-IT"/>
              </w:rPr>
              <w:t xml:space="preserve"> = recommandation réalisée </w:t>
            </w:r>
          </w:p>
          <w:p w14:paraId="2829BD57" w14:textId="77777777" w:rsidR="00261588" w:rsidRPr="00A02048" w:rsidRDefault="00261588" w:rsidP="00261588">
            <w:pPr>
              <w:overflowPunct w:val="0"/>
              <w:autoSpaceDE w:val="0"/>
              <w:autoSpaceDN w:val="0"/>
              <w:adjustRightInd w:val="0"/>
              <w:spacing w:line="240" w:lineRule="auto"/>
              <w:textAlignment w:val="baseline"/>
              <w:rPr>
                <w:rFonts w:cs="Arial"/>
                <w:b/>
                <w:sz w:val="18"/>
                <w:szCs w:val="18"/>
                <w:lang w:val="fr-FR" w:eastAsia="it-IT"/>
              </w:rPr>
            </w:pPr>
            <w:r w:rsidRPr="00A02048">
              <w:rPr>
                <w:rFonts w:cs="Arial"/>
                <w:b/>
                <w:lang w:eastAsia="it-IT"/>
              </w:rPr>
              <w:sym w:font="Wingdings" w:char="F04B"/>
            </w:r>
            <w:r w:rsidRPr="00A02048">
              <w:rPr>
                <w:rFonts w:cs="Arial"/>
                <w:b/>
                <w:sz w:val="18"/>
                <w:szCs w:val="18"/>
                <w:lang w:val="fr-FR" w:eastAsia="it-IT"/>
              </w:rPr>
              <w:t xml:space="preserve"> = activités entamées, recommandation au moins  </w:t>
            </w:r>
          </w:p>
          <w:p w14:paraId="64517B5C" w14:textId="77777777" w:rsidR="00261588" w:rsidRPr="00A02048" w:rsidRDefault="00261588" w:rsidP="00261588">
            <w:pPr>
              <w:overflowPunct w:val="0"/>
              <w:autoSpaceDE w:val="0"/>
              <w:autoSpaceDN w:val="0"/>
              <w:adjustRightInd w:val="0"/>
              <w:spacing w:line="240" w:lineRule="auto"/>
              <w:textAlignment w:val="baseline"/>
              <w:rPr>
                <w:rFonts w:cs="Arial"/>
                <w:b/>
                <w:sz w:val="18"/>
                <w:szCs w:val="18"/>
                <w:lang w:val="fr-FR" w:eastAsia="it-IT"/>
              </w:rPr>
            </w:pPr>
            <w:r w:rsidRPr="00A02048">
              <w:rPr>
                <w:rFonts w:cs="Arial"/>
                <w:b/>
                <w:sz w:val="18"/>
                <w:szCs w:val="18"/>
                <w:lang w:val="fr-FR" w:eastAsia="it-IT"/>
              </w:rPr>
              <w:t xml:space="preserve">         partiellement réalisée </w:t>
            </w:r>
          </w:p>
          <w:p w14:paraId="24F66093" w14:textId="77777777" w:rsidR="00261588" w:rsidRPr="00A02048" w:rsidRDefault="00261588" w:rsidP="00261588">
            <w:pPr>
              <w:spacing w:line="240" w:lineRule="auto"/>
              <w:rPr>
                <w:rFonts w:eastAsia="SimSun" w:cs="Arial"/>
                <w:sz w:val="20"/>
                <w:szCs w:val="20"/>
                <w:lang w:val="fr-FR" w:eastAsia="zh-CN"/>
              </w:rPr>
            </w:pPr>
            <w:r w:rsidRPr="00A02048">
              <w:rPr>
                <w:rFonts w:cs="Arial"/>
                <w:b/>
                <w:lang w:eastAsia="it-IT"/>
              </w:rPr>
              <w:sym w:font="Wingdings" w:char="F04C"/>
            </w:r>
            <w:r w:rsidRPr="00A02048">
              <w:rPr>
                <w:rFonts w:cs="Arial"/>
                <w:b/>
                <w:sz w:val="18"/>
                <w:szCs w:val="18"/>
                <w:lang w:val="fr-FR" w:eastAsia="it-IT"/>
              </w:rPr>
              <w:t xml:space="preserve"> = rien ou pratiquement rien n’est réalisé.</w:t>
            </w:r>
          </w:p>
        </w:tc>
        <w:tc>
          <w:tcPr>
            <w:tcW w:w="6239" w:type="dxa"/>
          </w:tcPr>
          <w:p w14:paraId="1AE3AD50" w14:textId="77777777" w:rsidR="00261588" w:rsidRPr="00A02048" w:rsidRDefault="00261588" w:rsidP="00261588">
            <w:pPr>
              <w:spacing w:line="240" w:lineRule="auto"/>
              <w:rPr>
                <w:rFonts w:eastAsia="SimSun" w:cs="Arial"/>
                <w:sz w:val="20"/>
                <w:szCs w:val="20"/>
                <w:lang w:val="fr-FR" w:eastAsia="zh-CN"/>
              </w:rPr>
            </w:pPr>
          </w:p>
        </w:tc>
        <w:tc>
          <w:tcPr>
            <w:tcW w:w="1128" w:type="dxa"/>
          </w:tcPr>
          <w:p w14:paraId="2B7C9B99" w14:textId="77777777" w:rsidR="00261588" w:rsidRPr="00A02048" w:rsidRDefault="00261588" w:rsidP="00261588">
            <w:pPr>
              <w:spacing w:line="240" w:lineRule="auto"/>
              <w:rPr>
                <w:rFonts w:eastAsia="SimSun" w:cs="Arial"/>
                <w:sz w:val="20"/>
                <w:szCs w:val="20"/>
                <w:lang w:val="fr-FR" w:eastAsia="zh-CN"/>
              </w:rPr>
            </w:pPr>
          </w:p>
        </w:tc>
        <w:tc>
          <w:tcPr>
            <w:tcW w:w="1806" w:type="dxa"/>
          </w:tcPr>
          <w:p w14:paraId="666A05A3" w14:textId="77777777" w:rsidR="00261588" w:rsidRPr="00A02048" w:rsidRDefault="00261588" w:rsidP="00261588">
            <w:pPr>
              <w:spacing w:line="240" w:lineRule="auto"/>
              <w:rPr>
                <w:rFonts w:eastAsia="SimSun" w:cs="Arial"/>
                <w:sz w:val="20"/>
                <w:szCs w:val="20"/>
                <w:lang w:val="fr-FR" w:eastAsia="zh-CN"/>
              </w:rPr>
            </w:pPr>
          </w:p>
        </w:tc>
      </w:tr>
      <w:tr w:rsidR="00261588" w:rsidRPr="004B3056" w14:paraId="625AD631" w14:textId="77777777" w:rsidTr="00261588">
        <w:tc>
          <w:tcPr>
            <w:tcW w:w="0" w:type="auto"/>
          </w:tcPr>
          <w:p w14:paraId="6AA53C29" w14:textId="77777777" w:rsidR="00261588" w:rsidRPr="00A02048" w:rsidRDefault="00261588" w:rsidP="00261588">
            <w:pPr>
              <w:spacing w:line="240" w:lineRule="auto"/>
              <w:rPr>
                <w:rFonts w:eastAsia="SimSun" w:cs="Arial"/>
                <w:sz w:val="20"/>
                <w:szCs w:val="20"/>
                <w:lang w:val="fr-FR" w:eastAsia="zh-CN"/>
              </w:rPr>
            </w:pPr>
            <w:r w:rsidRPr="00A02048">
              <w:rPr>
                <w:rFonts w:eastAsia="SimSun" w:cs="Arial"/>
                <w:sz w:val="20"/>
                <w:szCs w:val="20"/>
                <w:lang w:val="fr-FR" w:eastAsia="zh-CN"/>
              </w:rPr>
              <w:t>Recommandations PEP 2014</w:t>
            </w:r>
          </w:p>
        </w:tc>
        <w:tc>
          <w:tcPr>
            <w:tcW w:w="6239" w:type="dxa"/>
          </w:tcPr>
          <w:p w14:paraId="6001DE4A" w14:textId="77777777" w:rsidR="00261588" w:rsidRPr="00A02048" w:rsidRDefault="00F6481E" w:rsidP="00261588">
            <w:pPr>
              <w:spacing w:line="240" w:lineRule="auto"/>
              <w:rPr>
                <w:rFonts w:eastAsia="SimSun" w:cs="Arial"/>
                <w:sz w:val="20"/>
                <w:szCs w:val="20"/>
                <w:lang w:val="fr-FR" w:eastAsia="zh-CN"/>
              </w:rPr>
            </w:pPr>
            <w:r w:rsidRPr="00A02048">
              <w:rPr>
                <w:rFonts w:eastAsia="SimSun" w:cs="Arial"/>
                <w:sz w:val="20"/>
                <w:szCs w:val="20"/>
                <w:lang w:val="fr-FR" w:eastAsia="zh-CN"/>
              </w:rPr>
              <w:t>Etat des lieux 9/2019</w:t>
            </w:r>
          </w:p>
        </w:tc>
        <w:tc>
          <w:tcPr>
            <w:tcW w:w="1128" w:type="dxa"/>
          </w:tcPr>
          <w:p w14:paraId="42B99E37" w14:textId="77777777" w:rsidR="00261588" w:rsidRPr="00A02048" w:rsidRDefault="00261588" w:rsidP="00261588">
            <w:pPr>
              <w:spacing w:line="240" w:lineRule="auto"/>
              <w:rPr>
                <w:rFonts w:eastAsia="SimSun" w:cs="Arial"/>
                <w:sz w:val="20"/>
                <w:szCs w:val="20"/>
                <w:lang w:val="fr-FR" w:eastAsia="zh-CN"/>
              </w:rPr>
            </w:pPr>
            <w:r w:rsidRPr="00A02048">
              <w:rPr>
                <w:rFonts w:eastAsia="SimSun" w:cs="Arial"/>
                <w:sz w:val="20"/>
                <w:szCs w:val="20"/>
                <w:lang w:val="fr-FR" w:eastAsia="zh-CN"/>
              </w:rPr>
              <w:t>Degré de réalisation</w:t>
            </w:r>
          </w:p>
        </w:tc>
        <w:tc>
          <w:tcPr>
            <w:tcW w:w="1806" w:type="dxa"/>
          </w:tcPr>
          <w:p w14:paraId="65F77BF2" w14:textId="77777777" w:rsidR="00261588" w:rsidRPr="004B3056" w:rsidRDefault="00261588" w:rsidP="00261588">
            <w:pPr>
              <w:spacing w:line="240" w:lineRule="auto"/>
              <w:rPr>
                <w:rFonts w:eastAsia="SimSun" w:cs="Arial"/>
                <w:sz w:val="20"/>
                <w:szCs w:val="20"/>
                <w:lang w:val="fr-FR" w:eastAsia="zh-CN"/>
              </w:rPr>
            </w:pPr>
            <w:r w:rsidRPr="00A02048">
              <w:rPr>
                <w:rFonts w:eastAsia="SimSun" w:cs="Arial"/>
                <w:sz w:val="20"/>
                <w:szCs w:val="20"/>
                <w:lang w:val="fr-FR" w:eastAsia="zh-CN"/>
              </w:rPr>
              <w:t>Observations</w:t>
            </w:r>
          </w:p>
        </w:tc>
      </w:tr>
      <w:tr w:rsidR="00261588" w:rsidRPr="004B3056" w14:paraId="67F0EBA1" w14:textId="77777777" w:rsidTr="00261588">
        <w:tc>
          <w:tcPr>
            <w:tcW w:w="14220" w:type="dxa"/>
            <w:gridSpan w:val="4"/>
            <w:shd w:val="clear" w:color="auto" w:fill="FFFF00"/>
          </w:tcPr>
          <w:p w14:paraId="51D8097D" w14:textId="77777777" w:rsidR="00261588" w:rsidRPr="004B3056" w:rsidRDefault="00261588" w:rsidP="00261588">
            <w:pPr>
              <w:spacing w:line="240" w:lineRule="auto"/>
              <w:rPr>
                <w:rFonts w:eastAsia="SimSun" w:cs="Arial"/>
                <w:b/>
                <w:sz w:val="20"/>
                <w:szCs w:val="20"/>
                <w:highlight w:val="yellow"/>
                <w:lang w:eastAsia="zh-CN"/>
              </w:rPr>
            </w:pPr>
            <w:r w:rsidRPr="004B3056">
              <w:rPr>
                <w:rFonts w:eastAsia="SimSun" w:cs="Arial"/>
                <w:b/>
                <w:sz w:val="20"/>
                <w:szCs w:val="20"/>
                <w:highlight w:val="yellow"/>
                <w:lang w:eastAsia="zh-CN"/>
              </w:rPr>
              <w:t xml:space="preserve">Sur le plan général </w:t>
            </w:r>
            <w:r w:rsidRPr="004B3056">
              <w:rPr>
                <w:rFonts w:cs="Arial"/>
                <w:b/>
                <w:sz w:val="32"/>
                <w:szCs w:val="32"/>
                <w:lang w:eastAsia="it-IT"/>
              </w:rPr>
              <w:sym w:font="Wingdings" w:char="F04C"/>
            </w:r>
          </w:p>
        </w:tc>
      </w:tr>
      <w:tr w:rsidR="00261588" w:rsidRPr="004B3056" w14:paraId="2BC9A48D" w14:textId="77777777" w:rsidTr="00261588">
        <w:tc>
          <w:tcPr>
            <w:tcW w:w="0" w:type="auto"/>
          </w:tcPr>
          <w:p w14:paraId="208C7CEC" w14:textId="77777777" w:rsidR="00261588" w:rsidRPr="004B3056" w:rsidRDefault="00261588" w:rsidP="00261588">
            <w:pPr>
              <w:overflowPunct w:val="0"/>
              <w:autoSpaceDE w:val="0"/>
              <w:autoSpaceDN w:val="0"/>
              <w:adjustRightInd w:val="0"/>
              <w:spacing w:after="0" w:line="240" w:lineRule="auto"/>
              <w:contextualSpacing/>
              <w:textAlignment w:val="baseline"/>
              <w:rPr>
                <w:rFonts w:eastAsia="Times New Roman" w:cs="Arial"/>
                <w:sz w:val="20"/>
                <w:szCs w:val="20"/>
                <w:lang w:val="fr-FR" w:eastAsia="it-IT"/>
              </w:rPr>
            </w:pPr>
            <w:r w:rsidRPr="004B3056">
              <w:rPr>
                <w:rFonts w:eastAsia="Times New Roman" w:cs="Arial"/>
                <w:sz w:val="20"/>
                <w:szCs w:val="20"/>
                <w:lang w:val="fr-FR" w:eastAsia="it-IT"/>
              </w:rPr>
              <w:t>Mettre en œuvre la Politique Nationale de Population et assurer l’accès aux services de planification familiale pour maitriser la population. Ni la croissance économique, ni les services écosystémiques ne seront capables de satisfaire les besoins d’une population principalement agro-pastorale (45 – 60 millions d’habitants d’ici 2050), si la fécondité ne baisse pas.</w:t>
            </w:r>
          </w:p>
        </w:tc>
        <w:tc>
          <w:tcPr>
            <w:tcW w:w="6239" w:type="dxa"/>
          </w:tcPr>
          <w:p w14:paraId="48A11FC2" w14:textId="77777777" w:rsidR="00261588" w:rsidRPr="004B3056" w:rsidRDefault="00261588" w:rsidP="00261588">
            <w:pPr>
              <w:spacing w:after="0" w:line="240" w:lineRule="auto"/>
              <w:rPr>
                <w:rFonts w:eastAsia="SimSun" w:cs="Arial"/>
                <w:sz w:val="20"/>
                <w:szCs w:val="20"/>
                <w:lang w:val="fr-FR" w:eastAsia="zh-CN"/>
              </w:rPr>
            </w:pPr>
            <w:r w:rsidRPr="004B3056">
              <w:rPr>
                <w:rFonts w:eastAsia="SimSun" w:cs="Arial"/>
                <w:sz w:val="20"/>
                <w:szCs w:val="20"/>
                <w:lang w:val="fr-FR" w:eastAsia="zh-CN"/>
              </w:rPr>
              <w:t>La Politique Nationale de Population actualisée en 2017 est adoptée, la Feuille de Route Nationale sur le Dividende Démographique et la Stratégie nationale de communication pour un changement social et comportemental sont élaborées, mais il n’y a pas encore d’actions concrètes ni un signe de réduction de la croissance démographique.</w:t>
            </w:r>
          </w:p>
        </w:tc>
        <w:tc>
          <w:tcPr>
            <w:tcW w:w="1128" w:type="dxa"/>
          </w:tcPr>
          <w:p w14:paraId="684C2DE4" w14:textId="77777777" w:rsidR="00261588" w:rsidRPr="004B3056" w:rsidRDefault="00261588" w:rsidP="00261588">
            <w:pPr>
              <w:spacing w:after="0" w:line="240" w:lineRule="auto"/>
              <w:jc w:val="center"/>
              <w:rPr>
                <w:rFonts w:eastAsia="SimSun" w:cs="Arial"/>
                <w:sz w:val="32"/>
                <w:szCs w:val="32"/>
                <w:lang w:val="fr-FR" w:eastAsia="zh-CN"/>
              </w:rPr>
            </w:pPr>
            <w:r w:rsidRPr="004B3056">
              <w:rPr>
                <w:rFonts w:cs="Arial"/>
                <w:b/>
                <w:sz w:val="32"/>
                <w:szCs w:val="32"/>
                <w:lang w:eastAsia="it-IT"/>
              </w:rPr>
              <w:sym w:font="Wingdings" w:char="F04C"/>
            </w:r>
          </w:p>
        </w:tc>
        <w:tc>
          <w:tcPr>
            <w:tcW w:w="1806" w:type="dxa"/>
          </w:tcPr>
          <w:p w14:paraId="4D896A8E" w14:textId="77777777" w:rsidR="00261588" w:rsidRPr="004B3056" w:rsidRDefault="00421A9F" w:rsidP="00261588">
            <w:pPr>
              <w:spacing w:after="0" w:line="240" w:lineRule="auto"/>
              <w:rPr>
                <w:rFonts w:eastAsia="SimSun" w:cs="Arial"/>
                <w:sz w:val="20"/>
                <w:szCs w:val="20"/>
                <w:lang w:val="fr-FR" w:eastAsia="zh-CN"/>
              </w:rPr>
            </w:pPr>
            <w:r w:rsidRPr="00A02048">
              <w:rPr>
                <w:rFonts w:eastAsia="SimSun" w:cs="Arial"/>
                <w:sz w:val="20"/>
                <w:szCs w:val="20"/>
                <w:lang w:val="fr-FR" w:eastAsia="zh-CN"/>
              </w:rPr>
              <w:t>non appréciable à court terme</w:t>
            </w:r>
          </w:p>
        </w:tc>
      </w:tr>
      <w:tr w:rsidR="00261588" w:rsidRPr="004B3056" w14:paraId="7A203882" w14:textId="77777777" w:rsidTr="00261588">
        <w:tc>
          <w:tcPr>
            <w:tcW w:w="0" w:type="auto"/>
          </w:tcPr>
          <w:p w14:paraId="71BA7C54" w14:textId="77777777" w:rsidR="00261588" w:rsidRPr="004B3056" w:rsidRDefault="00261588" w:rsidP="00261588">
            <w:pPr>
              <w:overflowPunct w:val="0"/>
              <w:autoSpaceDE w:val="0"/>
              <w:autoSpaceDN w:val="0"/>
              <w:adjustRightInd w:val="0"/>
              <w:spacing w:after="0" w:line="240" w:lineRule="auto"/>
              <w:contextualSpacing/>
              <w:textAlignment w:val="baseline"/>
              <w:rPr>
                <w:rFonts w:eastAsia="Times New Roman" w:cs="Arial"/>
                <w:sz w:val="20"/>
                <w:szCs w:val="20"/>
                <w:lang w:val="fr-FR" w:eastAsia="it-IT"/>
              </w:rPr>
            </w:pPr>
            <w:r w:rsidRPr="004B3056">
              <w:rPr>
                <w:rFonts w:eastAsia="Times New Roman" w:cs="Arial"/>
                <w:sz w:val="20"/>
                <w:szCs w:val="20"/>
                <w:lang w:val="fr-FR" w:eastAsia="it-IT"/>
              </w:rPr>
              <w:t>Insérer dans les programmes d’urgence de réhabilitation des régions du Nord les actions environnementales créatrices d’emploi local (HIMO) (*)</w:t>
            </w:r>
          </w:p>
        </w:tc>
        <w:tc>
          <w:tcPr>
            <w:tcW w:w="6239" w:type="dxa"/>
          </w:tcPr>
          <w:p w14:paraId="1A408AD2" w14:textId="77777777" w:rsidR="00261588" w:rsidRPr="004B3056" w:rsidRDefault="00261588" w:rsidP="00261588">
            <w:pPr>
              <w:spacing w:after="0" w:line="240" w:lineRule="auto"/>
              <w:rPr>
                <w:rFonts w:eastAsia="SimSun" w:cs="Arial"/>
                <w:sz w:val="20"/>
                <w:szCs w:val="20"/>
                <w:lang w:val="fr-FR" w:eastAsia="zh-CN"/>
              </w:rPr>
            </w:pPr>
            <w:r w:rsidRPr="004B3056">
              <w:rPr>
                <w:rFonts w:eastAsia="SimSun" w:cs="Arial"/>
                <w:sz w:val="20"/>
                <w:szCs w:val="20"/>
                <w:lang w:val="fr-FR" w:eastAsia="zh-CN"/>
              </w:rPr>
              <w:t>Les programmes focalisent surtout la réhabilitation des infrastructures sociales et la relance économique sans création de l’emploi à travers des actions environnementales. Les actions environnementales se limitent aux lampadaires solaires des bâtiments et places publics, le transport des déchets solides et une station d’épuration d’eau à Tombouctou (MINUSMA).</w:t>
            </w:r>
          </w:p>
        </w:tc>
        <w:tc>
          <w:tcPr>
            <w:tcW w:w="1128" w:type="dxa"/>
          </w:tcPr>
          <w:p w14:paraId="391A47C5" w14:textId="77777777" w:rsidR="00261588" w:rsidRPr="004B3056" w:rsidRDefault="00261588" w:rsidP="00261588">
            <w:pPr>
              <w:spacing w:after="0" w:line="240" w:lineRule="auto"/>
              <w:jc w:val="center"/>
              <w:rPr>
                <w:rFonts w:eastAsia="SimSun" w:cs="Arial"/>
                <w:sz w:val="20"/>
                <w:szCs w:val="20"/>
                <w:lang w:val="fr-FR" w:eastAsia="zh-CN"/>
              </w:rPr>
            </w:pPr>
            <w:r w:rsidRPr="004B3056">
              <w:rPr>
                <w:rFonts w:cs="Arial"/>
                <w:b/>
                <w:sz w:val="32"/>
                <w:szCs w:val="32"/>
                <w:lang w:eastAsia="it-IT"/>
              </w:rPr>
              <w:sym w:font="Wingdings" w:char="F04C"/>
            </w:r>
          </w:p>
        </w:tc>
        <w:tc>
          <w:tcPr>
            <w:tcW w:w="1806" w:type="dxa"/>
          </w:tcPr>
          <w:p w14:paraId="40403439" w14:textId="77777777" w:rsidR="00261588" w:rsidRPr="004B3056" w:rsidRDefault="00261588" w:rsidP="00261588">
            <w:pPr>
              <w:spacing w:after="0" w:line="240" w:lineRule="auto"/>
              <w:rPr>
                <w:rFonts w:eastAsia="SimSun" w:cs="Arial"/>
                <w:sz w:val="20"/>
                <w:szCs w:val="20"/>
                <w:lang w:val="fr-FR" w:eastAsia="zh-CN"/>
              </w:rPr>
            </w:pPr>
          </w:p>
        </w:tc>
      </w:tr>
      <w:tr w:rsidR="00261588" w:rsidRPr="004B3056" w14:paraId="3C545A32" w14:textId="77777777" w:rsidTr="00261588">
        <w:tc>
          <w:tcPr>
            <w:tcW w:w="0" w:type="auto"/>
            <w:gridSpan w:val="4"/>
            <w:shd w:val="clear" w:color="auto" w:fill="FFFF00"/>
          </w:tcPr>
          <w:p w14:paraId="4124D035" w14:textId="77777777" w:rsidR="00261588" w:rsidRPr="004B3056" w:rsidRDefault="00261588" w:rsidP="00261588">
            <w:pPr>
              <w:spacing w:line="240" w:lineRule="auto"/>
              <w:rPr>
                <w:rFonts w:eastAsia="SimSun" w:cs="Arial"/>
                <w:b/>
                <w:sz w:val="20"/>
                <w:szCs w:val="20"/>
                <w:lang w:eastAsia="zh-CN"/>
              </w:rPr>
            </w:pPr>
            <w:r w:rsidRPr="004B3056">
              <w:rPr>
                <w:rFonts w:eastAsia="SimSun" w:cs="Arial"/>
                <w:b/>
                <w:sz w:val="20"/>
                <w:szCs w:val="20"/>
                <w:lang w:eastAsia="zh-CN"/>
              </w:rPr>
              <w:t xml:space="preserve">Sur le plan institutionnel </w:t>
            </w:r>
            <w:r w:rsidRPr="004B3056">
              <w:rPr>
                <w:rFonts w:cs="Arial"/>
                <w:b/>
                <w:sz w:val="32"/>
                <w:szCs w:val="32"/>
                <w:lang w:eastAsia="it-IT"/>
              </w:rPr>
              <w:sym w:font="Wingdings" w:char="F04B"/>
            </w:r>
          </w:p>
        </w:tc>
      </w:tr>
      <w:tr w:rsidR="00261588" w:rsidRPr="004B3056" w14:paraId="47DEC76C" w14:textId="77777777" w:rsidTr="00261588">
        <w:tc>
          <w:tcPr>
            <w:tcW w:w="0" w:type="auto"/>
          </w:tcPr>
          <w:p w14:paraId="0B14FAF2" w14:textId="77777777" w:rsidR="00261588" w:rsidRPr="004B3056" w:rsidRDefault="00261588" w:rsidP="00261588">
            <w:pPr>
              <w:overflowPunct w:val="0"/>
              <w:autoSpaceDE w:val="0"/>
              <w:autoSpaceDN w:val="0"/>
              <w:adjustRightInd w:val="0"/>
              <w:spacing w:after="0" w:line="240" w:lineRule="auto"/>
              <w:contextualSpacing/>
              <w:textAlignment w:val="baseline"/>
              <w:rPr>
                <w:rFonts w:eastAsia="Times New Roman" w:cs="Arial"/>
                <w:sz w:val="20"/>
                <w:szCs w:val="20"/>
                <w:lang w:val="fr-FR" w:eastAsia="it-IT"/>
              </w:rPr>
            </w:pPr>
            <w:r w:rsidRPr="004B3056">
              <w:rPr>
                <w:rFonts w:eastAsia="Times New Roman" w:cs="Arial"/>
                <w:sz w:val="20"/>
                <w:szCs w:val="20"/>
                <w:lang w:val="fr-FR" w:eastAsia="it-IT"/>
              </w:rPr>
              <w:t xml:space="preserve">Améliorer le système de contrôle environnemental : i) associer la </w:t>
            </w:r>
            <w:r w:rsidRPr="00094841">
              <w:rPr>
                <w:rFonts w:eastAsia="Times New Roman" w:cs="Arial"/>
                <w:sz w:val="20"/>
                <w:szCs w:val="20"/>
                <w:lang w:val="fr-FR" w:eastAsia="it-IT"/>
              </w:rPr>
              <w:t>société civile et les</w:t>
            </w:r>
            <w:r w:rsidRPr="004B3056">
              <w:rPr>
                <w:rFonts w:eastAsia="Times New Roman" w:cs="Arial"/>
                <w:sz w:val="20"/>
                <w:szCs w:val="20"/>
                <w:lang w:val="fr-FR" w:eastAsia="it-IT"/>
              </w:rPr>
              <w:t xml:space="preserve"> </w:t>
            </w:r>
            <w:r w:rsidR="003E13CD" w:rsidRPr="004B3056">
              <w:rPr>
                <w:rFonts w:eastAsia="Times New Roman" w:cs="Arial"/>
                <w:sz w:val="20"/>
                <w:szCs w:val="20"/>
                <w:lang w:val="fr-FR" w:eastAsia="it-IT"/>
              </w:rPr>
              <w:t>communes au</w:t>
            </w:r>
            <w:r w:rsidRPr="004B3056">
              <w:rPr>
                <w:rFonts w:eastAsia="Times New Roman" w:cs="Arial"/>
                <w:sz w:val="20"/>
                <w:szCs w:val="20"/>
                <w:lang w:val="fr-FR" w:eastAsia="it-IT"/>
              </w:rPr>
              <w:t xml:space="preserve"> contrôle des PGES /EIES ; (ii) assurer la neutralité des contrôleurs</w:t>
            </w:r>
          </w:p>
        </w:tc>
        <w:tc>
          <w:tcPr>
            <w:tcW w:w="6239" w:type="dxa"/>
          </w:tcPr>
          <w:p w14:paraId="3EEBD408" w14:textId="77777777" w:rsidR="00261588" w:rsidRPr="004B3056" w:rsidRDefault="00261588" w:rsidP="00261588">
            <w:pPr>
              <w:spacing w:line="240" w:lineRule="auto"/>
              <w:contextualSpacing/>
              <w:rPr>
                <w:rFonts w:eastAsia="SimSun" w:cs="Arial"/>
                <w:sz w:val="20"/>
                <w:szCs w:val="20"/>
                <w:lang w:val="fr-FR" w:eastAsia="zh-CN"/>
              </w:rPr>
            </w:pPr>
            <w:r w:rsidRPr="004B3056">
              <w:rPr>
                <w:rFonts w:eastAsia="SimSun" w:cs="Arial"/>
                <w:sz w:val="20"/>
                <w:szCs w:val="20"/>
                <w:lang w:val="fr-FR" w:eastAsia="zh-CN"/>
              </w:rPr>
              <w:t xml:space="preserve">Un décret sur le transfert de compétence de gestion des ressources naturelles (forêts et faune) existe depuis 1/2018. Quelques brigades villageoises de surveillance et / ou de gestion des forêts ont été redynamisées /mises en place. Mais la SC n’est pas associée aux missions de contrôle des PGES/EIES, la DNACPN opère toujours avec 10% du personnel prévu et dépendante financièrement des entreprises à contrôler. </w:t>
            </w:r>
          </w:p>
        </w:tc>
        <w:tc>
          <w:tcPr>
            <w:tcW w:w="1128" w:type="dxa"/>
          </w:tcPr>
          <w:p w14:paraId="783200A2" w14:textId="77777777" w:rsidR="00261588" w:rsidRPr="004B3056" w:rsidRDefault="00261588" w:rsidP="00261588">
            <w:pPr>
              <w:spacing w:line="240" w:lineRule="auto"/>
              <w:jc w:val="center"/>
              <w:rPr>
                <w:rFonts w:eastAsia="SimSun" w:cs="Arial"/>
                <w:sz w:val="32"/>
                <w:szCs w:val="32"/>
                <w:lang w:eastAsia="zh-CN"/>
              </w:rPr>
            </w:pPr>
            <w:r w:rsidRPr="004B3056">
              <w:rPr>
                <w:rFonts w:cs="Arial"/>
                <w:b/>
                <w:sz w:val="32"/>
                <w:szCs w:val="32"/>
                <w:lang w:eastAsia="it-IT"/>
              </w:rPr>
              <w:sym w:font="Wingdings" w:char="F04B"/>
            </w:r>
          </w:p>
        </w:tc>
        <w:tc>
          <w:tcPr>
            <w:tcW w:w="1806" w:type="dxa"/>
          </w:tcPr>
          <w:p w14:paraId="314F3CDD" w14:textId="77777777" w:rsidR="00261588" w:rsidRPr="004B3056" w:rsidRDefault="00261588" w:rsidP="00520D78">
            <w:pPr>
              <w:numPr>
                <w:ilvl w:val="0"/>
                <w:numId w:val="7"/>
              </w:numPr>
              <w:spacing w:after="0" w:line="240" w:lineRule="auto"/>
              <w:contextualSpacing/>
              <w:jc w:val="left"/>
              <w:rPr>
                <w:rFonts w:eastAsia="SimSun" w:cs="Arial"/>
                <w:sz w:val="20"/>
                <w:szCs w:val="20"/>
                <w:lang w:val="fr-FR" w:eastAsia="zh-CN"/>
              </w:rPr>
            </w:pPr>
          </w:p>
        </w:tc>
      </w:tr>
      <w:tr w:rsidR="00261588" w:rsidRPr="004B3056" w14:paraId="02B4468B" w14:textId="77777777" w:rsidTr="00261588">
        <w:tc>
          <w:tcPr>
            <w:tcW w:w="0" w:type="auto"/>
          </w:tcPr>
          <w:p w14:paraId="48954B9B" w14:textId="77777777" w:rsidR="00261588" w:rsidRPr="004B3056" w:rsidRDefault="00261588" w:rsidP="00261588">
            <w:pPr>
              <w:overflowPunct w:val="0"/>
              <w:autoSpaceDE w:val="0"/>
              <w:autoSpaceDN w:val="0"/>
              <w:adjustRightInd w:val="0"/>
              <w:spacing w:after="0" w:line="240" w:lineRule="auto"/>
              <w:contextualSpacing/>
              <w:textAlignment w:val="baseline"/>
              <w:rPr>
                <w:rFonts w:eastAsia="Times New Roman" w:cs="Arial"/>
                <w:sz w:val="20"/>
                <w:szCs w:val="20"/>
                <w:lang w:val="fr-FR" w:eastAsia="it-IT"/>
              </w:rPr>
            </w:pPr>
            <w:r w:rsidRPr="004B3056">
              <w:rPr>
                <w:rFonts w:eastAsia="Times New Roman" w:cs="Arial"/>
                <w:sz w:val="20"/>
                <w:szCs w:val="20"/>
                <w:lang w:val="fr-FR" w:eastAsia="it-IT"/>
              </w:rPr>
              <w:t>Réaliser une revue institutionnelle des modes de gestion environnementale pour une approche transversale effective de prise en compte des questions environnementales</w:t>
            </w:r>
          </w:p>
        </w:tc>
        <w:tc>
          <w:tcPr>
            <w:tcW w:w="6239" w:type="dxa"/>
          </w:tcPr>
          <w:p w14:paraId="22825D31" w14:textId="77777777" w:rsidR="00261588" w:rsidRPr="004B3056" w:rsidRDefault="00261588" w:rsidP="00261588">
            <w:pPr>
              <w:spacing w:after="0" w:line="240" w:lineRule="auto"/>
              <w:contextualSpacing/>
              <w:rPr>
                <w:rFonts w:eastAsia="SimSun" w:cs="Arial"/>
                <w:sz w:val="20"/>
                <w:szCs w:val="20"/>
                <w:lang w:val="fr-FR" w:eastAsia="zh-CN"/>
              </w:rPr>
            </w:pPr>
            <w:r w:rsidRPr="004B3056">
              <w:rPr>
                <w:rFonts w:eastAsia="SimSun" w:cs="Arial"/>
                <w:sz w:val="20"/>
                <w:szCs w:val="20"/>
                <w:lang w:val="fr-FR" w:eastAsia="zh-CN"/>
              </w:rPr>
              <w:t xml:space="preserve">Il n’y a pas eu de revue institutionnelle. Le morcellement institutionnel est identique, sans simplifications ou clarifications des tâches depuis le PEP 2014. La communication inter- et intra- ministérielle fait défaut avec une circulation insuffisante des documents indispensables pour que les autres concernés au niveau régional ou dans les autres institutions puissent assurer les tâches. Le MEADD et surtout l’AEDD sont toujours gestionnaires de projets opérationnels et </w:t>
            </w:r>
            <w:r w:rsidRPr="004B3056">
              <w:rPr>
                <w:rFonts w:eastAsia="SimSun" w:cs="Arial"/>
                <w:sz w:val="20"/>
                <w:szCs w:val="20"/>
                <w:lang w:val="fr-FR" w:eastAsia="zh-CN"/>
              </w:rPr>
              <w:lastRenderedPageBreak/>
              <w:t>le développement des PPP reste très timide (4 PPP pour la DNEF. Les contrats pour l’assainissement de Bamako rencontrent beaucoup de problèmes dans la mise en œuvre). L’AEDD est toujours une structure attachée au MEADD et à un niveau institutionnel trop bas pour assurer une véritable prise en compte transversale de l’environnement dans tous les domaines. L’inscription d’un environnement sain dans la constitution, préconise en principe une structure attachée à la Primature.</w:t>
            </w:r>
          </w:p>
          <w:p w14:paraId="7E3DD925" w14:textId="77777777" w:rsidR="00261588" w:rsidRPr="004B3056" w:rsidRDefault="00261588" w:rsidP="00261588">
            <w:pPr>
              <w:spacing w:after="0" w:line="240" w:lineRule="auto"/>
              <w:contextualSpacing/>
              <w:rPr>
                <w:rFonts w:eastAsia="SimSun" w:cs="Arial"/>
                <w:sz w:val="20"/>
                <w:szCs w:val="20"/>
                <w:lang w:val="fr-FR" w:eastAsia="zh-CN"/>
              </w:rPr>
            </w:pPr>
          </w:p>
          <w:p w14:paraId="25C05110" w14:textId="77777777" w:rsidR="00261588" w:rsidRPr="004B3056" w:rsidRDefault="00261588" w:rsidP="00261588">
            <w:pPr>
              <w:spacing w:after="0" w:line="240" w:lineRule="auto"/>
              <w:contextualSpacing/>
              <w:rPr>
                <w:rFonts w:eastAsia="SimSun" w:cs="Arial"/>
                <w:sz w:val="20"/>
                <w:szCs w:val="20"/>
                <w:lang w:val="fr-FR" w:eastAsia="zh-CN"/>
              </w:rPr>
            </w:pPr>
            <w:r w:rsidRPr="004B3056">
              <w:rPr>
                <w:rFonts w:eastAsia="SimSun" w:cs="Arial"/>
                <w:sz w:val="20"/>
                <w:szCs w:val="20"/>
                <w:lang w:val="fr-FR" w:eastAsia="zh-CN"/>
              </w:rPr>
              <w:t>La proposition d’une Cellule Nationale de Coordination des ODD attachée à la Primature, existe depuis le 29/9/2017, mais elle n’est pas encore acceptée et aucun processus n’est engagé.</w:t>
            </w:r>
          </w:p>
        </w:tc>
        <w:tc>
          <w:tcPr>
            <w:tcW w:w="1128" w:type="dxa"/>
          </w:tcPr>
          <w:p w14:paraId="5DF28696" w14:textId="77777777" w:rsidR="00261588" w:rsidRPr="004B3056" w:rsidRDefault="00261588" w:rsidP="00261588">
            <w:pPr>
              <w:spacing w:after="0" w:line="240" w:lineRule="auto"/>
              <w:jc w:val="center"/>
              <w:rPr>
                <w:rFonts w:eastAsia="SimSun" w:cs="Arial"/>
                <w:sz w:val="32"/>
                <w:szCs w:val="32"/>
                <w:lang w:eastAsia="zh-CN"/>
              </w:rPr>
            </w:pPr>
            <w:r w:rsidRPr="004B3056">
              <w:rPr>
                <w:rFonts w:cs="Arial"/>
                <w:b/>
                <w:sz w:val="32"/>
                <w:szCs w:val="32"/>
                <w:lang w:eastAsia="it-IT"/>
              </w:rPr>
              <w:lastRenderedPageBreak/>
              <w:sym w:font="Wingdings" w:char="F04C"/>
            </w:r>
          </w:p>
        </w:tc>
        <w:tc>
          <w:tcPr>
            <w:tcW w:w="1806" w:type="dxa"/>
          </w:tcPr>
          <w:p w14:paraId="3C22160A" w14:textId="77777777" w:rsidR="00261588" w:rsidRPr="004B3056" w:rsidRDefault="00261588" w:rsidP="00261588">
            <w:pPr>
              <w:spacing w:after="0" w:line="240" w:lineRule="auto"/>
              <w:rPr>
                <w:rFonts w:eastAsia="SimSun" w:cs="Arial"/>
                <w:sz w:val="20"/>
                <w:szCs w:val="20"/>
                <w:lang w:eastAsia="zh-CN"/>
              </w:rPr>
            </w:pPr>
          </w:p>
        </w:tc>
      </w:tr>
      <w:tr w:rsidR="00261588" w:rsidRPr="004B3056" w14:paraId="2BF43D7E" w14:textId="77777777" w:rsidTr="00261588">
        <w:tc>
          <w:tcPr>
            <w:tcW w:w="0" w:type="auto"/>
          </w:tcPr>
          <w:p w14:paraId="5902EBDB" w14:textId="77777777" w:rsidR="00261588" w:rsidRPr="004B3056" w:rsidRDefault="00261588" w:rsidP="00261588">
            <w:pPr>
              <w:overflowPunct w:val="0"/>
              <w:autoSpaceDE w:val="0"/>
              <w:autoSpaceDN w:val="0"/>
              <w:adjustRightInd w:val="0"/>
              <w:spacing w:after="0" w:line="240" w:lineRule="auto"/>
              <w:contextualSpacing/>
              <w:textAlignment w:val="baseline"/>
              <w:rPr>
                <w:rFonts w:eastAsia="Times New Roman" w:cs="Arial"/>
                <w:sz w:val="20"/>
                <w:szCs w:val="20"/>
                <w:lang w:val="fr-FR" w:eastAsia="it-IT"/>
              </w:rPr>
            </w:pPr>
            <w:r w:rsidRPr="004B3056">
              <w:rPr>
                <w:rFonts w:eastAsia="Times New Roman" w:cs="Arial"/>
                <w:sz w:val="20"/>
                <w:szCs w:val="20"/>
                <w:lang w:val="fr-FR" w:eastAsia="it-IT"/>
              </w:rPr>
              <w:lastRenderedPageBreak/>
              <w:t xml:space="preserve">Promouvoir les mécanismes de planification / coopération  régionaux/communaux et créer une coopération entre le MEEA et l’aménagement du territoire dans le but d’un Développement Durable (DD) (*) </w:t>
            </w:r>
          </w:p>
        </w:tc>
        <w:tc>
          <w:tcPr>
            <w:tcW w:w="6239" w:type="dxa"/>
          </w:tcPr>
          <w:p w14:paraId="601F1497" w14:textId="77777777" w:rsidR="00261588" w:rsidRPr="00A02048" w:rsidRDefault="00261588" w:rsidP="00261588">
            <w:pPr>
              <w:spacing w:after="0" w:line="240" w:lineRule="auto"/>
              <w:contextualSpacing/>
              <w:rPr>
                <w:rFonts w:eastAsia="SimSun" w:cs="Arial"/>
                <w:sz w:val="20"/>
                <w:szCs w:val="20"/>
                <w:lang w:val="fr-FR" w:eastAsia="zh-CN"/>
              </w:rPr>
            </w:pPr>
            <w:r w:rsidRPr="00A02048">
              <w:rPr>
                <w:rFonts w:eastAsia="SimSun" w:cs="Arial"/>
                <w:sz w:val="20"/>
                <w:szCs w:val="20"/>
                <w:lang w:val="fr-FR" w:eastAsia="zh-CN"/>
              </w:rPr>
              <w:t xml:space="preserve">Plusieurs SAT communaux, PCAE, SDU, Schéma d’Aménagement et de DD, Schéma Directeur de Restauration et de Conservation de la Biodiversité et des Ressources Naturelles du DIN sont élaborés </w:t>
            </w:r>
            <w:r w:rsidR="00421A9F" w:rsidRPr="00A02048">
              <w:rPr>
                <w:rFonts w:eastAsia="SimSun" w:cs="Arial"/>
                <w:sz w:val="20"/>
                <w:szCs w:val="20"/>
                <w:lang w:val="fr-FR" w:eastAsia="zh-CN"/>
              </w:rPr>
              <w:t>(pour la</w:t>
            </w:r>
            <w:r w:rsidRPr="00A02048">
              <w:rPr>
                <w:rFonts w:eastAsia="SimSun" w:cs="Arial"/>
                <w:sz w:val="20"/>
                <w:szCs w:val="20"/>
                <w:lang w:val="fr-FR" w:eastAsia="zh-CN"/>
              </w:rPr>
              <w:t xml:space="preserve"> DNAT avec l’appui de la BAD</w:t>
            </w:r>
            <w:r w:rsidR="00421A9F" w:rsidRPr="00A02048">
              <w:rPr>
                <w:rFonts w:eastAsia="SimSun" w:cs="Arial"/>
                <w:sz w:val="20"/>
                <w:szCs w:val="20"/>
                <w:lang w:val="fr-FR" w:eastAsia="zh-CN"/>
              </w:rPr>
              <w:t>)</w:t>
            </w:r>
            <w:r w:rsidRPr="00A02048">
              <w:rPr>
                <w:rFonts w:eastAsia="SimSun" w:cs="Arial"/>
                <w:sz w:val="20"/>
                <w:szCs w:val="20"/>
                <w:lang w:val="fr-FR" w:eastAsia="zh-CN"/>
              </w:rPr>
              <w:t xml:space="preserve"> et les efforts se poursuivent, mais une coopération étroite avec le MEADD ne ressort pas.</w:t>
            </w:r>
          </w:p>
          <w:p w14:paraId="2365C225" w14:textId="77777777" w:rsidR="00261588" w:rsidRPr="00A02048" w:rsidRDefault="00261588" w:rsidP="00261588">
            <w:pPr>
              <w:spacing w:after="0" w:line="240" w:lineRule="auto"/>
              <w:contextualSpacing/>
              <w:rPr>
                <w:rFonts w:eastAsia="SimSun" w:cs="Arial"/>
                <w:sz w:val="20"/>
                <w:szCs w:val="20"/>
                <w:lang w:val="fr-FR" w:eastAsia="zh-CN"/>
              </w:rPr>
            </w:pPr>
            <w:r w:rsidRPr="00A02048">
              <w:rPr>
                <w:rFonts w:eastAsia="SimSun" w:cs="Arial"/>
                <w:sz w:val="20"/>
                <w:szCs w:val="20"/>
                <w:lang w:val="fr-FR" w:eastAsia="zh-CN"/>
              </w:rPr>
              <w:t>Les mécanismes de coordination intersectorielle (CROCSAD, CLOCSAD,..) sont très peu fonctionnels.</w:t>
            </w:r>
          </w:p>
          <w:p w14:paraId="11D5BE64" w14:textId="77777777" w:rsidR="00261588" w:rsidRPr="00A02048" w:rsidRDefault="00261588" w:rsidP="00261588">
            <w:pPr>
              <w:spacing w:after="0" w:line="240" w:lineRule="auto"/>
              <w:contextualSpacing/>
              <w:rPr>
                <w:rFonts w:eastAsia="SimSun" w:cs="Arial"/>
                <w:sz w:val="20"/>
                <w:szCs w:val="20"/>
                <w:lang w:val="fr-FR" w:eastAsia="zh-CN"/>
              </w:rPr>
            </w:pPr>
          </w:p>
          <w:p w14:paraId="4FF5B79A" w14:textId="77777777" w:rsidR="00261588" w:rsidRPr="00A02048" w:rsidRDefault="00261588" w:rsidP="00261588">
            <w:pPr>
              <w:spacing w:after="0" w:line="240" w:lineRule="auto"/>
              <w:contextualSpacing/>
              <w:rPr>
                <w:rFonts w:eastAsia="SimSun" w:cs="Arial"/>
                <w:sz w:val="20"/>
                <w:szCs w:val="20"/>
                <w:lang w:val="fr-FR" w:eastAsia="zh-CN"/>
              </w:rPr>
            </w:pPr>
          </w:p>
        </w:tc>
        <w:tc>
          <w:tcPr>
            <w:tcW w:w="1128" w:type="dxa"/>
          </w:tcPr>
          <w:p w14:paraId="20916E68" w14:textId="77777777" w:rsidR="00261588" w:rsidRPr="00A02048" w:rsidRDefault="00261588" w:rsidP="00261588">
            <w:pPr>
              <w:spacing w:after="0" w:line="240" w:lineRule="auto"/>
              <w:jc w:val="center"/>
              <w:rPr>
                <w:rFonts w:eastAsia="SimSun" w:cs="Arial"/>
                <w:sz w:val="32"/>
                <w:szCs w:val="32"/>
                <w:lang w:eastAsia="zh-CN"/>
              </w:rPr>
            </w:pPr>
            <w:r w:rsidRPr="00A02048">
              <w:rPr>
                <w:rFonts w:cs="Arial"/>
                <w:b/>
                <w:sz w:val="32"/>
                <w:szCs w:val="32"/>
                <w:lang w:eastAsia="it-IT"/>
              </w:rPr>
              <w:sym w:font="Wingdings" w:char="F04B"/>
            </w:r>
          </w:p>
        </w:tc>
        <w:tc>
          <w:tcPr>
            <w:tcW w:w="1806" w:type="dxa"/>
          </w:tcPr>
          <w:p w14:paraId="06454EFF" w14:textId="77777777" w:rsidR="00261588" w:rsidRPr="00A02048" w:rsidRDefault="00261588" w:rsidP="00261588">
            <w:pPr>
              <w:spacing w:after="0" w:line="240" w:lineRule="auto"/>
              <w:jc w:val="left"/>
              <w:rPr>
                <w:rFonts w:eastAsia="SimSun" w:cs="Arial"/>
                <w:sz w:val="20"/>
                <w:szCs w:val="20"/>
                <w:lang w:eastAsia="zh-CN"/>
              </w:rPr>
            </w:pPr>
            <w:r w:rsidRPr="00A02048">
              <w:rPr>
                <w:rFonts w:eastAsia="SimSun" w:cs="Arial"/>
                <w:sz w:val="20"/>
                <w:szCs w:val="20"/>
                <w:lang w:eastAsia="zh-CN"/>
              </w:rPr>
              <w:t>Le REE 2018 ne fait pas mention des efforts faits pour une planification spatiale harmonisée intégrant les questions environnementales</w:t>
            </w:r>
          </w:p>
        </w:tc>
      </w:tr>
      <w:tr w:rsidR="00261588" w:rsidRPr="004B3056" w14:paraId="784E55FF" w14:textId="77777777" w:rsidTr="00261588">
        <w:tc>
          <w:tcPr>
            <w:tcW w:w="0" w:type="auto"/>
          </w:tcPr>
          <w:p w14:paraId="53E7CEBC" w14:textId="77777777" w:rsidR="00261588" w:rsidRPr="004B3056" w:rsidRDefault="00261588" w:rsidP="00261588">
            <w:pPr>
              <w:overflowPunct w:val="0"/>
              <w:autoSpaceDE w:val="0"/>
              <w:autoSpaceDN w:val="0"/>
              <w:adjustRightInd w:val="0"/>
              <w:spacing w:after="0" w:line="240" w:lineRule="auto"/>
              <w:contextualSpacing/>
              <w:textAlignment w:val="baseline"/>
              <w:rPr>
                <w:rFonts w:eastAsia="Times New Roman" w:cs="Arial"/>
                <w:sz w:val="20"/>
                <w:szCs w:val="20"/>
                <w:lang w:val="fr-FR" w:eastAsia="it-IT"/>
              </w:rPr>
            </w:pPr>
            <w:r w:rsidRPr="004B3056">
              <w:rPr>
                <w:rFonts w:eastAsia="Times New Roman" w:cs="Arial"/>
                <w:sz w:val="20"/>
                <w:szCs w:val="20"/>
                <w:lang w:val="fr-FR" w:eastAsia="it-IT"/>
              </w:rPr>
              <w:t xml:space="preserve">Finaliser l’institutionnalisation des EES et assurer la mise en œuvre des recommandations pour toutes les politiques et programmes du GdM.  </w:t>
            </w:r>
          </w:p>
        </w:tc>
        <w:tc>
          <w:tcPr>
            <w:tcW w:w="6239" w:type="dxa"/>
          </w:tcPr>
          <w:p w14:paraId="7EF2D277" w14:textId="77777777" w:rsidR="00261588" w:rsidRPr="00A02048" w:rsidRDefault="00261588" w:rsidP="00261588">
            <w:pPr>
              <w:spacing w:after="0" w:line="240" w:lineRule="auto"/>
              <w:contextualSpacing/>
              <w:rPr>
                <w:rFonts w:eastAsia="SimSun" w:cs="Arial"/>
                <w:sz w:val="20"/>
                <w:szCs w:val="20"/>
                <w:lang w:val="fr-FR" w:eastAsia="zh-CN"/>
              </w:rPr>
            </w:pPr>
            <w:r w:rsidRPr="00A02048">
              <w:rPr>
                <w:rFonts w:eastAsia="SimSun" w:cs="Arial"/>
                <w:sz w:val="20"/>
                <w:szCs w:val="20"/>
                <w:lang w:val="fr-FR" w:eastAsia="zh-CN"/>
              </w:rPr>
              <w:t>Les EIES et PGES sont obligatoires pour tous les projets. Plusieurs politiques nationales sont accompagnées d’une EES. Mais la mise en œuvre est rarement faite par manque de suivi et les promoteurs des projets évitent très souvent l’engagement de dépenses environnementales lors des arbitrages.</w:t>
            </w:r>
          </w:p>
        </w:tc>
        <w:tc>
          <w:tcPr>
            <w:tcW w:w="1128" w:type="dxa"/>
          </w:tcPr>
          <w:p w14:paraId="44812D12" w14:textId="77777777" w:rsidR="00261588" w:rsidRPr="00A02048" w:rsidRDefault="00261588" w:rsidP="00261588">
            <w:pPr>
              <w:spacing w:after="0" w:line="240" w:lineRule="auto"/>
              <w:jc w:val="center"/>
              <w:rPr>
                <w:rFonts w:eastAsia="SimSun" w:cs="Arial"/>
                <w:sz w:val="32"/>
                <w:szCs w:val="32"/>
                <w:lang w:eastAsia="zh-CN"/>
              </w:rPr>
            </w:pPr>
            <w:r w:rsidRPr="00A02048">
              <w:rPr>
                <w:rFonts w:cs="Arial"/>
                <w:b/>
                <w:sz w:val="32"/>
                <w:szCs w:val="32"/>
                <w:lang w:eastAsia="it-IT"/>
              </w:rPr>
              <w:sym w:font="Wingdings" w:char="F04B"/>
            </w:r>
          </w:p>
        </w:tc>
        <w:tc>
          <w:tcPr>
            <w:tcW w:w="1806" w:type="dxa"/>
          </w:tcPr>
          <w:p w14:paraId="2AAADF89" w14:textId="77777777" w:rsidR="00261588" w:rsidRPr="00A02048" w:rsidRDefault="00261588" w:rsidP="00261588">
            <w:pPr>
              <w:spacing w:after="0" w:line="240" w:lineRule="auto"/>
              <w:jc w:val="left"/>
              <w:rPr>
                <w:rFonts w:eastAsia="SimSun" w:cs="Arial"/>
                <w:sz w:val="20"/>
                <w:szCs w:val="20"/>
                <w:lang w:eastAsia="zh-CN"/>
              </w:rPr>
            </w:pPr>
            <w:r w:rsidRPr="00A02048">
              <w:rPr>
                <w:rFonts w:eastAsia="SimSun" w:cs="Arial"/>
                <w:sz w:val="20"/>
                <w:szCs w:val="20"/>
                <w:lang w:eastAsia="zh-CN"/>
              </w:rPr>
              <w:t>Les contrôles et l’application des sanctions en cas de besoin sont indispensables pour obtenir un changement dans les mentalités / comportements.</w:t>
            </w:r>
          </w:p>
        </w:tc>
      </w:tr>
      <w:tr w:rsidR="00261588" w:rsidRPr="004B3056" w14:paraId="7B6464EE" w14:textId="77777777" w:rsidTr="00261588">
        <w:tc>
          <w:tcPr>
            <w:tcW w:w="0" w:type="auto"/>
          </w:tcPr>
          <w:p w14:paraId="7045FF8F" w14:textId="77777777" w:rsidR="00261588" w:rsidRPr="004B3056" w:rsidRDefault="00261588" w:rsidP="00261588">
            <w:pPr>
              <w:overflowPunct w:val="0"/>
              <w:autoSpaceDE w:val="0"/>
              <w:autoSpaceDN w:val="0"/>
              <w:adjustRightInd w:val="0"/>
              <w:spacing w:after="0" w:line="240" w:lineRule="auto"/>
              <w:contextualSpacing/>
              <w:textAlignment w:val="baseline"/>
              <w:rPr>
                <w:rFonts w:eastAsia="Times New Roman" w:cs="Arial"/>
                <w:sz w:val="20"/>
                <w:szCs w:val="20"/>
                <w:lang w:val="fr-FR" w:eastAsia="it-IT"/>
              </w:rPr>
            </w:pPr>
            <w:r w:rsidRPr="004B3056">
              <w:rPr>
                <w:rFonts w:eastAsia="Times New Roman" w:cs="Arial"/>
                <w:sz w:val="20"/>
                <w:szCs w:val="20"/>
                <w:lang w:val="fr-FR" w:eastAsia="it-IT"/>
              </w:rPr>
              <w:t>Faire une EES pour l’orpaillage artisanal.</w:t>
            </w:r>
          </w:p>
        </w:tc>
        <w:tc>
          <w:tcPr>
            <w:tcW w:w="6239" w:type="dxa"/>
          </w:tcPr>
          <w:p w14:paraId="486A0EC1" w14:textId="77777777" w:rsidR="00261588" w:rsidRPr="00A02048" w:rsidRDefault="00261588" w:rsidP="00261588">
            <w:pPr>
              <w:spacing w:after="0" w:line="240" w:lineRule="auto"/>
              <w:contextualSpacing/>
              <w:rPr>
                <w:rFonts w:eastAsia="SimSun" w:cs="Arial"/>
                <w:sz w:val="20"/>
                <w:szCs w:val="20"/>
                <w:lang w:val="fr-FR" w:eastAsia="zh-CN"/>
              </w:rPr>
            </w:pPr>
            <w:r w:rsidRPr="00A02048">
              <w:rPr>
                <w:rFonts w:eastAsia="SimSun" w:cs="Arial"/>
                <w:sz w:val="20"/>
                <w:szCs w:val="20"/>
                <w:lang w:val="fr-FR" w:eastAsia="zh-CN"/>
              </w:rPr>
              <w:t>Il n’y a pas eu d’EES, mais plusieurs études ont été réalisées : Etude sur l'impact de l'orpaillage traditionnel sur la scolarisation des enfants, le mariage précoce, dans le Cercle de Kéniéba, Evaluation des impacts de l’exploitation aurifère par dragage sur les ressources en eaux du Mali</w:t>
            </w:r>
            <w:r w:rsidR="00421A9F" w:rsidRPr="00A02048">
              <w:rPr>
                <w:rFonts w:eastAsia="SimSun" w:cs="Arial"/>
                <w:sz w:val="20"/>
                <w:szCs w:val="20"/>
                <w:lang w:val="fr-FR" w:eastAsia="zh-CN"/>
              </w:rPr>
              <w:t>.</w:t>
            </w:r>
          </w:p>
          <w:p w14:paraId="27C4DB0E" w14:textId="77777777" w:rsidR="00421A9F" w:rsidRPr="00A02048" w:rsidRDefault="00421A9F" w:rsidP="00421A9F">
            <w:pPr>
              <w:spacing w:after="0" w:line="240" w:lineRule="auto"/>
              <w:contextualSpacing/>
              <w:rPr>
                <w:rFonts w:eastAsia="SimSun" w:cs="Arial"/>
                <w:sz w:val="20"/>
                <w:szCs w:val="20"/>
                <w:lang w:val="fr-FR" w:eastAsia="zh-CN"/>
              </w:rPr>
            </w:pPr>
            <w:r w:rsidRPr="00A02048">
              <w:rPr>
                <w:rFonts w:eastAsia="SimSun" w:cs="Arial"/>
                <w:sz w:val="20"/>
                <w:szCs w:val="20"/>
                <w:lang w:val="fr-FR" w:eastAsia="zh-CN"/>
              </w:rPr>
              <w:t>Existence d’un texte depuis Mai 2019 interdisant le dragage sur tous les cours d’eau du Mali. Code minier 2019 : interdit le dragage</w:t>
            </w:r>
          </w:p>
        </w:tc>
        <w:tc>
          <w:tcPr>
            <w:tcW w:w="1128" w:type="dxa"/>
          </w:tcPr>
          <w:p w14:paraId="461472DD" w14:textId="77777777" w:rsidR="00261588" w:rsidRPr="00A02048" w:rsidRDefault="00261588" w:rsidP="00261588">
            <w:pPr>
              <w:spacing w:after="0" w:line="240" w:lineRule="auto"/>
              <w:jc w:val="center"/>
              <w:rPr>
                <w:rFonts w:eastAsia="SimSun" w:cs="Arial"/>
                <w:sz w:val="32"/>
                <w:szCs w:val="32"/>
                <w:lang w:eastAsia="zh-CN"/>
              </w:rPr>
            </w:pPr>
            <w:r w:rsidRPr="00A02048">
              <w:rPr>
                <w:rFonts w:eastAsia="SimSun" w:cs="Arial"/>
                <w:b/>
                <w:sz w:val="32"/>
                <w:szCs w:val="32"/>
                <w:lang w:val="de-DE" w:eastAsia="zh-CN"/>
              </w:rPr>
              <w:sym w:font="Wingdings" w:char="F04A"/>
            </w:r>
          </w:p>
        </w:tc>
        <w:tc>
          <w:tcPr>
            <w:tcW w:w="1806" w:type="dxa"/>
            <w:shd w:val="clear" w:color="auto" w:fill="auto"/>
          </w:tcPr>
          <w:p w14:paraId="19876CC4" w14:textId="77777777" w:rsidR="00261588" w:rsidRPr="00A02048" w:rsidRDefault="00261588" w:rsidP="00261588">
            <w:pPr>
              <w:spacing w:after="0" w:line="240" w:lineRule="auto"/>
              <w:rPr>
                <w:rFonts w:eastAsia="SimSun" w:cs="Arial"/>
                <w:sz w:val="20"/>
                <w:szCs w:val="20"/>
                <w:lang w:eastAsia="zh-CN"/>
              </w:rPr>
            </w:pPr>
            <w:r w:rsidRPr="00A02048">
              <w:rPr>
                <w:rFonts w:eastAsia="SimSun" w:cs="Arial"/>
                <w:sz w:val="20"/>
                <w:szCs w:val="20"/>
                <w:lang w:eastAsia="zh-CN"/>
              </w:rPr>
              <w:t>Prises des décisions interministérielles est fait, mesures concrètes sont  prévues, mais il y a</w:t>
            </w:r>
            <w:r w:rsidR="00421A9F" w:rsidRPr="00A02048">
              <w:rPr>
                <w:rFonts w:eastAsia="SimSun" w:cs="Arial"/>
                <w:sz w:val="20"/>
                <w:szCs w:val="20"/>
                <w:lang w:eastAsia="zh-CN"/>
              </w:rPr>
              <w:t>vait</w:t>
            </w:r>
            <w:r w:rsidRPr="00A02048">
              <w:rPr>
                <w:rFonts w:eastAsia="SimSun" w:cs="Arial"/>
                <w:sz w:val="20"/>
                <w:szCs w:val="20"/>
                <w:lang w:eastAsia="zh-CN"/>
              </w:rPr>
              <w:t xml:space="preserve"> suspension de la mise en application</w:t>
            </w:r>
            <w:r w:rsidR="00421A9F" w:rsidRPr="00A02048">
              <w:rPr>
                <w:rFonts w:eastAsia="SimSun" w:cs="Arial"/>
                <w:sz w:val="20"/>
                <w:szCs w:val="20"/>
                <w:lang w:eastAsia="zh-CN"/>
              </w:rPr>
              <w:t xml:space="preserve"> 2018</w:t>
            </w:r>
            <w:r w:rsidRPr="00A02048">
              <w:rPr>
                <w:rFonts w:eastAsia="SimSun" w:cs="Arial"/>
                <w:sz w:val="20"/>
                <w:szCs w:val="20"/>
                <w:lang w:eastAsia="zh-CN"/>
              </w:rPr>
              <w:t xml:space="preserve"> pour éviter des troubles avant l’élection </w:t>
            </w:r>
            <w:r w:rsidRPr="00A02048">
              <w:rPr>
                <w:rFonts w:eastAsia="SimSun" w:cs="Arial"/>
                <w:sz w:val="20"/>
                <w:szCs w:val="20"/>
                <w:lang w:eastAsia="zh-CN"/>
              </w:rPr>
              <w:lastRenderedPageBreak/>
              <w:t>présidentielle.</w:t>
            </w:r>
          </w:p>
        </w:tc>
      </w:tr>
      <w:tr w:rsidR="00261588" w:rsidRPr="004B3056" w14:paraId="6D348394" w14:textId="77777777" w:rsidTr="00261588">
        <w:tc>
          <w:tcPr>
            <w:tcW w:w="0" w:type="auto"/>
          </w:tcPr>
          <w:p w14:paraId="5580F479" w14:textId="77777777" w:rsidR="00261588" w:rsidRPr="004B3056" w:rsidRDefault="00261588" w:rsidP="00261588">
            <w:pPr>
              <w:overflowPunct w:val="0"/>
              <w:autoSpaceDE w:val="0"/>
              <w:autoSpaceDN w:val="0"/>
              <w:adjustRightInd w:val="0"/>
              <w:spacing w:after="0" w:line="240" w:lineRule="auto"/>
              <w:contextualSpacing/>
              <w:textAlignment w:val="baseline"/>
              <w:rPr>
                <w:rFonts w:eastAsia="Times New Roman" w:cs="Arial"/>
                <w:sz w:val="20"/>
                <w:szCs w:val="20"/>
                <w:lang w:val="fr-FR" w:eastAsia="it-IT"/>
              </w:rPr>
            </w:pPr>
            <w:r w:rsidRPr="004B3056">
              <w:rPr>
                <w:rFonts w:eastAsia="Times New Roman" w:cs="Arial"/>
                <w:sz w:val="20"/>
                <w:szCs w:val="20"/>
                <w:lang w:val="fr-FR" w:eastAsia="it-IT"/>
              </w:rPr>
              <w:lastRenderedPageBreak/>
              <w:t>Insérer 1 indicateur par secteur pour le suivi du "verdissement" dans la matrice de pilotage et de suivi du CSCRP3. Ces indicateurs pourront aussi servir au suivi du 1</w:t>
            </w:r>
            <w:r w:rsidRPr="004B3056">
              <w:rPr>
                <w:rFonts w:eastAsia="Times New Roman" w:cs="Arial"/>
                <w:sz w:val="20"/>
                <w:szCs w:val="20"/>
                <w:vertAlign w:val="superscript"/>
                <w:lang w:val="fr-FR" w:eastAsia="it-IT"/>
              </w:rPr>
              <w:t>er</w:t>
            </w:r>
            <w:r w:rsidRPr="004B3056">
              <w:rPr>
                <w:rFonts w:eastAsia="Times New Roman" w:cs="Arial"/>
                <w:sz w:val="20"/>
                <w:szCs w:val="20"/>
                <w:lang w:val="fr-FR" w:eastAsia="it-IT"/>
              </w:rPr>
              <w:t xml:space="preserve"> secteur du 11</w:t>
            </w:r>
            <w:r w:rsidRPr="004B3056">
              <w:rPr>
                <w:rFonts w:eastAsia="Times New Roman" w:cs="Arial"/>
                <w:sz w:val="20"/>
                <w:szCs w:val="20"/>
                <w:vertAlign w:val="superscript"/>
                <w:lang w:val="fr-FR" w:eastAsia="it-IT"/>
              </w:rPr>
              <w:t>ème</w:t>
            </w:r>
            <w:r w:rsidRPr="004B3056">
              <w:rPr>
                <w:rFonts w:eastAsia="Times New Roman" w:cs="Arial"/>
                <w:sz w:val="20"/>
                <w:szCs w:val="20"/>
                <w:lang w:val="fr-FR" w:eastAsia="it-IT"/>
              </w:rPr>
              <w:t xml:space="preserve"> FED (Réforme de l’Etat et consolidation de l’Etat de droit) (*). </w:t>
            </w:r>
          </w:p>
        </w:tc>
        <w:tc>
          <w:tcPr>
            <w:tcW w:w="6239" w:type="dxa"/>
          </w:tcPr>
          <w:p w14:paraId="4F2FA318" w14:textId="77777777" w:rsidR="00261588" w:rsidRPr="004B3056" w:rsidRDefault="00261588" w:rsidP="00261588">
            <w:pPr>
              <w:spacing w:after="0" w:line="240" w:lineRule="auto"/>
              <w:contextualSpacing/>
              <w:rPr>
                <w:rFonts w:eastAsia="SimSun" w:cs="Arial"/>
                <w:sz w:val="20"/>
                <w:szCs w:val="20"/>
                <w:lang w:val="fr-FR" w:eastAsia="zh-CN"/>
              </w:rPr>
            </w:pPr>
            <w:r w:rsidRPr="004B3056">
              <w:rPr>
                <w:rFonts w:eastAsia="SimSun" w:cs="Arial"/>
                <w:sz w:val="20"/>
                <w:szCs w:val="20"/>
                <w:lang w:val="fr-FR" w:eastAsia="zh-CN"/>
              </w:rPr>
              <w:t>Malgré l’alignement du CREDD aux ODD,  le CREDD considèrent l’environnement toujours de façon sectorielle et pas comme un élément transversal de tous les domaines. Il n’y a pas d’indicateurs environnementaux dans plusieurs domaines (finances, macro-économie,..)</w:t>
            </w:r>
          </w:p>
        </w:tc>
        <w:tc>
          <w:tcPr>
            <w:tcW w:w="1128" w:type="dxa"/>
          </w:tcPr>
          <w:p w14:paraId="7190A117" w14:textId="77777777" w:rsidR="00261588" w:rsidRPr="004B3056" w:rsidRDefault="00261588" w:rsidP="00261588">
            <w:pPr>
              <w:spacing w:after="0" w:line="240" w:lineRule="auto"/>
              <w:jc w:val="center"/>
              <w:rPr>
                <w:rFonts w:eastAsia="SimSun" w:cs="Arial"/>
                <w:sz w:val="32"/>
                <w:szCs w:val="32"/>
                <w:lang w:eastAsia="zh-CN"/>
              </w:rPr>
            </w:pPr>
            <w:r w:rsidRPr="004B3056">
              <w:rPr>
                <w:rFonts w:cs="Arial"/>
                <w:b/>
                <w:sz w:val="32"/>
                <w:szCs w:val="32"/>
                <w:lang w:eastAsia="it-IT"/>
              </w:rPr>
              <w:sym w:font="Wingdings" w:char="F04C"/>
            </w:r>
          </w:p>
        </w:tc>
        <w:tc>
          <w:tcPr>
            <w:tcW w:w="1806" w:type="dxa"/>
          </w:tcPr>
          <w:p w14:paraId="5480D33C" w14:textId="77777777" w:rsidR="00261588" w:rsidRPr="004B3056" w:rsidRDefault="00261588" w:rsidP="00261588">
            <w:pPr>
              <w:spacing w:after="0" w:line="240" w:lineRule="auto"/>
              <w:rPr>
                <w:rFonts w:eastAsia="SimSun" w:cs="Arial"/>
                <w:sz w:val="20"/>
                <w:szCs w:val="20"/>
                <w:lang w:eastAsia="zh-CN"/>
              </w:rPr>
            </w:pPr>
          </w:p>
        </w:tc>
      </w:tr>
      <w:tr w:rsidR="00261588" w:rsidRPr="004B3056" w14:paraId="2421E57A" w14:textId="77777777" w:rsidTr="00261588">
        <w:tc>
          <w:tcPr>
            <w:tcW w:w="0" w:type="auto"/>
          </w:tcPr>
          <w:p w14:paraId="12A8BC5B" w14:textId="77777777" w:rsidR="00261588" w:rsidRPr="004B3056" w:rsidRDefault="00261588" w:rsidP="00261588">
            <w:pPr>
              <w:overflowPunct w:val="0"/>
              <w:autoSpaceDE w:val="0"/>
              <w:autoSpaceDN w:val="0"/>
              <w:adjustRightInd w:val="0"/>
              <w:spacing w:after="0" w:line="240" w:lineRule="auto"/>
              <w:contextualSpacing/>
              <w:textAlignment w:val="baseline"/>
              <w:rPr>
                <w:rFonts w:eastAsia="Times New Roman" w:cs="Arial"/>
                <w:sz w:val="20"/>
                <w:szCs w:val="20"/>
                <w:lang w:val="fr-FR" w:eastAsia="it-IT"/>
              </w:rPr>
            </w:pPr>
            <w:r w:rsidRPr="004B3056">
              <w:rPr>
                <w:rFonts w:eastAsia="Times New Roman" w:cs="Arial"/>
                <w:sz w:val="20"/>
                <w:szCs w:val="20"/>
                <w:lang w:val="fr-FR" w:eastAsia="it-IT"/>
              </w:rPr>
              <w:t>Finaliser la Stratégie Nationale du Développement Durable (SNDD) et assurer son appropriation et sa mise en œuvre par tous les dirigeants du pays par le biais d'une promotion du document par le MEEA (et les PTF) (*)</w:t>
            </w:r>
          </w:p>
        </w:tc>
        <w:tc>
          <w:tcPr>
            <w:tcW w:w="6239" w:type="dxa"/>
          </w:tcPr>
          <w:p w14:paraId="6E4E9EA3" w14:textId="77777777" w:rsidR="00261588" w:rsidRPr="004B3056" w:rsidRDefault="00261588" w:rsidP="00261588">
            <w:pPr>
              <w:spacing w:after="0" w:line="240" w:lineRule="auto"/>
              <w:contextualSpacing/>
              <w:rPr>
                <w:rFonts w:eastAsia="SimSun" w:cs="Arial"/>
                <w:sz w:val="20"/>
                <w:szCs w:val="20"/>
                <w:lang w:val="fr-FR" w:eastAsia="zh-CN"/>
              </w:rPr>
            </w:pPr>
            <w:r w:rsidRPr="004B3056">
              <w:rPr>
                <w:rFonts w:eastAsia="SimSun" w:cs="Arial"/>
                <w:sz w:val="20"/>
                <w:szCs w:val="20"/>
                <w:lang w:val="fr-FR" w:eastAsia="zh-CN"/>
              </w:rPr>
              <w:t>La SNDD n’existe toujours pas mettant en avant les défis du pays.  Elle n’a pas été remplacée par une approche d’alignement du CREDD aux ODD. Le CREDD  considèrent l’environnement toujours de façon sectorielle et pas comme un élément transversal de tous les domaines</w:t>
            </w:r>
          </w:p>
        </w:tc>
        <w:tc>
          <w:tcPr>
            <w:tcW w:w="1128" w:type="dxa"/>
          </w:tcPr>
          <w:p w14:paraId="5928BA2A" w14:textId="77777777" w:rsidR="00261588" w:rsidRPr="004B3056" w:rsidRDefault="00261588" w:rsidP="00261588">
            <w:pPr>
              <w:spacing w:after="0" w:line="240" w:lineRule="auto"/>
              <w:jc w:val="center"/>
              <w:rPr>
                <w:rFonts w:eastAsia="SimSun" w:cs="Arial"/>
                <w:sz w:val="32"/>
                <w:szCs w:val="32"/>
                <w:lang w:eastAsia="zh-CN"/>
              </w:rPr>
            </w:pPr>
            <w:r w:rsidRPr="004B3056">
              <w:rPr>
                <w:rFonts w:cs="Arial"/>
                <w:b/>
                <w:sz w:val="32"/>
                <w:szCs w:val="32"/>
                <w:lang w:eastAsia="it-IT"/>
              </w:rPr>
              <w:sym w:font="Wingdings" w:char="F04C"/>
            </w:r>
          </w:p>
        </w:tc>
        <w:tc>
          <w:tcPr>
            <w:tcW w:w="1806" w:type="dxa"/>
          </w:tcPr>
          <w:p w14:paraId="0A7ACD47" w14:textId="77777777" w:rsidR="00261588" w:rsidRPr="004B3056" w:rsidRDefault="00261588" w:rsidP="00261588">
            <w:pPr>
              <w:spacing w:after="0" w:line="240" w:lineRule="auto"/>
              <w:rPr>
                <w:rFonts w:eastAsia="SimSun" w:cs="Arial"/>
                <w:sz w:val="20"/>
                <w:szCs w:val="20"/>
                <w:lang w:eastAsia="zh-CN"/>
              </w:rPr>
            </w:pPr>
          </w:p>
        </w:tc>
      </w:tr>
      <w:tr w:rsidR="00261588" w:rsidRPr="004B3056" w14:paraId="428E678E" w14:textId="77777777" w:rsidTr="00261588">
        <w:tc>
          <w:tcPr>
            <w:tcW w:w="0" w:type="auto"/>
          </w:tcPr>
          <w:p w14:paraId="436D3424" w14:textId="77777777" w:rsidR="00261588" w:rsidRPr="004B3056" w:rsidRDefault="00261588" w:rsidP="00261588">
            <w:pPr>
              <w:overflowPunct w:val="0"/>
              <w:autoSpaceDE w:val="0"/>
              <w:autoSpaceDN w:val="0"/>
              <w:adjustRightInd w:val="0"/>
              <w:spacing w:after="0" w:line="240" w:lineRule="auto"/>
              <w:contextualSpacing/>
              <w:textAlignment w:val="baseline"/>
              <w:rPr>
                <w:rFonts w:eastAsia="Times New Roman" w:cs="Arial"/>
                <w:sz w:val="20"/>
                <w:szCs w:val="20"/>
                <w:lang w:val="fr-FR" w:eastAsia="it-IT"/>
              </w:rPr>
            </w:pPr>
            <w:r w:rsidRPr="004B3056">
              <w:rPr>
                <w:rFonts w:eastAsia="Times New Roman" w:cs="Arial"/>
                <w:sz w:val="20"/>
                <w:szCs w:val="20"/>
                <w:lang w:val="fr-FR" w:eastAsia="it-IT"/>
              </w:rPr>
              <w:t xml:space="preserve">Renforcer les capacités de développement des modèles (prévisions/prospectives/scénarii) et les analyses, notamment économiques du MEEA. Ceci pourrait être hébergé dans un Système National de Gestion de l'Information Environnementale (SNGIE) fonctionnel. </w:t>
            </w:r>
          </w:p>
        </w:tc>
        <w:tc>
          <w:tcPr>
            <w:tcW w:w="6239" w:type="dxa"/>
          </w:tcPr>
          <w:p w14:paraId="4F76131B" w14:textId="77777777" w:rsidR="00261588" w:rsidRPr="00E14206" w:rsidRDefault="00261588" w:rsidP="00AB3AF0">
            <w:pPr>
              <w:spacing w:after="0" w:line="240" w:lineRule="auto"/>
              <w:contextualSpacing/>
              <w:rPr>
                <w:rFonts w:eastAsia="SimSun" w:cs="Arial"/>
                <w:sz w:val="20"/>
                <w:szCs w:val="20"/>
                <w:lang w:val="fr-FR" w:eastAsia="zh-CN"/>
              </w:rPr>
            </w:pPr>
            <w:r w:rsidRPr="00E14206">
              <w:rPr>
                <w:rFonts w:eastAsia="SimSun" w:cs="Arial"/>
                <w:sz w:val="20"/>
                <w:szCs w:val="20"/>
                <w:lang w:val="fr-FR" w:eastAsia="zh-CN"/>
              </w:rPr>
              <w:t>P</w:t>
            </w:r>
            <w:r w:rsidR="00AB3AF0" w:rsidRPr="00E14206">
              <w:rPr>
                <w:rFonts w:eastAsia="SimSun" w:cs="Arial"/>
                <w:sz w:val="20"/>
                <w:szCs w:val="20"/>
                <w:lang w:val="fr-FR" w:eastAsia="zh-CN"/>
              </w:rPr>
              <w:t>eu</w:t>
            </w:r>
            <w:r w:rsidRPr="00E14206">
              <w:rPr>
                <w:rFonts w:eastAsia="SimSun" w:cs="Arial"/>
                <w:sz w:val="20"/>
                <w:szCs w:val="20"/>
                <w:lang w:val="fr-FR" w:eastAsia="zh-CN"/>
              </w:rPr>
              <w:t xml:space="preserve"> d’avancement, les études sont </w:t>
            </w:r>
            <w:r w:rsidR="00AB3AF0" w:rsidRPr="00E14206">
              <w:rPr>
                <w:rFonts w:eastAsia="SimSun" w:cs="Arial"/>
                <w:sz w:val="20"/>
                <w:szCs w:val="20"/>
                <w:lang w:val="fr-FR" w:eastAsia="zh-CN"/>
              </w:rPr>
              <w:t xml:space="preserve">souvent </w:t>
            </w:r>
            <w:r w:rsidRPr="00E14206">
              <w:rPr>
                <w:rFonts w:eastAsia="SimSun" w:cs="Arial"/>
                <w:sz w:val="20"/>
                <w:szCs w:val="20"/>
                <w:lang w:val="fr-FR" w:eastAsia="zh-CN"/>
              </w:rPr>
              <w:t>faites par des consultants internationaux, il n’y a pas eu d’études’ environnement – impact économique’ depuis 2008</w:t>
            </w:r>
            <w:r w:rsidR="00AB3AF0" w:rsidRPr="00E14206">
              <w:rPr>
                <w:rFonts w:eastAsia="SimSun" w:cs="Arial"/>
                <w:sz w:val="20"/>
                <w:szCs w:val="20"/>
                <w:lang w:val="fr-FR" w:eastAsia="zh-CN"/>
              </w:rPr>
              <w:t>. Avancements : OPIDIN (modèle de prévision des inondations); le système d’alerte précoce</w:t>
            </w:r>
            <w:r w:rsidRPr="00E14206">
              <w:rPr>
                <w:rFonts w:eastAsia="SimSun" w:cs="Arial"/>
                <w:sz w:val="20"/>
                <w:szCs w:val="20"/>
                <w:lang w:val="fr-FR" w:eastAsia="zh-CN"/>
              </w:rPr>
              <w:t xml:space="preserve"> </w:t>
            </w:r>
          </w:p>
        </w:tc>
        <w:tc>
          <w:tcPr>
            <w:tcW w:w="1128" w:type="dxa"/>
          </w:tcPr>
          <w:p w14:paraId="7FC7DE54" w14:textId="77777777" w:rsidR="00261588" w:rsidRPr="00E14206" w:rsidRDefault="00AB3AF0" w:rsidP="00261588">
            <w:pPr>
              <w:spacing w:after="0" w:line="240" w:lineRule="auto"/>
              <w:jc w:val="center"/>
              <w:rPr>
                <w:rFonts w:eastAsia="SimSun" w:cs="Arial"/>
                <w:sz w:val="32"/>
                <w:szCs w:val="32"/>
                <w:lang w:eastAsia="zh-CN"/>
              </w:rPr>
            </w:pPr>
            <w:r w:rsidRPr="00E14206">
              <w:rPr>
                <w:rFonts w:cs="Arial"/>
                <w:b/>
                <w:sz w:val="32"/>
                <w:szCs w:val="32"/>
                <w:lang w:eastAsia="it-IT"/>
              </w:rPr>
              <w:sym w:font="Wingdings" w:char="F04B"/>
            </w:r>
          </w:p>
        </w:tc>
        <w:tc>
          <w:tcPr>
            <w:tcW w:w="1806" w:type="dxa"/>
          </w:tcPr>
          <w:p w14:paraId="31A92F75" w14:textId="77777777" w:rsidR="00261588" w:rsidRPr="004B3056" w:rsidRDefault="00261588" w:rsidP="00261588">
            <w:pPr>
              <w:spacing w:after="0" w:line="240" w:lineRule="auto"/>
              <w:rPr>
                <w:rFonts w:eastAsia="SimSun" w:cs="Arial"/>
                <w:sz w:val="20"/>
                <w:szCs w:val="20"/>
                <w:lang w:eastAsia="zh-CN"/>
              </w:rPr>
            </w:pPr>
          </w:p>
        </w:tc>
      </w:tr>
      <w:tr w:rsidR="00261588" w:rsidRPr="004B3056" w14:paraId="465C8B16" w14:textId="77777777" w:rsidTr="00261588">
        <w:tc>
          <w:tcPr>
            <w:tcW w:w="0" w:type="auto"/>
            <w:gridSpan w:val="4"/>
            <w:shd w:val="clear" w:color="auto" w:fill="FFFF00"/>
          </w:tcPr>
          <w:p w14:paraId="6C279A6F" w14:textId="77777777" w:rsidR="00261588" w:rsidRPr="004B3056" w:rsidRDefault="00261588" w:rsidP="00261588">
            <w:pPr>
              <w:spacing w:line="240" w:lineRule="auto"/>
              <w:rPr>
                <w:rFonts w:eastAsia="SimSun" w:cs="Arial"/>
                <w:b/>
                <w:sz w:val="20"/>
                <w:szCs w:val="20"/>
                <w:lang w:val="fr-FR" w:eastAsia="zh-CN"/>
              </w:rPr>
            </w:pPr>
            <w:r w:rsidRPr="004B3056">
              <w:rPr>
                <w:rFonts w:eastAsia="SimSun" w:cs="Arial"/>
                <w:b/>
                <w:sz w:val="20"/>
                <w:szCs w:val="20"/>
                <w:lang w:val="fr-FR" w:eastAsia="zh-CN"/>
              </w:rPr>
              <w:t xml:space="preserve">Sur le plan du financement durable de l’action environnementale </w:t>
            </w:r>
            <w:r w:rsidRPr="004B3056">
              <w:rPr>
                <w:rFonts w:cs="Arial"/>
                <w:b/>
                <w:sz w:val="32"/>
                <w:szCs w:val="32"/>
                <w:lang w:eastAsia="it-IT"/>
              </w:rPr>
              <w:sym w:font="Wingdings" w:char="F04C"/>
            </w:r>
          </w:p>
        </w:tc>
      </w:tr>
      <w:tr w:rsidR="00261588" w:rsidRPr="004B3056" w14:paraId="1D328325" w14:textId="77777777" w:rsidTr="00261588">
        <w:tc>
          <w:tcPr>
            <w:tcW w:w="0" w:type="auto"/>
          </w:tcPr>
          <w:p w14:paraId="6750A115" w14:textId="77777777" w:rsidR="00261588" w:rsidRPr="004B3056" w:rsidRDefault="00261588" w:rsidP="00261588">
            <w:pPr>
              <w:overflowPunct w:val="0"/>
              <w:autoSpaceDE w:val="0"/>
              <w:autoSpaceDN w:val="0"/>
              <w:adjustRightInd w:val="0"/>
              <w:spacing w:after="0" w:line="240" w:lineRule="auto"/>
              <w:contextualSpacing/>
              <w:textAlignment w:val="baseline"/>
              <w:rPr>
                <w:rFonts w:eastAsia="Times New Roman" w:cs="Arial"/>
                <w:sz w:val="20"/>
                <w:szCs w:val="20"/>
                <w:lang w:val="fr-FR" w:eastAsia="it-IT"/>
              </w:rPr>
            </w:pPr>
            <w:r w:rsidRPr="004B3056">
              <w:rPr>
                <w:rFonts w:eastAsia="Times New Roman" w:cs="Arial"/>
                <w:sz w:val="20"/>
                <w:szCs w:val="20"/>
                <w:lang w:val="fr-FR" w:eastAsia="it-IT"/>
              </w:rPr>
              <w:t>Développer des mécanismes de mobilisation des finances nationales pour l’environnement et réviser la clé de répartition du produit des amendes dans le but d’encourager les communes à contrôler l’utilisation des ressources naturelles</w:t>
            </w:r>
          </w:p>
        </w:tc>
        <w:tc>
          <w:tcPr>
            <w:tcW w:w="6239" w:type="dxa"/>
          </w:tcPr>
          <w:p w14:paraId="1B409785" w14:textId="77777777" w:rsidR="00261588" w:rsidRPr="004B3056" w:rsidRDefault="00261588" w:rsidP="00AB3AF0">
            <w:pPr>
              <w:spacing w:after="0" w:line="240" w:lineRule="auto"/>
              <w:contextualSpacing/>
              <w:rPr>
                <w:rFonts w:eastAsia="SimSun" w:cs="Arial"/>
                <w:sz w:val="20"/>
                <w:szCs w:val="20"/>
                <w:lang w:val="fr-FR" w:eastAsia="zh-CN"/>
              </w:rPr>
            </w:pPr>
            <w:r w:rsidRPr="00E14206">
              <w:rPr>
                <w:rFonts w:eastAsia="SimSun" w:cs="Arial"/>
                <w:sz w:val="20"/>
                <w:szCs w:val="20"/>
                <w:lang w:val="fr-FR" w:eastAsia="zh-CN"/>
              </w:rPr>
              <w:t xml:space="preserve">Le FNE n’existe toujours pas. La stratégie nationale de financement de l’environnement reste toujours en construction. L’étude de 2016 a été refusée, une reprise est prévue, mais il n’y a aucun avancement depuis 2014. </w:t>
            </w:r>
            <w:r w:rsidR="00AB3AF0" w:rsidRPr="00E14206">
              <w:rPr>
                <w:rFonts w:eastAsia="SimSun" w:cs="Arial"/>
                <w:sz w:val="20"/>
                <w:szCs w:val="20"/>
                <w:lang w:val="fr-FR" w:eastAsia="zh-CN"/>
              </w:rPr>
              <w:t>Toutefois : accréditation de l’ANICT au fonds climat, création d’un fonds pour le développement durable auprès des  Collectivités Territoriales</w:t>
            </w:r>
          </w:p>
        </w:tc>
        <w:tc>
          <w:tcPr>
            <w:tcW w:w="1128" w:type="dxa"/>
            <w:vAlign w:val="center"/>
          </w:tcPr>
          <w:p w14:paraId="18018A95" w14:textId="77777777" w:rsidR="00261588" w:rsidRPr="004B3056" w:rsidRDefault="00261588" w:rsidP="00261588">
            <w:pPr>
              <w:spacing w:after="0" w:line="240" w:lineRule="auto"/>
              <w:jc w:val="center"/>
              <w:rPr>
                <w:rFonts w:eastAsia="SimSun" w:cs="Arial"/>
                <w:sz w:val="32"/>
                <w:szCs w:val="32"/>
                <w:lang w:val="fr-FR" w:eastAsia="zh-CN"/>
              </w:rPr>
            </w:pPr>
            <w:r w:rsidRPr="004B3056">
              <w:rPr>
                <w:rFonts w:cs="Arial"/>
                <w:b/>
                <w:sz w:val="32"/>
                <w:szCs w:val="32"/>
                <w:lang w:eastAsia="it-IT"/>
              </w:rPr>
              <w:sym w:font="Wingdings" w:char="F04C"/>
            </w:r>
          </w:p>
        </w:tc>
        <w:tc>
          <w:tcPr>
            <w:tcW w:w="1806" w:type="dxa"/>
          </w:tcPr>
          <w:p w14:paraId="0E2E31A0" w14:textId="77777777" w:rsidR="00261588" w:rsidRPr="004B3056" w:rsidRDefault="00261588" w:rsidP="00261588">
            <w:pPr>
              <w:spacing w:after="0" w:line="240" w:lineRule="auto"/>
              <w:contextualSpacing/>
              <w:rPr>
                <w:rFonts w:eastAsia="SimSun" w:cs="Arial"/>
                <w:sz w:val="20"/>
                <w:szCs w:val="20"/>
                <w:lang w:eastAsia="zh-CN"/>
              </w:rPr>
            </w:pPr>
          </w:p>
        </w:tc>
      </w:tr>
      <w:tr w:rsidR="00261588" w:rsidRPr="004B3056" w14:paraId="235658E9" w14:textId="77777777" w:rsidTr="00261588">
        <w:tc>
          <w:tcPr>
            <w:tcW w:w="0" w:type="auto"/>
          </w:tcPr>
          <w:p w14:paraId="35DDE8E0" w14:textId="77777777" w:rsidR="00261588" w:rsidRPr="004B3056" w:rsidRDefault="00261588" w:rsidP="00261588">
            <w:pPr>
              <w:spacing w:after="0" w:line="240" w:lineRule="auto"/>
              <w:rPr>
                <w:rFonts w:eastAsia="Times New Roman" w:cs="Arial"/>
                <w:sz w:val="20"/>
                <w:szCs w:val="20"/>
                <w:lang w:val="fr-FR" w:eastAsia="it-IT"/>
              </w:rPr>
            </w:pPr>
            <w:r w:rsidRPr="004B3056">
              <w:rPr>
                <w:rFonts w:eastAsia="Times New Roman" w:cs="Arial"/>
                <w:sz w:val="20"/>
                <w:szCs w:val="20"/>
                <w:lang w:val="fr-FR" w:eastAsia="it-IT"/>
              </w:rPr>
              <w:t>Négocier et encourager le processus de "Responsabilité Sociale des Entreprises" en commençant avec les sociétés internationales et les grandes entreprises (CMDT, ON, EDM.).</w:t>
            </w:r>
          </w:p>
        </w:tc>
        <w:tc>
          <w:tcPr>
            <w:tcW w:w="6239" w:type="dxa"/>
          </w:tcPr>
          <w:p w14:paraId="1D3BA953" w14:textId="77777777" w:rsidR="00261588" w:rsidRPr="004B3056" w:rsidRDefault="00261588" w:rsidP="00261588">
            <w:pPr>
              <w:spacing w:after="0" w:line="240" w:lineRule="auto"/>
              <w:contextualSpacing/>
              <w:rPr>
                <w:rFonts w:eastAsia="SimSun" w:cs="Arial"/>
                <w:sz w:val="20"/>
                <w:szCs w:val="20"/>
                <w:lang w:val="fr-FR" w:eastAsia="zh-CN"/>
              </w:rPr>
            </w:pPr>
            <w:r w:rsidRPr="004B3056">
              <w:rPr>
                <w:rFonts w:eastAsia="SimSun" w:cs="Arial"/>
                <w:sz w:val="20"/>
                <w:szCs w:val="20"/>
                <w:lang w:val="fr-FR" w:eastAsia="zh-CN"/>
              </w:rPr>
              <w:t>Il n’a y pas de progrès par rapport à 2014. Les exploitants miniers internationaux pratiquent des dons sociaux annuels dès le démarrage de leurs activités. Très peu de dons sont en faveur de l’environnement, mis à part des équipements solaires, la quinzaine de l’environnement. Les grandes entreprises nationales ne font pas d’actions concrètes. Les quelques discours de la CMDT ne sont pas traduits sur le terrain.</w:t>
            </w:r>
          </w:p>
        </w:tc>
        <w:tc>
          <w:tcPr>
            <w:tcW w:w="1128" w:type="dxa"/>
            <w:vAlign w:val="center"/>
          </w:tcPr>
          <w:p w14:paraId="14DBA7BA" w14:textId="77777777" w:rsidR="00261588" w:rsidRPr="004B3056" w:rsidRDefault="00261588" w:rsidP="00261588">
            <w:pPr>
              <w:spacing w:after="0" w:line="240" w:lineRule="auto"/>
              <w:jc w:val="center"/>
              <w:rPr>
                <w:rFonts w:eastAsia="SimSun" w:cs="Arial"/>
                <w:sz w:val="32"/>
                <w:szCs w:val="32"/>
                <w:lang w:eastAsia="zh-CN"/>
              </w:rPr>
            </w:pPr>
            <w:r w:rsidRPr="004B3056">
              <w:rPr>
                <w:rFonts w:cs="Arial"/>
                <w:b/>
                <w:sz w:val="32"/>
                <w:szCs w:val="32"/>
                <w:lang w:eastAsia="it-IT"/>
              </w:rPr>
              <w:sym w:font="Wingdings" w:char="F04C"/>
            </w:r>
          </w:p>
        </w:tc>
        <w:tc>
          <w:tcPr>
            <w:tcW w:w="1806" w:type="dxa"/>
          </w:tcPr>
          <w:p w14:paraId="49BE447D" w14:textId="77777777" w:rsidR="00261588" w:rsidRPr="004B3056" w:rsidRDefault="00261588" w:rsidP="00261588">
            <w:pPr>
              <w:spacing w:after="0" w:line="240" w:lineRule="auto"/>
              <w:rPr>
                <w:rFonts w:eastAsia="SimSun" w:cs="Arial"/>
                <w:sz w:val="20"/>
                <w:szCs w:val="20"/>
                <w:lang w:eastAsia="zh-CN"/>
              </w:rPr>
            </w:pPr>
          </w:p>
        </w:tc>
      </w:tr>
      <w:tr w:rsidR="00261588" w:rsidRPr="004B3056" w14:paraId="170564B4" w14:textId="77777777" w:rsidTr="00261588">
        <w:tc>
          <w:tcPr>
            <w:tcW w:w="0" w:type="auto"/>
          </w:tcPr>
          <w:p w14:paraId="429DB2E5" w14:textId="77777777" w:rsidR="00261588" w:rsidRPr="004B3056" w:rsidRDefault="00261588" w:rsidP="00261588">
            <w:pPr>
              <w:overflowPunct w:val="0"/>
              <w:autoSpaceDE w:val="0"/>
              <w:autoSpaceDN w:val="0"/>
              <w:adjustRightInd w:val="0"/>
              <w:spacing w:after="0" w:line="240" w:lineRule="auto"/>
              <w:textAlignment w:val="baseline"/>
              <w:rPr>
                <w:rFonts w:eastAsia="Times New Roman" w:cs="Arial"/>
                <w:bCs/>
                <w:sz w:val="20"/>
                <w:szCs w:val="20"/>
                <w:lang w:val="fr-FR" w:eastAsia="it-IT"/>
              </w:rPr>
            </w:pPr>
            <w:r w:rsidRPr="004B3056">
              <w:rPr>
                <w:rFonts w:eastAsia="Times New Roman" w:cs="Arial"/>
                <w:bCs/>
                <w:sz w:val="20"/>
                <w:szCs w:val="20"/>
                <w:lang w:val="fr-FR" w:eastAsia="it-IT"/>
              </w:rPr>
              <w:t>Continuer les efforts pour le remplissage des conditionnalités pour l’adhésion aux nouveaux mécanismes internationaux de financement (marché du carbone ; REDD+).</w:t>
            </w:r>
          </w:p>
        </w:tc>
        <w:tc>
          <w:tcPr>
            <w:tcW w:w="6239" w:type="dxa"/>
          </w:tcPr>
          <w:p w14:paraId="36E4C346" w14:textId="77777777" w:rsidR="00261588" w:rsidRPr="004B3056" w:rsidRDefault="00261588" w:rsidP="00261588">
            <w:pPr>
              <w:spacing w:after="0" w:line="240" w:lineRule="auto"/>
              <w:contextualSpacing/>
              <w:rPr>
                <w:rFonts w:eastAsia="SimSun" w:cs="Arial"/>
                <w:sz w:val="20"/>
                <w:szCs w:val="20"/>
                <w:lang w:val="fr-FR" w:eastAsia="zh-CN"/>
              </w:rPr>
            </w:pPr>
            <w:r w:rsidRPr="004B3056">
              <w:rPr>
                <w:rFonts w:eastAsia="SimSun" w:cs="Arial"/>
                <w:sz w:val="20"/>
                <w:szCs w:val="20"/>
                <w:lang w:val="fr-FR" w:eastAsia="zh-CN"/>
              </w:rPr>
              <w:t>L’élaboration de la stratégie nationale REDD+ n’a pas avancée</w:t>
            </w:r>
          </w:p>
        </w:tc>
        <w:tc>
          <w:tcPr>
            <w:tcW w:w="1128" w:type="dxa"/>
            <w:vAlign w:val="center"/>
          </w:tcPr>
          <w:p w14:paraId="0124243C" w14:textId="77777777" w:rsidR="00261588" w:rsidRPr="004B3056" w:rsidRDefault="00261588" w:rsidP="00261588">
            <w:pPr>
              <w:spacing w:after="0" w:line="240" w:lineRule="auto"/>
              <w:jc w:val="center"/>
              <w:rPr>
                <w:rFonts w:eastAsia="SimSun" w:cs="Arial"/>
                <w:sz w:val="32"/>
                <w:szCs w:val="32"/>
                <w:lang w:eastAsia="zh-CN"/>
              </w:rPr>
            </w:pPr>
            <w:r w:rsidRPr="004B3056">
              <w:rPr>
                <w:rFonts w:cs="Arial"/>
                <w:b/>
                <w:sz w:val="32"/>
                <w:szCs w:val="32"/>
                <w:lang w:eastAsia="it-IT"/>
              </w:rPr>
              <w:sym w:font="Wingdings" w:char="F04C"/>
            </w:r>
          </w:p>
        </w:tc>
        <w:tc>
          <w:tcPr>
            <w:tcW w:w="1806" w:type="dxa"/>
          </w:tcPr>
          <w:p w14:paraId="628EB011" w14:textId="77777777" w:rsidR="00261588" w:rsidRPr="004B3056" w:rsidRDefault="00261588" w:rsidP="00261588">
            <w:pPr>
              <w:spacing w:after="0" w:line="240" w:lineRule="auto"/>
              <w:rPr>
                <w:rFonts w:eastAsia="SimSun" w:cs="Arial"/>
                <w:sz w:val="20"/>
                <w:szCs w:val="20"/>
                <w:lang w:eastAsia="zh-CN"/>
              </w:rPr>
            </w:pPr>
          </w:p>
        </w:tc>
      </w:tr>
      <w:tr w:rsidR="00261588" w:rsidRPr="004B3056" w14:paraId="0A22E8CD" w14:textId="77777777" w:rsidTr="00261588">
        <w:tc>
          <w:tcPr>
            <w:tcW w:w="0" w:type="auto"/>
            <w:gridSpan w:val="4"/>
            <w:shd w:val="clear" w:color="auto" w:fill="FFFF00"/>
          </w:tcPr>
          <w:p w14:paraId="44F51B3E" w14:textId="77777777" w:rsidR="00261588" w:rsidRPr="004B3056" w:rsidRDefault="00261588" w:rsidP="00261588">
            <w:pPr>
              <w:overflowPunct w:val="0"/>
              <w:autoSpaceDE w:val="0"/>
              <w:autoSpaceDN w:val="0"/>
              <w:adjustRightInd w:val="0"/>
              <w:spacing w:after="0" w:line="240" w:lineRule="auto"/>
              <w:textAlignment w:val="baseline"/>
              <w:rPr>
                <w:rFonts w:eastAsia="Times New Roman" w:cs="Arial"/>
                <w:bCs/>
                <w:sz w:val="20"/>
                <w:szCs w:val="20"/>
                <w:lang w:val="fr-FR" w:eastAsia="it-IT"/>
              </w:rPr>
            </w:pPr>
            <w:r w:rsidRPr="004B3056">
              <w:rPr>
                <w:rFonts w:eastAsia="SimSun" w:cs="Arial"/>
                <w:b/>
                <w:sz w:val="20"/>
                <w:szCs w:val="20"/>
                <w:lang w:val="fr-FR" w:eastAsia="zh-CN"/>
              </w:rPr>
              <w:t xml:space="preserve">Sur le plan du développement rural et de la sécurité alimentaire </w:t>
            </w:r>
            <w:r w:rsidRPr="004B3056">
              <w:rPr>
                <w:rFonts w:asciiTheme="minorHAnsi" w:hAnsiTheme="minorHAnsi"/>
                <w:b/>
                <w:sz w:val="32"/>
                <w:szCs w:val="32"/>
                <w:lang w:eastAsia="it-IT"/>
              </w:rPr>
              <w:sym w:font="Wingdings" w:char="F04B"/>
            </w:r>
          </w:p>
        </w:tc>
      </w:tr>
      <w:tr w:rsidR="00261588" w:rsidRPr="004B3056" w14:paraId="451F58D3" w14:textId="77777777" w:rsidTr="00261588">
        <w:tc>
          <w:tcPr>
            <w:tcW w:w="0" w:type="auto"/>
          </w:tcPr>
          <w:p w14:paraId="7849BAB0" w14:textId="77777777" w:rsidR="00261588" w:rsidRPr="004B3056" w:rsidRDefault="00261588" w:rsidP="00261588">
            <w:pPr>
              <w:spacing w:after="0" w:line="240" w:lineRule="auto"/>
              <w:rPr>
                <w:rFonts w:eastAsia="Times New Roman" w:cs="Arial"/>
                <w:bCs/>
                <w:sz w:val="20"/>
                <w:szCs w:val="20"/>
                <w:lang w:val="fr-FR" w:eastAsia="it-IT"/>
              </w:rPr>
            </w:pPr>
            <w:r w:rsidRPr="004B3056">
              <w:rPr>
                <w:rFonts w:eastAsia="Times New Roman" w:cs="Arial"/>
                <w:bCs/>
                <w:sz w:val="20"/>
                <w:szCs w:val="20"/>
                <w:lang w:val="fr-FR" w:eastAsia="it-IT"/>
              </w:rPr>
              <w:t>Promouvoir les filières diversifiées de valorisation durable des RN (karité, . .), de l’économie verte (recyclage) et des pratiques à haute résilience aux CC (semences résistantes). (*)</w:t>
            </w:r>
          </w:p>
        </w:tc>
        <w:tc>
          <w:tcPr>
            <w:tcW w:w="6239" w:type="dxa"/>
          </w:tcPr>
          <w:p w14:paraId="3F8BF74F" w14:textId="77777777" w:rsidR="00261588" w:rsidRPr="004B3056" w:rsidRDefault="00261588" w:rsidP="00261588">
            <w:pPr>
              <w:spacing w:after="0" w:line="240" w:lineRule="auto"/>
              <w:contextualSpacing/>
              <w:rPr>
                <w:rFonts w:eastAsia="SimSun" w:cs="Arial"/>
                <w:sz w:val="20"/>
                <w:szCs w:val="20"/>
                <w:lang w:val="fr-FR" w:eastAsia="zh-CN"/>
              </w:rPr>
            </w:pPr>
            <w:r w:rsidRPr="004B3056">
              <w:rPr>
                <w:rFonts w:eastAsia="SimSun" w:cs="Arial"/>
                <w:sz w:val="20"/>
                <w:szCs w:val="20"/>
                <w:lang w:val="fr-FR" w:eastAsia="zh-CN"/>
              </w:rPr>
              <w:t xml:space="preserve">Les filières des PFNL deviennent professionnelles et sont en extension. </w:t>
            </w:r>
          </w:p>
          <w:p w14:paraId="779B77D3" w14:textId="77777777" w:rsidR="00261588" w:rsidRPr="004B3056" w:rsidRDefault="00261588" w:rsidP="00261588">
            <w:pPr>
              <w:spacing w:after="0" w:line="240" w:lineRule="auto"/>
              <w:contextualSpacing/>
              <w:rPr>
                <w:rFonts w:eastAsia="SimSun" w:cs="Arial"/>
                <w:sz w:val="20"/>
                <w:szCs w:val="20"/>
                <w:lang w:val="fr-FR" w:eastAsia="zh-CN"/>
              </w:rPr>
            </w:pPr>
            <w:r w:rsidRPr="004B3056">
              <w:rPr>
                <w:rFonts w:eastAsia="SimSun" w:cs="Arial"/>
                <w:sz w:val="20"/>
                <w:szCs w:val="20"/>
                <w:lang w:val="fr-FR" w:eastAsia="zh-CN"/>
              </w:rPr>
              <w:t>Le recyclage est appuyé par plusieurs PTF et il y a des filières autonomes (métaux, huiles usées, plastiques). Néanmoins, il reste encore des filières à développer (DEEE).</w:t>
            </w:r>
          </w:p>
          <w:p w14:paraId="2250C999" w14:textId="77777777" w:rsidR="00261588" w:rsidRPr="004B3056" w:rsidRDefault="00261588" w:rsidP="00261588">
            <w:pPr>
              <w:spacing w:after="0" w:line="240" w:lineRule="auto"/>
              <w:contextualSpacing/>
              <w:rPr>
                <w:rFonts w:eastAsia="SimSun" w:cs="Arial"/>
                <w:sz w:val="20"/>
                <w:szCs w:val="20"/>
                <w:lang w:val="fr-FR" w:eastAsia="zh-CN"/>
              </w:rPr>
            </w:pPr>
            <w:r w:rsidRPr="004B3056">
              <w:rPr>
                <w:rFonts w:eastAsia="SimSun" w:cs="Arial"/>
                <w:sz w:val="20"/>
                <w:szCs w:val="20"/>
                <w:lang w:val="fr-FR" w:eastAsia="zh-CN"/>
              </w:rPr>
              <w:t>La résilience aux CC est promue mais elle concerne principalement l’augmentation de la production et reste encore partielle en ce qui concerne l’adaptation aux CC (p.ex. semences résistantes /cycle court restent à développer)</w:t>
            </w:r>
          </w:p>
        </w:tc>
        <w:tc>
          <w:tcPr>
            <w:tcW w:w="1128" w:type="dxa"/>
          </w:tcPr>
          <w:p w14:paraId="1052B472" w14:textId="77777777" w:rsidR="00261588" w:rsidRPr="004B3056" w:rsidRDefault="00261588" w:rsidP="00261588">
            <w:pPr>
              <w:spacing w:after="0" w:line="240" w:lineRule="auto"/>
              <w:jc w:val="center"/>
              <w:rPr>
                <w:rFonts w:eastAsia="SimSun" w:cs="Arial"/>
                <w:b/>
                <w:sz w:val="32"/>
                <w:szCs w:val="32"/>
                <w:lang w:val="fr-FR" w:eastAsia="zh-CN"/>
              </w:rPr>
            </w:pPr>
          </w:p>
          <w:p w14:paraId="4FE1464A" w14:textId="77777777" w:rsidR="00261588" w:rsidRPr="004B3056" w:rsidRDefault="00261588" w:rsidP="00261588">
            <w:pPr>
              <w:spacing w:after="0" w:line="240" w:lineRule="auto"/>
              <w:jc w:val="center"/>
              <w:rPr>
                <w:rFonts w:eastAsia="SimSun" w:cs="Arial"/>
                <w:sz w:val="32"/>
                <w:szCs w:val="32"/>
                <w:lang w:eastAsia="zh-CN"/>
              </w:rPr>
            </w:pPr>
            <w:r w:rsidRPr="004B3056">
              <w:rPr>
                <w:rFonts w:cs="Arial"/>
                <w:b/>
                <w:sz w:val="32"/>
                <w:szCs w:val="32"/>
                <w:lang w:eastAsia="it-IT"/>
              </w:rPr>
              <w:sym w:font="Wingdings" w:char="F04B"/>
            </w:r>
          </w:p>
        </w:tc>
        <w:tc>
          <w:tcPr>
            <w:tcW w:w="1806" w:type="dxa"/>
          </w:tcPr>
          <w:p w14:paraId="10526CA9" w14:textId="77777777" w:rsidR="00261588" w:rsidRPr="004B3056" w:rsidRDefault="00261588" w:rsidP="00261588">
            <w:pPr>
              <w:spacing w:after="0" w:line="240" w:lineRule="auto"/>
              <w:rPr>
                <w:rFonts w:eastAsia="SimSun" w:cs="Arial"/>
                <w:sz w:val="20"/>
                <w:szCs w:val="20"/>
                <w:lang w:eastAsia="zh-CN"/>
              </w:rPr>
            </w:pPr>
          </w:p>
        </w:tc>
      </w:tr>
      <w:tr w:rsidR="00261588" w:rsidRPr="004B3056" w14:paraId="22D0AD5B" w14:textId="77777777" w:rsidTr="00261588">
        <w:tc>
          <w:tcPr>
            <w:tcW w:w="0" w:type="auto"/>
          </w:tcPr>
          <w:p w14:paraId="5E9F70CA" w14:textId="77777777" w:rsidR="00261588" w:rsidRPr="004B3056" w:rsidRDefault="00261588" w:rsidP="00261588">
            <w:pPr>
              <w:overflowPunct w:val="0"/>
              <w:autoSpaceDE w:val="0"/>
              <w:autoSpaceDN w:val="0"/>
              <w:adjustRightInd w:val="0"/>
              <w:spacing w:after="0" w:line="240" w:lineRule="auto"/>
              <w:textAlignment w:val="baseline"/>
              <w:rPr>
                <w:rFonts w:eastAsia="Times New Roman" w:cs="Arial"/>
                <w:bCs/>
                <w:sz w:val="20"/>
                <w:szCs w:val="20"/>
                <w:lang w:val="fr-FR" w:eastAsia="it-IT"/>
              </w:rPr>
            </w:pPr>
            <w:r w:rsidRPr="004B3056">
              <w:rPr>
                <w:rFonts w:eastAsia="Times New Roman" w:cs="Arial"/>
                <w:bCs/>
                <w:sz w:val="20"/>
                <w:szCs w:val="20"/>
                <w:lang w:val="fr-FR" w:eastAsia="it-IT"/>
              </w:rPr>
              <w:lastRenderedPageBreak/>
              <w:t>Favoriser la mise en œuvre des programmes intégrés et transversaux (CSI-GDT, GIRE). (*)</w:t>
            </w:r>
          </w:p>
        </w:tc>
        <w:tc>
          <w:tcPr>
            <w:tcW w:w="6239" w:type="dxa"/>
          </w:tcPr>
          <w:p w14:paraId="25B6E2EE" w14:textId="77777777" w:rsidR="00261588" w:rsidRPr="004B3056" w:rsidRDefault="00261588" w:rsidP="00261588">
            <w:pPr>
              <w:spacing w:after="0" w:line="240" w:lineRule="auto"/>
              <w:contextualSpacing/>
              <w:rPr>
                <w:rFonts w:eastAsia="SimSun" w:cs="Arial"/>
                <w:sz w:val="20"/>
                <w:szCs w:val="20"/>
                <w:lang w:val="fr-FR" w:eastAsia="zh-CN"/>
              </w:rPr>
            </w:pPr>
            <w:r w:rsidRPr="004B3056">
              <w:rPr>
                <w:rFonts w:eastAsia="SimSun" w:cs="Arial"/>
                <w:sz w:val="20"/>
                <w:szCs w:val="20"/>
                <w:lang w:val="fr-FR" w:eastAsia="zh-CN"/>
              </w:rPr>
              <w:t>La plupart des projets/programmes opère de façon sectorielle.</w:t>
            </w:r>
          </w:p>
          <w:p w14:paraId="742C8D5D" w14:textId="77777777" w:rsidR="00261588" w:rsidRPr="004B3056" w:rsidRDefault="00261588" w:rsidP="00261588">
            <w:pPr>
              <w:spacing w:after="0" w:line="240" w:lineRule="auto"/>
              <w:contextualSpacing/>
              <w:rPr>
                <w:rFonts w:eastAsia="SimSun" w:cs="Arial"/>
                <w:sz w:val="20"/>
                <w:szCs w:val="20"/>
                <w:lang w:val="fr-FR" w:eastAsia="zh-CN"/>
              </w:rPr>
            </w:pPr>
            <w:r w:rsidRPr="004B3056">
              <w:rPr>
                <w:rFonts w:eastAsia="SimSun" w:cs="Arial"/>
                <w:sz w:val="20"/>
                <w:szCs w:val="20"/>
                <w:lang w:val="fr-FR" w:eastAsia="zh-CN"/>
              </w:rPr>
              <w:t>L’approche systémique est appliquée seulement par quelques projets et programmes appuyés par les PTF (GIRE, PAPAM composante GDT, PGRNCC).</w:t>
            </w:r>
          </w:p>
        </w:tc>
        <w:tc>
          <w:tcPr>
            <w:tcW w:w="1128" w:type="dxa"/>
          </w:tcPr>
          <w:p w14:paraId="6C381EDF" w14:textId="77777777" w:rsidR="00261588" w:rsidRPr="004B3056" w:rsidRDefault="00261588" w:rsidP="00261588">
            <w:pPr>
              <w:spacing w:after="0" w:line="240" w:lineRule="auto"/>
              <w:jc w:val="center"/>
              <w:rPr>
                <w:rFonts w:eastAsia="SimSun" w:cs="Arial"/>
                <w:sz w:val="32"/>
                <w:szCs w:val="32"/>
                <w:lang w:eastAsia="zh-CN"/>
              </w:rPr>
            </w:pPr>
            <w:r w:rsidRPr="004B3056">
              <w:rPr>
                <w:rFonts w:cs="Arial"/>
                <w:b/>
                <w:sz w:val="32"/>
                <w:szCs w:val="32"/>
                <w:lang w:eastAsia="it-IT"/>
              </w:rPr>
              <w:sym w:font="Wingdings" w:char="F04B"/>
            </w:r>
          </w:p>
        </w:tc>
        <w:tc>
          <w:tcPr>
            <w:tcW w:w="1806" w:type="dxa"/>
          </w:tcPr>
          <w:p w14:paraId="4005350B" w14:textId="77777777" w:rsidR="00261588" w:rsidRPr="004B3056" w:rsidRDefault="00261588" w:rsidP="00261588">
            <w:pPr>
              <w:spacing w:after="0" w:line="240" w:lineRule="auto"/>
              <w:rPr>
                <w:rFonts w:eastAsia="SimSun" w:cs="Arial"/>
                <w:sz w:val="20"/>
                <w:szCs w:val="20"/>
                <w:lang w:val="fr-FR" w:eastAsia="zh-CN"/>
              </w:rPr>
            </w:pPr>
          </w:p>
        </w:tc>
      </w:tr>
      <w:tr w:rsidR="00261588" w:rsidRPr="004B3056" w14:paraId="45D3AF72" w14:textId="77777777" w:rsidTr="00261588">
        <w:tc>
          <w:tcPr>
            <w:tcW w:w="0" w:type="auto"/>
          </w:tcPr>
          <w:p w14:paraId="3A97450A" w14:textId="77777777" w:rsidR="00261588" w:rsidRPr="004B3056" w:rsidRDefault="00261588" w:rsidP="00261588">
            <w:pPr>
              <w:spacing w:after="0" w:line="240" w:lineRule="auto"/>
              <w:rPr>
                <w:rFonts w:eastAsia="Times New Roman" w:cs="Arial"/>
                <w:bCs/>
                <w:sz w:val="20"/>
                <w:szCs w:val="20"/>
                <w:lang w:val="fr-FR" w:eastAsia="it-IT"/>
              </w:rPr>
            </w:pPr>
            <w:r w:rsidRPr="004B3056">
              <w:rPr>
                <w:rFonts w:eastAsia="Times New Roman" w:cs="Arial"/>
                <w:bCs/>
                <w:sz w:val="20"/>
                <w:szCs w:val="20"/>
                <w:lang w:val="fr-FR" w:eastAsia="it-IT"/>
              </w:rPr>
              <w:t>Relancer et appuyer les programmes d’énergie domestique en favorisant la substitution du bois d’énergie, la foresterie communautaire et l’engagement du secteur privé, incluant des subventions (*)</w:t>
            </w:r>
          </w:p>
        </w:tc>
        <w:tc>
          <w:tcPr>
            <w:tcW w:w="6239" w:type="dxa"/>
          </w:tcPr>
          <w:p w14:paraId="58406753" w14:textId="77777777" w:rsidR="00261588" w:rsidRPr="004B3056" w:rsidRDefault="00261588" w:rsidP="00261588">
            <w:pPr>
              <w:spacing w:after="0" w:line="240" w:lineRule="auto"/>
              <w:contextualSpacing/>
              <w:rPr>
                <w:rFonts w:eastAsia="SimSun" w:cs="Arial"/>
                <w:sz w:val="20"/>
                <w:szCs w:val="20"/>
                <w:lang w:val="fr-FR" w:eastAsia="zh-CN"/>
              </w:rPr>
            </w:pPr>
            <w:r w:rsidRPr="004B3056">
              <w:rPr>
                <w:rFonts w:eastAsia="SimSun" w:cs="Arial"/>
                <w:sz w:val="20"/>
                <w:szCs w:val="20"/>
                <w:lang w:val="fr-FR" w:eastAsia="zh-CN"/>
              </w:rPr>
              <w:t xml:space="preserve">27 marchés ruraux ont été relancés en 2017, l’AER promeut les énergies renouvelables et GEDEFOR appuie la foresterie communautaire. Toutefois, il n’existe pas un véritable programme d’énergie – bois domestique depuis PRESAP (fin 2012). La pénétration des foyers améliorés reste en dessous des prévisions et ne sont plus obligatoires depuis 1995. Il n’y a pas de programmes de subventions en dehors des équipements solaires (pas utilisés pour cuisiner). L’engagement du secteur privé commence timidement (3 PPP pour quelques forêts classées et plantations privées).  </w:t>
            </w:r>
          </w:p>
        </w:tc>
        <w:tc>
          <w:tcPr>
            <w:tcW w:w="1128" w:type="dxa"/>
          </w:tcPr>
          <w:p w14:paraId="39C8BB10" w14:textId="77777777" w:rsidR="00261588" w:rsidRPr="004B3056" w:rsidRDefault="00261588" w:rsidP="00261588">
            <w:pPr>
              <w:spacing w:after="0" w:line="240" w:lineRule="auto"/>
              <w:jc w:val="center"/>
              <w:rPr>
                <w:rFonts w:eastAsia="SimSun" w:cs="Arial"/>
                <w:sz w:val="32"/>
                <w:szCs w:val="32"/>
                <w:lang w:eastAsia="zh-CN"/>
              </w:rPr>
            </w:pPr>
            <w:r w:rsidRPr="004B3056">
              <w:rPr>
                <w:rFonts w:cs="Arial"/>
                <w:b/>
                <w:sz w:val="32"/>
                <w:szCs w:val="32"/>
                <w:lang w:eastAsia="it-IT"/>
              </w:rPr>
              <w:sym w:font="Wingdings" w:char="F04B"/>
            </w:r>
          </w:p>
        </w:tc>
        <w:tc>
          <w:tcPr>
            <w:tcW w:w="1806" w:type="dxa"/>
          </w:tcPr>
          <w:p w14:paraId="64BD1B78" w14:textId="77777777" w:rsidR="00261588" w:rsidRPr="004B3056" w:rsidRDefault="00261588" w:rsidP="00261588">
            <w:pPr>
              <w:spacing w:after="0" w:line="240" w:lineRule="auto"/>
              <w:rPr>
                <w:rFonts w:eastAsia="SimSun" w:cs="Arial"/>
                <w:sz w:val="20"/>
                <w:szCs w:val="20"/>
                <w:lang w:eastAsia="zh-CN"/>
              </w:rPr>
            </w:pPr>
          </w:p>
        </w:tc>
      </w:tr>
      <w:tr w:rsidR="00261588" w:rsidRPr="004B3056" w14:paraId="74371F03" w14:textId="77777777" w:rsidTr="00261588">
        <w:tc>
          <w:tcPr>
            <w:tcW w:w="0" w:type="auto"/>
          </w:tcPr>
          <w:p w14:paraId="64FE94FC" w14:textId="77777777" w:rsidR="00261588" w:rsidRPr="004B3056" w:rsidRDefault="00261588" w:rsidP="00261588">
            <w:pPr>
              <w:overflowPunct w:val="0"/>
              <w:autoSpaceDE w:val="0"/>
              <w:autoSpaceDN w:val="0"/>
              <w:adjustRightInd w:val="0"/>
              <w:spacing w:after="0" w:line="240" w:lineRule="auto"/>
              <w:textAlignment w:val="baseline"/>
              <w:rPr>
                <w:rFonts w:eastAsia="Times New Roman" w:cs="Arial"/>
                <w:bCs/>
                <w:sz w:val="20"/>
                <w:szCs w:val="20"/>
                <w:lang w:val="fr-FR" w:eastAsia="it-IT"/>
              </w:rPr>
            </w:pPr>
            <w:r w:rsidRPr="004B3056">
              <w:rPr>
                <w:rFonts w:eastAsia="Times New Roman" w:cs="Arial"/>
                <w:bCs/>
                <w:sz w:val="20"/>
                <w:szCs w:val="20"/>
                <w:lang w:val="fr-FR" w:eastAsia="it-IT"/>
              </w:rPr>
              <w:t>Inclure l’écoconception dans les programmes des infrastructures rurales (*)</w:t>
            </w:r>
          </w:p>
        </w:tc>
        <w:tc>
          <w:tcPr>
            <w:tcW w:w="6239" w:type="dxa"/>
          </w:tcPr>
          <w:p w14:paraId="15A668F5" w14:textId="77777777" w:rsidR="00261588" w:rsidRPr="004B3056" w:rsidRDefault="00261588" w:rsidP="00261588">
            <w:pPr>
              <w:spacing w:after="0" w:line="240" w:lineRule="auto"/>
              <w:contextualSpacing/>
              <w:rPr>
                <w:rFonts w:eastAsia="SimSun" w:cs="Arial"/>
                <w:sz w:val="20"/>
                <w:szCs w:val="20"/>
                <w:lang w:val="fr-FR" w:eastAsia="zh-CN"/>
              </w:rPr>
            </w:pPr>
            <w:r w:rsidRPr="004B3056">
              <w:rPr>
                <w:rFonts w:eastAsia="SimSun" w:cs="Arial"/>
                <w:sz w:val="20"/>
                <w:szCs w:val="20"/>
                <w:lang w:val="fr-FR" w:eastAsia="zh-CN"/>
              </w:rPr>
              <w:t>L’installation de centrales hybrides est en cours (SHER). L’économie de l’énergie et l’écoconception font partie de la PNE (draft). La mise en œuvre actuelle se limite aux ampoules de basse consommation.</w:t>
            </w:r>
          </w:p>
        </w:tc>
        <w:tc>
          <w:tcPr>
            <w:tcW w:w="1128" w:type="dxa"/>
          </w:tcPr>
          <w:p w14:paraId="2C153794" w14:textId="77777777" w:rsidR="00261588" w:rsidRPr="004B3056" w:rsidRDefault="00261588" w:rsidP="00261588">
            <w:pPr>
              <w:spacing w:after="0" w:line="240" w:lineRule="auto"/>
              <w:jc w:val="center"/>
              <w:rPr>
                <w:rFonts w:eastAsia="SimSun" w:cs="Arial"/>
                <w:sz w:val="32"/>
                <w:szCs w:val="32"/>
                <w:lang w:eastAsia="zh-CN"/>
              </w:rPr>
            </w:pPr>
            <w:r w:rsidRPr="004B3056">
              <w:rPr>
                <w:rFonts w:cs="Arial"/>
                <w:b/>
                <w:sz w:val="32"/>
                <w:szCs w:val="32"/>
                <w:lang w:eastAsia="it-IT"/>
              </w:rPr>
              <w:sym w:font="Wingdings" w:char="F04B"/>
            </w:r>
          </w:p>
        </w:tc>
        <w:tc>
          <w:tcPr>
            <w:tcW w:w="1806" w:type="dxa"/>
          </w:tcPr>
          <w:p w14:paraId="4501E190" w14:textId="77777777" w:rsidR="00261588" w:rsidRPr="004B3056" w:rsidRDefault="00261588" w:rsidP="00261588">
            <w:pPr>
              <w:spacing w:after="0" w:line="240" w:lineRule="auto"/>
              <w:rPr>
                <w:rFonts w:eastAsia="SimSun" w:cs="Arial"/>
                <w:sz w:val="20"/>
                <w:szCs w:val="20"/>
                <w:lang w:val="fr-FR" w:eastAsia="zh-CN"/>
              </w:rPr>
            </w:pPr>
          </w:p>
        </w:tc>
      </w:tr>
      <w:tr w:rsidR="00261588" w:rsidRPr="004B3056" w14:paraId="66608D6F" w14:textId="77777777" w:rsidTr="00261588">
        <w:tc>
          <w:tcPr>
            <w:tcW w:w="0" w:type="auto"/>
          </w:tcPr>
          <w:p w14:paraId="01AD9DCB" w14:textId="77777777" w:rsidR="00261588" w:rsidRPr="004B3056" w:rsidRDefault="00261588" w:rsidP="00261588">
            <w:pPr>
              <w:overflowPunct w:val="0"/>
              <w:autoSpaceDE w:val="0"/>
              <w:autoSpaceDN w:val="0"/>
              <w:adjustRightInd w:val="0"/>
              <w:spacing w:after="0" w:line="240" w:lineRule="auto"/>
              <w:textAlignment w:val="baseline"/>
              <w:rPr>
                <w:rFonts w:eastAsia="Times New Roman" w:cs="Arial"/>
                <w:bCs/>
                <w:sz w:val="20"/>
                <w:szCs w:val="20"/>
                <w:lang w:val="fr-FR" w:eastAsia="it-IT"/>
              </w:rPr>
            </w:pPr>
            <w:r w:rsidRPr="004B3056">
              <w:rPr>
                <w:rFonts w:eastAsia="Times New Roman" w:cs="Arial"/>
                <w:bCs/>
                <w:sz w:val="20"/>
                <w:szCs w:val="20"/>
                <w:lang w:val="fr-FR" w:eastAsia="it-IT"/>
              </w:rPr>
              <w:t>Faire une EES afin d’évaluer l’impact de l’appui à la sécurité alimentaire sur les systèmes de production et l’environnement, incluant une EES des interventions d’aide alimentaire (*).</w:t>
            </w:r>
          </w:p>
        </w:tc>
        <w:tc>
          <w:tcPr>
            <w:tcW w:w="6239" w:type="dxa"/>
          </w:tcPr>
          <w:p w14:paraId="7C8B3734" w14:textId="77777777" w:rsidR="00261588" w:rsidRPr="004B3056" w:rsidRDefault="00261588" w:rsidP="00261588">
            <w:pPr>
              <w:spacing w:after="0" w:line="240" w:lineRule="auto"/>
              <w:contextualSpacing/>
              <w:rPr>
                <w:rFonts w:eastAsia="SimSun" w:cs="Arial"/>
                <w:sz w:val="20"/>
                <w:szCs w:val="20"/>
                <w:lang w:val="fr-FR" w:eastAsia="zh-CN"/>
              </w:rPr>
            </w:pPr>
            <w:r w:rsidRPr="004B3056">
              <w:rPr>
                <w:rFonts w:eastAsia="SimSun" w:cs="Arial"/>
                <w:sz w:val="20"/>
                <w:szCs w:val="20"/>
                <w:lang w:val="fr-FR" w:eastAsia="zh-CN"/>
              </w:rPr>
              <w:t>Il n’y a pas eu d’EES. Néanmoins l’approche de l’aide humanitaire a évolué avec (i) l’achat de la nourriture à distribuer sur les marchés locaux et (ii) une vision multisectorielle et à moyen terme de l’aide humanitaire qui associe l’aide, la réhabilitation et le développement dans le but du renforcement de la résilience et de la prévention de la malnutrition (mise en œuvre du Plan Sahel). Toutefois, ces appuis n’intègrent pas spécifiquement l’environnement mis à part l’équipement pour la collecte des déchets à Tombouctou.</w:t>
            </w:r>
          </w:p>
        </w:tc>
        <w:tc>
          <w:tcPr>
            <w:tcW w:w="1128" w:type="dxa"/>
          </w:tcPr>
          <w:p w14:paraId="03D1CA85" w14:textId="77777777" w:rsidR="00261588" w:rsidRPr="004B3056" w:rsidRDefault="00261588" w:rsidP="00261588">
            <w:pPr>
              <w:spacing w:after="0" w:line="240" w:lineRule="auto"/>
              <w:jc w:val="center"/>
              <w:rPr>
                <w:rFonts w:cs="Arial"/>
                <w:b/>
                <w:sz w:val="32"/>
                <w:szCs w:val="32"/>
                <w:lang w:eastAsia="it-IT"/>
              </w:rPr>
            </w:pPr>
            <w:r w:rsidRPr="004B3056">
              <w:rPr>
                <w:rFonts w:cs="Arial"/>
                <w:b/>
                <w:sz w:val="32"/>
                <w:szCs w:val="32"/>
                <w:lang w:eastAsia="it-IT"/>
              </w:rPr>
              <w:sym w:font="Wingdings" w:char="F04B"/>
            </w:r>
          </w:p>
        </w:tc>
        <w:tc>
          <w:tcPr>
            <w:tcW w:w="1806" w:type="dxa"/>
          </w:tcPr>
          <w:p w14:paraId="225307D7" w14:textId="77777777" w:rsidR="00261588" w:rsidRPr="004B3056" w:rsidRDefault="00261588" w:rsidP="00261588">
            <w:pPr>
              <w:spacing w:after="0" w:line="240" w:lineRule="auto"/>
              <w:rPr>
                <w:rFonts w:eastAsia="SimSun" w:cs="Arial"/>
                <w:sz w:val="20"/>
                <w:szCs w:val="20"/>
                <w:lang w:val="fr-FR" w:eastAsia="zh-CN"/>
              </w:rPr>
            </w:pPr>
          </w:p>
        </w:tc>
      </w:tr>
      <w:tr w:rsidR="00261588" w:rsidRPr="004B3056" w14:paraId="06B99BFC" w14:textId="77777777" w:rsidTr="00261588">
        <w:tc>
          <w:tcPr>
            <w:tcW w:w="0" w:type="auto"/>
          </w:tcPr>
          <w:p w14:paraId="211EBC5C" w14:textId="77777777" w:rsidR="00261588" w:rsidRPr="004B3056" w:rsidRDefault="00261588" w:rsidP="00261588">
            <w:pPr>
              <w:overflowPunct w:val="0"/>
              <w:autoSpaceDE w:val="0"/>
              <w:autoSpaceDN w:val="0"/>
              <w:adjustRightInd w:val="0"/>
              <w:spacing w:after="0" w:line="240" w:lineRule="auto"/>
              <w:textAlignment w:val="baseline"/>
              <w:rPr>
                <w:rFonts w:eastAsia="Times New Roman" w:cs="Arial"/>
                <w:bCs/>
                <w:sz w:val="20"/>
                <w:szCs w:val="20"/>
                <w:lang w:val="fr-FR" w:eastAsia="it-IT"/>
              </w:rPr>
            </w:pPr>
            <w:r w:rsidRPr="004B3056">
              <w:rPr>
                <w:rFonts w:eastAsia="Times New Roman" w:cs="Arial"/>
                <w:bCs/>
                <w:sz w:val="20"/>
                <w:szCs w:val="20"/>
                <w:lang w:val="fr-FR" w:eastAsia="it-IT"/>
              </w:rPr>
              <w:t>Orienter les appuis vers la prévention, la réduction des pressions et le renforcement des capacités plutôt que vers des mesures curatives généralement très coûteuses (*)</w:t>
            </w:r>
          </w:p>
        </w:tc>
        <w:tc>
          <w:tcPr>
            <w:tcW w:w="6239" w:type="dxa"/>
          </w:tcPr>
          <w:p w14:paraId="332CD184" w14:textId="77777777" w:rsidR="00261588" w:rsidRPr="004B3056" w:rsidRDefault="00261588" w:rsidP="00261588">
            <w:pPr>
              <w:spacing w:after="0" w:line="240" w:lineRule="auto"/>
              <w:contextualSpacing/>
              <w:rPr>
                <w:rFonts w:eastAsia="SimSun" w:cs="Arial"/>
                <w:sz w:val="20"/>
                <w:szCs w:val="20"/>
                <w:lang w:val="fr-FR" w:eastAsia="zh-CN"/>
              </w:rPr>
            </w:pPr>
            <w:r w:rsidRPr="004B3056">
              <w:rPr>
                <w:rFonts w:eastAsia="SimSun" w:cs="Arial"/>
                <w:sz w:val="20"/>
                <w:szCs w:val="20"/>
                <w:lang w:val="fr-FR" w:eastAsia="zh-CN"/>
              </w:rPr>
              <w:t>L’utilisation rationnelle des ressources et les mesures environnementales préventives sont peu appliquées ou appuyées. Quelques politiques (énergie) et projets (PASSIP, COBFIDIS) font la promotion de l’utilisation rationnelle des ressources et le recyclage des déchets, mais la plupart des programmes sont des poursuites. Les grands projets de réhabilitation (fleuve Niger) effectuent des mesures curatives à la place de mesures préventives. L’étendu de la production de fourrage reste négligeable. Le renforcement de la bonne gouvernance environnementale locale est faite par quelques projets (massifs forestiers villageois, formation du secteur privé, PCAE), mais reste largement insuffisant en vue des besoins.</w:t>
            </w:r>
          </w:p>
        </w:tc>
        <w:tc>
          <w:tcPr>
            <w:tcW w:w="1128" w:type="dxa"/>
          </w:tcPr>
          <w:p w14:paraId="596E825A" w14:textId="77777777" w:rsidR="00261588" w:rsidRPr="004B3056" w:rsidRDefault="00261588" w:rsidP="00261588">
            <w:pPr>
              <w:spacing w:after="0" w:line="240" w:lineRule="auto"/>
              <w:jc w:val="center"/>
              <w:rPr>
                <w:rFonts w:cs="Arial"/>
                <w:b/>
                <w:sz w:val="32"/>
                <w:szCs w:val="32"/>
                <w:lang w:eastAsia="it-IT"/>
              </w:rPr>
            </w:pPr>
          </w:p>
          <w:p w14:paraId="7F8BA8E2" w14:textId="77777777" w:rsidR="00261588" w:rsidRPr="004B3056" w:rsidRDefault="00261588" w:rsidP="00261588">
            <w:pPr>
              <w:spacing w:after="0" w:line="240" w:lineRule="auto"/>
              <w:jc w:val="center"/>
              <w:rPr>
                <w:rFonts w:eastAsia="SimSun" w:cs="Arial"/>
                <w:sz w:val="32"/>
                <w:szCs w:val="32"/>
                <w:lang w:eastAsia="zh-CN"/>
              </w:rPr>
            </w:pPr>
            <w:r w:rsidRPr="004B3056">
              <w:rPr>
                <w:rFonts w:cs="Arial"/>
                <w:b/>
                <w:sz w:val="32"/>
                <w:szCs w:val="32"/>
                <w:lang w:eastAsia="it-IT"/>
              </w:rPr>
              <w:sym w:font="Wingdings" w:char="F04B"/>
            </w:r>
          </w:p>
        </w:tc>
        <w:tc>
          <w:tcPr>
            <w:tcW w:w="1806" w:type="dxa"/>
          </w:tcPr>
          <w:p w14:paraId="2BDADF69" w14:textId="77777777" w:rsidR="00261588" w:rsidRPr="004B3056" w:rsidRDefault="00261588" w:rsidP="00261588">
            <w:pPr>
              <w:spacing w:after="0" w:line="240" w:lineRule="auto"/>
              <w:rPr>
                <w:rFonts w:eastAsia="SimSun" w:cs="Arial"/>
                <w:sz w:val="20"/>
                <w:szCs w:val="20"/>
                <w:lang w:eastAsia="zh-CN"/>
              </w:rPr>
            </w:pPr>
          </w:p>
        </w:tc>
      </w:tr>
      <w:tr w:rsidR="00261588" w:rsidRPr="004B3056" w14:paraId="6E84425B" w14:textId="77777777" w:rsidTr="00261588">
        <w:tc>
          <w:tcPr>
            <w:tcW w:w="14220" w:type="dxa"/>
            <w:gridSpan w:val="4"/>
            <w:shd w:val="clear" w:color="auto" w:fill="FFFF00"/>
          </w:tcPr>
          <w:p w14:paraId="19A1C80C" w14:textId="77777777" w:rsidR="00261588" w:rsidRPr="004B3056" w:rsidRDefault="00261588" w:rsidP="00261588">
            <w:pPr>
              <w:spacing w:line="240" w:lineRule="auto"/>
              <w:rPr>
                <w:rFonts w:eastAsia="SimSun" w:cs="Arial"/>
                <w:sz w:val="20"/>
                <w:szCs w:val="20"/>
                <w:lang w:eastAsia="zh-CN"/>
              </w:rPr>
            </w:pPr>
            <w:r w:rsidRPr="004B3056">
              <w:rPr>
                <w:rFonts w:eastAsia="SimSun" w:cs="Arial"/>
                <w:b/>
                <w:sz w:val="20"/>
                <w:szCs w:val="20"/>
                <w:lang w:val="fr-FR" w:eastAsia="zh-CN"/>
              </w:rPr>
              <w:t xml:space="preserve">Sur le plan des infrastructures (routes) </w:t>
            </w:r>
            <w:r w:rsidRPr="004B3056">
              <w:rPr>
                <w:rFonts w:cs="Arial"/>
                <w:b/>
                <w:sz w:val="32"/>
                <w:szCs w:val="32"/>
                <w:lang w:eastAsia="it-IT"/>
              </w:rPr>
              <w:sym w:font="Wingdings" w:char="F04B"/>
            </w:r>
          </w:p>
        </w:tc>
      </w:tr>
      <w:tr w:rsidR="00261588" w:rsidRPr="004B3056" w14:paraId="41D28301" w14:textId="77777777" w:rsidTr="00261588">
        <w:tc>
          <w:tcPr>
            <w:tcW w:w="0" w:type="auto"/>
          </w:tcPr>
          <w:p w14:paraId="62F2A0A2" w14:textId="77777777" w:rsidR="00261588" w:rsidRPr="004B3056" w:rsidRDefault="00261588" w:rsidP="00261588">
            <w:pPr>
              <w:overflowPunct w:val="0"/>
              <w:autoSpaceDE w:val="0"/>
              <w:autoSpaceDN w:val="0"/>
              <w:adjustRightInd w:val="0"/>
              <w:spacing w:after="0" w:line="240" w:lineRule="auto"/>
              <w:textAlignment w:val="baseline"/>
              <w:rPr>
                <w:rFonts w:eastAsia="Times New Roman" w:cs="Arial"/>
                <w:bCs/>
                <w:sz w:val="20"/>
                <w:szCs w:val="20"/>
                <w:lang w:val="fr-FR" w:eastAsia="it-IT"/>
              </w:rPr>
            </w:pPr>
            <w:r w:rsidRPr="004B3056">
              <w:rPr>
                <w:rFonts w:eastAsia="Times New Roman" w:cs="Arial"/>
                <w:bCs/>
                <w:sz w:val="20"/>
                <w:szCs w:val="20"/>
                <w:lang w:val="fr-FR" w:eastAsia="it-IT"/>
              </w:rPr>
              <w:t>Renforcer l’élaboration et la mise en œuvre des Schémas d’Aménagement Territoire (SAT) incluant la dimension environnementale (*)</w:t>
            </w:r>
          </w:p>
        </w:tc>
        <w:tc>
          <w:tcPr>
            <w:tcW w:w="6239" w:type="dxa"/>
          </w:tcPr>
          <w:p w14:paraId="11093F32" w14:textId="77777777" w:rsidR="00261588" w:rsidRPr="004B3056" w:rsidRDefault="00261588" w:rsidP="00402332">
            <w:pPr>
              <w:spacing w:after="0" w:line="240" w:lineRule="auto"/>
              <w:contextualSpacing/>
              <w:rPr>
                <w:rFonts w:eastAsia="SimSun" w:cs="Arial"/>
                <w:sz w:val="20"/>
                <w:szCs w:val="20"/>
                <w:lang w:val="fr-FR" w:eastAsia="zh-CN"/>
              </w:rPr>
            </w:pPr>
            <w:r w:rsidRPr="004B3056">
              <w:rPr>
                <w:rFonts w:eastAsia="SimSun" w:cs="Arial"/>
                <w:sz w:val="20"/>
                <w:szCs w:val="20"/>
                <w:lang w:val="fr-FR" w:eastAsia="zh-CN"/>
              </w:rPr>
              <w:t xml:space="preserve">La combinaison de la Politique Nationale des Transports et celle des Infrastructures de Transport (PNTIT) avec le SNAT (l’ancien date de 1995) reste toujours en projet. L’élaboration du SAT national a été lancée en 3/2018 et la prise en compte de </w:t>
            </w:r>
            <w:r w:rsidRPr="00E14206">
              <w:rPr>
                <w:rFonts w:eastAsia="SimSun" w:cs="Arial"/>
                <w:sz w:val="20"/>
                <w:szCs w:val="20"/>
                <w:lang w:val="fr-FR" w:eastAsia="zh-CN"/>
              </w:rPr>
              <w:t>l’environnement dans les SAT est inscrite dans la loi d’aménagement du territoire de 2017</w:t>
            </w:r>
            <w:r w:rsidR="00402332" w:rsidRPr="00E14206">
              <w:rPr>
                <w:rFonts w:eastAsia="SimSun" w:cs="Arial"/>
                <w:sz w:val="20"/>
                <w:szCs w:val="20"/>
                <w:lang w:val="fr-FR" w:eastAsia="zh-CN"/>
              </w:rPr>
              <w:t>, dans le SDU et les stratégies de mobilités</w:t>
            </w:r>
            <w:r w:rsidRPr="00E14206">
              <w:rPr>
                <w:rFonts w:eastAsia="SimSun" w:cs="Arial"/>
                <w:sz w:val="20"/>
                <w:szCs w:val="20"/>
                <w:lang w:val="fr-FR" w:eastAsia="zh-CN"/>
              </w:rPr>
              <w:t>.</w:t>
            </w:r>
            <w:r w:rsidRPr="004B3056">
              <w:rPr>
                <w:rFonts w:eastAsia="SimSun" w:cs="Arial"/>
                <w:sz w:val="20"/>
                <w:szCs w:val="20"/>
                <w:lang w:val="fr-FR" w:eastAsia="zh-CN"/>
              </w:rPr>
              <w:t xml:space="preserve"> </w:t>
            </w:r>
          </w:p>
        </w:tc>
        <w:tc>
          <w:tcPr>
            <w:tcW w:w="1128" w:type="dxa"/>
            <w:vAlign w:val="center"/>
          </w:tcPr>
          <w:p w14:paraId="2ACA1A90" w14:textId="77777777" w:rsidR="00261588" w:rsidRPr="004B3056" w:rsidRDefault="00261588" w:rsidP="00261588">
            <w:pPr>
              <w:spacing w:after="0" w:line="240" w:lineRule="auto"/>
              <w:jc w:val="center"/>
              <w:rPr>
                <w:rFonts w:eastAsia="SimSun" w:cs="Arial"/>
                <w:sz w:val="32"/>
                <w:szCs w:val="32"/>
                <w:lang w:eastAsia="zh-CN"/>
              </w:rPr>
            </w:pPr>
            <w:r w:rsidRPr="004B3056">
              <w:rPr>
                <w:rFonts w:cs="Arial"/>
                <w:b/>
                <w:sz w:val="32"/>
                <w:szCs w:val="32"/>
                <w:lang w:eastAsia="it-IT"/>
              </w:rPr>
              <w:sym w:font="Wingdings" w:char="F04B"/>
            </w:r>
          </w:p>
        </w:tc>
        <w:tc>
          <w:tcPr>
            <w:tcW w:w="1806" w:type="dxa"/>
          </w:tcPr>
          <w:p w14:paraId="2669BF09" w14:textId="77777777" w:rsidR="00261588" w:rsidRPr="004B3056" w:rsidRDefault="00261588" w:rsidP="00261588">
            <w:pPr>
              <w:spacing w:after="0" w:line="240" w:lineRule="auto"/>
              <w:rPr>
                <w:rFonts w:eastAsia="SimSun" w:cs="Arial"/>
                <w:sz w:val="20"/>
                <w:szCs w:val="20"/>
                <w:lang w:val="fr-FR" w:eastAsia="zh-CN"/>
              </w:rPr>
            </w:pPr>
          </w:p>
        </w:tc>
      </w:tr>
      <w:tr w:rsidR="00261588" w:rsidRPr="004B3056" w14:paraId="78B8D7C8" w14:textId="77777777" w:rsidTr="00261588">
        <w:tc>
          <w:tcPr>
            <w:tcW w:w="0" w:type="auto"/>
          </w:tcPr>
          <w:p w14:paraId="43F882D2" w14:textId="77777777" w:rsidR="00261588" w:rsidRPr="004B3056" w:rsidRDefault="00261588" w:rsidP="00261588">
            <w:pPr>
              <w:overflowPunct w:val="0"/>
              <w:autoSpaceDE w:val="0"/>
              <w:autoSpaceDN w:val="0"/>
              <w:adjustRightInd w:val="0"/>
              <w:spacing w:after="0" w:line="240" w:lineRule="auto"/>
              <w:textAlignment w:val="baseline"/>
              <w:rPr>
                <w:rFonts w:eastAsia="Times New Roman" w:cs="Arial"/>
                <w:bCs/>
                <w:sz w:val="20"/>
                <w:szCs w:val="20"/>
                <w:lang w:val="fr-FR" w:eastAsia="it-IT"/>
              </w:rPr>
            </w:pPr>
            <w:r w:rsidRPr="004B3056">
              <w:rPr>
                <w:rFonts w:eastAsia="Times New Roman" w:cs="Arial"/>
                <w:bCs/>
                <w:sz w:val="20"/>
                <w:szCs w:val="20"/>
                <w:lang w:val="fr-FR" w:eastAsia="it-IT"/>
              </w:rPr>
              <w:lastRenderedPageBreak/>
              <w:t>Inscrire et budgétiser la mise en œuvre des plans d’atténuation, de compensation et les Plans de Gestion Environnemental et Social (PGES) des grands projets d’infrastructure dans la contribution des PTF. (*)</w:t>
            </w:r>
          </w:p>
        </w:tc>
        <w:tc>
          <w:tcPr>
            <w:tcW w:w="6239" w:type="dxa"/>
          </w:tcPr>
          <w:p w14:paraId="2FBF9ABE" w14:textId="77777777" w:rsidR="00261588" w:rsidRPr="004B3056" w:rsidRDefault="00261588" w:rsidP="00261588">
            <w:pPr>
              <w:spacing w:after="0" w:line="240" w:lineRule="auto"/>
              <w:contextualSpacing/>
              <w:rPr>
                <w:rFonts w:eastAsia="SimSun" w:cs="Arial"/>
                <w:sz w:val="20"/>
                <w:szCs w:val="20"/>
                <w:lang w:val="fr-FR" w:eastAsia="zh-CN"/>
              </w:rPr>
            </w:pPr>
            <w:r w:rsidRPr="004B3056">
              <w:rPr>
                <w:rFonts w:eastAsia="SimSun" w:cs="Arial"/>
                <w:sz w:val="20"/>
                <w:szCs w:val="20"/>
                <w:lang w:val="fr-FR" w:eastAsia="zh-CN"/>
              </w:rPr>
              <w:t>La mise en œuvre des EIES et PGES des grands projets routiers est en général suivie et satisfaisante.</w:t>
            </w:r>
          </w:p>
        </w:tc>
        <w:tc>
          <w:tcPr>
            <w:tcW w:w="1128" w:type="dxa"/>
            <w:vAlign w:val="center"/>
          </w:tcPr>
          <w:p w14:paraId="64A02671" w14:textId="77777777" w:rsidR="00261588" w:rsidRPr="004B3056" w:rsidRDefault="00261588" w:rsidP="00261588">
            <w:pPr>
              <w:spacing w:after="0" w:line="240" w:lineRule="auto"/>
              <w:jc w:val="center"/>
              <w:rPr>
                <w:rFonts w:eastAsia="SimSun" w:cs="Arial"/>
                <w:sz w:val="32"/>
                <w:szCs w:val="32"/>
                <w:lang w:eastAsia="zh-CN"/>
              </w:rPr>
            </w:pPr>
            <w:r w:rsidRPr="004B3056">
              <w:rPr>
                <w:rFonts w:eastAsia="SimSun" w:cs="Arial"/>
                <w:b/>
                <w:sz w:val="32"/>
                <w:szCs w:val="32"/>
                <w:lang w:val="de-DE" w:eastAsia="zh-CN"/>
              </w:rPr>
              <w:sym w:font="Wingdings" w:char="F04A"/>
            </w:r>
          </w:p>
        </w:tc>
        <w:tc>
          <w:tcPr>
            <w:tcW w:w="1806" w:type="dxa"/>
          </w:tcPr>
          <w:p w14:paraId="6EEF9876" w14:textId="77777777" w:rsidR="00261588" w:rsidRPr="004B3056" w:rsidRDefault="00261588" w:rsidP="00261588">
            <w:pPr>
              <w:spacing w:after="0" w:line="240" w:lineRule="auto"/>
              <w:rPr>
                <w:rFonts w:eastAsia="SimSun" w:cs="Arial"/>
                <w:sz w:val="20"/>
                <w:szCs w:val="20"/>
                <w:lang w:val="fr-FR" w:eastAsia="zh-CN"/>
              </w:rPr>
            </w:pPr>
          </w:p>
        </w:tc>
      </w:tr>
      <w:tr w:rsidR="00261588" w:rsidRPr="004B3056" w14:paraId="62E70654" w14:textId="77777777" w:rsidTr="00261588">
        <w:tc>
          <w:tcPr>
            <w:tcW w:w="0" w:type="auto"/>
          </w:tcPr>
          <w:p w14:paraId="663B09AB" w14:textId="77777777" w:rsidR="00261588" w:rsidRPr="004B3056" w:rsidRDefault="00261588" w:rsidP="00261588">
            <w:pPr>
              <w:spacing w:after="0" w:line="240" w:lineRule="auto"/>
              <w:rPr>
                <w:rFonts w:eastAsia="Times New Roman" w:cs="Arial"/>
                <w:bCs/>
                <w:sz w:val="20"/>
                <w:szCs w:val="20"/>
                <w:lang w:val="fr-FR" w:eastAsia="it-IT"/>
              </w:rPr>
            </w:pPr>
            <w:r w:rsidRPr="004B3056">
              <w:rPr>
                <w:rFonts w:eastAsia="Times New Roman" w:cs="Arial"/>
                <w:bCs/>
                <w:sz w:val="20"/>
                <w:szCs w:val="20"/>
                <w:lang w:val="fr-FR" w:eastAsia="it-IT"/>
              </w:rPr>
              <w:t>Réaliser les évaluations ex-post des projets routiers budgétisées dans le 10</w:t>
            </w:r>
            <w:r w:rsidRPr="004B3056">
              <w:rPr>
                <w:rFonts w:eastAsia="Times New Roman" w:cs="Arial"/>
                <w:bCs/>
                <w:sz w:val="20"/>
                <w:szCs w:val="20"/>
                <w:vertAlign w:val="superscript"/>
                <w:lang w:val="fr-FR" w:eastAsia="it-IT"/>
              </w:rPr>
              <w:t>ème</w:t>
            </w:r>
            <w:r w:rsidRPr="004B3056">
              <w:rPr>
                <w:rFonts w:eastAsia="Times New Roman" w:cs="Arial"/>
                <w:bCs/>
                <w:sz w:val="20"/>
                <w:szCs w:val="20"/>
                <w:lang w:val="fr-FR" w:eastAsia="it-IT"/>
              </w:rPr>
              <w:t xml:space="preserve"> FED (*)</w:t>
            </w:r>
          </w:p>
        </w:tc>
        <w:tc>
          <w:tcPr>
            <w:tcW w:w="6239" w:type="dxa"/>
          </w:tcPr>
          <w:p w14:paraId="01EEC243" w14:textId="77777777" w:rsidR="00261588" w:rsidRPr="004B3056" w:rsidRDefault="00261588" w:rsidP="00261588">
            <w:pPr>
              <w:spacing w:after="0" w:line="240" w:lineRule="auto"/>
              <w:contextualSpacing/>
              <w:rPr>
                <w:rFonts w:eastAsia="SimSun" w:cs="Arial"/>
                <w:sz w:val="20"/>
                <w:szCs w:val="20"/>
                <w:lang w:val="fr-FR" w:eastAsia="zh-CN"/>
              </w:rPr>
            </w:pPr>
            <w:r w:rsidRPr="004B3056">
              <w:rPr>
                <w:rFonts w:eastAsia="SimSun" w:cs="Arial"/>
                <w:sz w:val="20"/>
                <w:szCs w:val="20"/>
                <w:lang w:val="fr-FR" w:eastAsia="zh-CN"/>
              </w:rPr>
              <w:t>Aucune évaluation ex – post des projets routiers n’est faite.</w:t>
            </w:r>
          </w:p>
        </w:tc>
        <w:tc>
          <w:tcPr>
            <w:tcW w:w="1128" w:type="dxa"/>
            <w:vAlign w:val="center"/>
          </w:tcPr>
          <w:p w14:paraId="3F9F2F59" w14:textId="77777777" w:rsidR="00261588" w:rsidRPr="004B3056" w:rsidRDefault="00261588" w:rsidP="00261588">
            <w:pPr>
              <w:spacing w:after="0" w:line="240" w:lineRule="auto"/>
              <w:jc w:val="center"/>
              <w:rPr>
                <w:rFonts w:eastAsia="SimSun" w:cs="Arial"/>
                <w:sz w:val="32"/>
                <w:szCs w:val="32"/>
                <w:lang w:eastAsia="zh-CN"/>
              </w:rPr>
            </w:pPr>
            <w:r w:rsidRPr="004B3056">
              <w:rPr>
                <w:rFonts w:cs="Arial"/>
                <w:b/>
                <w:sz w:val="32"/>
                <w:szCs w:val="32"/>
                <w:lang w:eastAsia="it-IT"/>
              </w:rPr>
              <w:sym w:font="Wingdings" w:char="F04C"/>
            </w:r>
          </w:p>
        </w:tc>
        <w:tc>
          <w:tcPr>
            <w:tcW w:w="1806" w:type="dxa"/>
          </w:tcPr>
          <w:p w14:paraId="58E84D36" w14:textId="77777777" w:rsidR="00261588" w:rsidRPr="004B3056" w:rsidRDefault="00261588" w:rsidP="00261588">
            <w:pPr>
              <w:spacing w:after="0" w:line="240" w:lineRule="auto"/>
              <w:rPr>
                <w:rFonts w:eastAsia="SimSun" w:cs="Arial"/>
                <w:sz w:val="20"/>
                <w:szCs w:val="20"/>
                <w:lang w:val="fr-FR" w:eastAsia="zh-CN"/>
              </w:rPr>
            </w:pPr>
          </w:p>
        </w:tc>
      </w:tr>
      <w:tr w:rsidR="00261588" w:rsidRPr="004B3056" w14:paraId="6CD7E310" w14:textId="77777777" w:rsidTr="00261588">
        <w:tc>
          <w:tcPr>
            <w:tcW w:w="14220" w:type="dxa"/>
            <w:gridSpan w:val="4"/>
            <w:shd w:val="clear" w:color="auto" w:fill="FFFF00"/>
          </w:tcPr>
          <w:p w14:paraId="53EAAC11" w14:textId="77777777" w:rsidR="00261588" w:rsidRPr="004B3056" w:rsidRDefault="00261588" w:rsidP="00261588">
            <w:pPr>
              <w:overflowPunct w:val="0"/>
              <w:autoSpaceDE w:val="0"/>
              <w:autoSpaceDN w:val="0"/>
              <w:adjustRightInd w:val="0"/>
              <w:spacing w:after="0" w:line="240" w:lineRule="auto"/>
              <w:textAlignment w:val="baseline"/>
              <w:rPr>
                <w:rFonts w:eastAsia="Times New Roman" w:cs="Arial"/>
                <w:bCs/>
                <w:sz w:val="20"/>
                <w:szCs w:val="20"/>
                <w:lang w:val="fr-FR" w:eastAsia="it-IT"/>
              </w:rPr>
            </w:pPr>
            <w:r w:rsidRPr="004B3056">
              <w:rPr>
                <w:rFonts w:eastAsia="SimSun" w:cs="Arial"/>
                <w:b/>
                <w:sz w:val="20"/>
                <w:szCs w:val="20"/>
                <w:lang w:val="fr-FR" w:eastAsia="zh-CN"/>
              </w:rPr>
              <w:t xml:space="preserve"> Sur le plan du développement urbain et des industries </w:t>
            </w:r>
            <w:r w:rsidRPr="004B3056">
              <w:rPr>
                <w:rFonts w:cs="Arial"/>
                <w:b/>
                <w:sz w:val="32"/>
                <w:szCs w:val="32"/>
                <w:lang w:eastAsia="it-IT"/>
              </w:rPr>
              <w:sym w:font="Wingdings" w:char="F04C"/>
            </w:r>
          </w:p>
        </w:tc>
      </w:tr>
      <w:tr w:rsidR="00261588" w:rsidRPr="004B3056" w14:paraId="4382CB66" w14:textId="77777777" w:rsidTr="00261588">
        <w:tc>
          <w:tcPr>
            <w:tcW w:w="0" w:type="auto"/>
          </w:tcPr>
          <w:p w14:paraId="312EC351" w14:textId="77777777" w:rsidR="00261588" w:rsidRPr="004B3056" w:rsidRDefault="00261588" w:rsidP="00261588">
            <w:pPr>
              <w:overflowPunct w:val="0"/>
              <w:autoSpaceDE w:val="0"/>
              <w:autoSpaceDN w:val="0"/>
              <w:adjustRightInd w:val="0"/>
              <w:spacing w:after="0" w:line="240" w:lineRule="auto"/>
              <w:textAlignment w:val="baseline"/>
              <w:rPr>
                <w:rFonts w:eastAsia="Times New Roman" w:cs="Arial"/>
                <w:bCs/>
                <w:sz w:val="20"/>
                <w:szCs w:val="20"/>
                <w:lang w:val="fr-FR" w:eastAsia="it-IT"/>
              </w:rPr>
            </w:pPr>
            <w:r w:rsidRPr="004B3056">
              <w:rPr>
                <w:rFonts w:eastAsia="Times New Roman" w:cs="Arial"/>
                <w:bCs/>
                <w:sz w:val="20"/>
                <w:szCs w:val="20"/>
                <w:lang w:val="fr-FR" w:eastAsia="it-IT"/>
              </w:rPr>
              <w:t xml:space="preserve">Accélérer le traitement des déchets solides et liquides des centres urbains par de grands investissements </w:t>
            </w:r>
            <w:r w:rsidRPr="004B3056">
              <w:rPr>
                <w:rFonts w:eastAsia="Times New Roman" w:cs="Arial"/>
                <w:bCs/>
                <w:sz w:val="20"/>
                <w:szCs w:val="20"/>
                <w:u w:val="single"/>
                <w:lang w:val="fr-FR" w:eastAsia="it-IT"/>
              </w:rPr>
              <w:t>et</w:t>
            </w:r>
            <w:r w:rsidRPr="004B3056">
              <w:rPr>
                <w:rFonts w:eastAsia="Times New Roman" w:cs="Arial"/>
                <w:bCs/>
                <w:sz w:val="20"/>
                <w:szCs w:val="20"/>
                <w:lang w:val="fr-FR" w:eastAsia="it-IT"/>
              </w:rPr>
              <w:t xml:space="preserve"> les mesures d’accompagnement nécessaires.</w:t>
            </w:r>
          </w:p>
        </w:tc>
        <w:tc>
          <w:tcPr>
            <w:tcW w:w="6239" w:type="dxa"/>
          </w:tcPr>
          <w:p w14:paraId="6A07C07B" w14:textId="77777777" w:rsidR="00261588" w:rsidRPr="00E14206" w:rsidRDefault="00261588" w:rsidP="00402332">
            <w:pPr>
              <w:spacing w:after="0" w:line="240" w:lineRule="auto"/>
              <w:contextualSpacing/>
              <w:rPr>
                <w:rFonts w:eastAsia="SimSun" w:cs="Arial"/>
                <w:sz w:val="20"/>
                <w:szCs w:val="20"/>
                <w:lang w:val="fr-FR" w:eastAsia="zh-CN"/>
              </w:rPr>
            </w:pPr>
            <w:r w:rsidRPr="00E14206">
              <w:rPr>
                <w:rFonts w:eastAsia="SimSun" w:cs="Arial"/>
                <w:sz w:val="20"/>
                <w:szCs w:val="20"/>
                <w:lang w:val="fr-FR" w:eastAsia="zh-CN"/>
              </w:rPr>
              <w:t>La réalisation de grands investissements traine</w:t>
            </w:r>
            <w:r w:rsidR="00402332" w:rsidRPr="00E14206">
              <w:rPr>
                <w:rFonts w:eastAsia="SimSun" w:cs="Arial"/>
                <w:sz w:val="20"/>
                <w:szCs w:val="20"/>
                <w:lang w:val="fr-FR" w:eastAsia="zh-CN"/>
              </w:rPr>
              <w:t xml:space="preserve"> (projet BOAD de valorisation, transformation de déchets solides), mais les sites (fonciers) sont identifiés (50 ha et des dépôts de transit ok)</w:t>
            </w:r>
            <w:r w:rsidRPr="00E14206">
              <w:rPr>
                <w:rFonts w:eastAsia="SimSun" w:cs="Arial"/>
                <w:sz w:val="20"/>
                <w:szCs w:val="20"/>
                <w:lang w:val="fr-FR" w:eastAsia="zh-CN"/>
              </w:rPr>
              <w:t>. L’assainissement des déchets liquides est un problème crucial dans toutes les villes (vidange dans la nature), 1 CET fonctionnel à Sikasso, 1 CET à Bamako connait beaucoup de problèmes de fonctionnement. Des systèmes de collecte primaire sont en place dans plusieurs villes mais les filières sont rarement développées.</w:t>
            </w:r>
          </w:p>
        </w:tc>
        <w:tc>
          <w:tcPr>
            <w:tcW w:w="1128" w:type="dxa"/>
            <w:vAlign w:val="center"/>
          </w:tcPr>
          <w:p w14:paraId="46702884" w14:textId="77777777" w:rsidR="00261588" w:rsidRPr="004B3056" w:rsidRDefault="00261588" w:rsidP="00261588">
            <w:pPr>
              <w:spacing w:after="0" w:line="240" w:lineRule="auto"/>
              <w:jc w:val="center"/>
              <w:rPr>
                <w:rFonts w:eastAsia="SimSun" w:cs="Arial"/>
                <w:sz w:val="32"/>
                <w:szCs w:val="32"/>
                <w:lang w:eastAsia="zh-CN"/>
              </w:rPr>
            </w:pPr>
            <w:r w:rsidRPr="004B3056">
              <w:rPr>
                <w:rFonts w:cs="Arial"/>
                <w:b/>
                <w:sz w:val="32"/>
                <w:szCs w:val="32"/>
                <w:lang w:eastAsia="it-IT"/>
              </w:rPr>
              <w:sym w:font="Wingdings" w:char="F04C"/>
            </w:r>
          </w:p>
        </w:tc>
        <w:tc>
          <w:tcPr>
            <w:tcW w:w="1806" w:type="dxa"/>
          </w:tcPr>
          <w:p w14:paraId="57CF3721" w14:textId="77777777" w:rsidR="00261588" w:rsidRPr="004B3056" w:rsidRDefault="00261588" w:rsidP="00261588">
            <w:pPr>
              <w:spacing w:after="0" w:line="240" w:lineRule="auto"/>
              <w:rPr>
                <w:rFonts w:eastAsia="SimSun" w:cs="Arial"/>
                <w:sz w:val="20"/>
                <w:szCs w:val="20"/>
                <w:lang w:val="fr-FR" w:eastAsia="zh-CN"/>
              </w:rPr>
            </w:pPr>
          </w:p>
        </w:tc>
      </w:tr>
      <w:tr w:rsidR="00261588" w:rsidRPr="004B3056" w14:paraId="1FE7A891" w14:textId="77777777" w:rsidTr="00261588">
        <w:tc>
          <w:tcPr>
            <w:tcW w:w="0" w:type="auto"/>
          </w:tcPr>
          <w:p w14:paraId="0BC1DCCD" w14:textId="77777777" w:rsidR="00261588" w:rsidRPr="004B3056" w:rsidRDefault="00261588" w:rsidP="00261588">
            <w:pPr>
              <w:overflowPunct w:val="0"/>
              <w:autoSpaceDE w:val="0"/>
              <w:autoSpaceDN w:val="0"/>
              <w:adjustRightInd w:val="0"/>
              <w:spacing w:after="0" w:line="240" w:lineRule="auto"/>
              <w:textAlignment w:val="baseline"/>
              <w:rPr>
                <w:rFonts w:eastAsia="Times New Roman" w:cs="Arial"/>
                <w:bCs/>
                <w:sz w:val="20"/>
                <w:szCs w:val="20"/>
                <w:lang w:val="fr-FR" w:eastAsia="it-IT"/>
              </w:rPr>
            </w:pPr>
            <w:r w:rsidRPr="004B3056">
              <w:rPr>
                <w:rFonts w:eastAsia="Times New Roman" w:cs="Arial"/>
                <w:bCs/>
                <w:sz w:val="20"/>
                <w:szCs w:val="20"/>
                <w:lang w:val="fr-FR" w:eastAsia="it-IT"/>
              </w:rPr>
              <w:t>Assurer le respect des plans d’urbanisation et des codes d’urbanisation</w:t>
            </w:r>
          </w:p>
        </w:tc>
        <w:tc>
          <w:tcPr>
            <w:tcW w:w="6239" w:type="dxa"/>
          </w:tcPr>
          <w:p w14:paraId="274068A9" w14:textId="77777777" w:rsidR="00261588" w:rsidRPr="00E14206" w:rsidRDefault="00261588" w:rsidP="00402332">
            <w:pPr>
              <w:spacing w:after="0" w:line="240" w:lineRule="auto"/>
              <w:contextualSpacing/>
              <w:rPr>
                <w:rFonts w:eastAsia="SimSun" w:cs="Arial"/>
                <w:sz w:val="20"/>
                <w:szCs w:val="20"/>
                <w:lang w:val="fr-FR" w:eastAsia="zh-CN"/>
              </w:rPr>
            </w:pPr>
            <w:r w:rsidRPr="00E14206">
              <w:rPr>
                <w:rFonts w:eastAsia="SimSun" w:cs="Arial"/>
                <w:sz w:val="20"/>
                <w:szCs w:val="20"/>
                <w:lang w:val="fr-FR" w:eastAsia="zh-CN"/>
              </w:rPr>
              <w:t xml:space="preserve">Ils n’ont été </w:t>
            </w:r>
            <w:r w:rsidR="00402332" w:rsidRPr="00E14206">
              <w:rPr>
                <w:rFonts w:eastAsia="SimSun" w:cs="Arial"/>
                <w:sz w:val="20"/>
                <w:szCs w:val="20"/>
                <w:lang w:val="fr-FR" w:eastAsia="zh-CN"/>
              </w:rPr>
              <w:t>timidement</w:t>
            </w:r>
            <w:r w:rsidRPr="00E14206">
              <w:rPr>
                <w:rFonts w:eastAsia="SimSun" w:cs="Arial"/>
                <w:sz w:val="20"/>
                <w:szCs w:val="20"/>
                <w:lang w:val="fr-FR" w:eastAsia="zh-CN"/>
              </w:rPr>
              <w:t xml:space="preserve"> mis en œuvre à Bamako et sont anciens. Plusieurs villes secondaires disposent de plans actualisés, mais la mise en œuvre manque cruellement de moyens.</w:t>
            </w:r>
          </w:p>
        </w:tc>
        <w:tc>
          <w:tcPr>
            <w:tcW w:w="1128" w:type="dxa"/>
            <w:vAlign w:val="center"/>
          </w:tcPr>
          <w:p w14:paraId="6CFBDA1B" w14:textId="77777777" w:rsidR="00261588" w:rsidRPr="004B3056" w:rsidRDefault="00261588" w:rsidP="00261588">
            <w:pPr>
              <w:spacing w:after="0" w:line="240" w:lineRule="auto"/>
              <w:jc w:val="center"/>
              <w:rPr>
                <w:rFonts w:eastAsia="SimSun" w:cs="Arial"/>
                <w:sz w:val="32"/>
                <w:szCs w:val="32"/>
                <w:lang w:val="fr-FR" w:eastAsia="zh-CN"/>
              </w:rPr>
            </w:pPr>
            <w:r w:rsidRPr="004B3056">
              <w:rPr>
                <w:rFonts w:cs="Arial"/>
                <w:b/>
                <w:sz w:val="32"/>
                <w:szCs w:val="32"/>
                <w:lang w:eastAsia="it-IT"/>
              </w:rPr>
              <w:sym w:font="Wingdings" w:char="F04C"/>
            </w:r>
          </w:p>
        </w:tc>
        <w:tc>
          <w:tcPr>
            <w:tcW w:w="1806" w:type="dxa"/>
          </w:tcPr>
          <w:p w14:paraId="14EB3F4A" w14:textId="77777777" w:rsidR="00261588" w:rsidRPr="004B3056" w:rsidRDefault="00261588" w:rsidP="00261588">
            <w:pPr>
              <w:spacing w:after="0" w:line="240" w:lineRule="auto"/>
              <w:rPr>
                <w:rFonts w:eastAsia="SimSun" w:cs="Arial"/>
                <w:sz w:val="20"/>
                <w:szCs w:val="20"/>
                <w:lang w:val="fr-FR" w:eastAsia="zh-CN"/>
              </w:rPr>
            </w:pPr>
          </w:p>
        </w:tc>
      </w:tr>
      <w:tr w:rsidR="00261588" w:rsidRPr="004B3056" w14:paraId="211E492B" w14:textId="77777777" w:rsidTr="00261588">
        <w:tc>
          <w:tcPr>
            <w:tcW w:w="0" w:type="auto"/>
          </w:tcPr>
          <w:p w14:paraId="153A7C60" w14:textId="77777777" w:rsidR="00261588" w:rsidRPr="004B3056" w:rsidRDefault="00261588" w:rsidP="00261588">
            <w:pPr>
              <w:overflowPunct w:val="0"/>
              <w:autoSpaceDE w:val="0"/>
              <w:autoSpaceDN w:val="0"/>
              <w:adjustRightInd w:val="0"/>
              <w:spacing w:after="0" w:line="240" w:lineRule="auto"/>
              <w:textAlignment w:val="baseline"/>
              <w:rPr>
                <w:rFonts w:eastAsia="Times New Roman" w:cs="Arial"/>
                <w:bCs/>
                <w:sz w:val="20"/>
                <w:szCs w:val="20"/>
                <w:lang w:val="fr-FR" w:eastAsia="it-IT"/>
              </w:rPr>
            </w:pPr>
            <w:r w:rsidRPr="004B3056">
              <w:rPr>
                <w:rFonts w:eastAsia="Times New Roman" w:cs="Arial"/>
                <w:bCs/>
                <w:sz w:val="20"/>
                <w:szCs w:val="20"/>
                <w:lang w:val="fr-FR" w:eastAsia="it-IT"/>
              </w:rPr>
              <w:t>Mettre en œuvre et financer le plan de circulation de Bamako.</w:t>
            </w:r>
          </w:p>
        </w:tc>
        <w:tc>
          <w:tcPr>
            <w:tcW w:w="6239" w:type="dxa"/>
          </w:tcPr>
          <w:p w14:paraId="7FC21D1A" w14:textId="77777777" w:rsidR="00261588" w:rsidRPr="004B3056" w:rsidRDefault="00261588" w:rsidP="00261588">
            <w:pPr>
              <w:spacing w:after="0" w:line="240" w:lineRule="auto"/>
              <w:contextualSpacing/>
              <w:rPr>
                <w:rFonts w:eastAsia="SimSun" w:cs="Arial"/>
                <w:sz w:val="20"/>
                <w:szCs w:val="20"/>
                <w:lang w:val="fr-FR" w:eastAsia="zh-CN"/>
              </w:rPr>
            </w:pPr>
            <w:r w:rsidRPr="004B3056">
              <w:rPr>
                <w:rFonts w:eastAsia="SimSun" w:cs="Arial"/>
                <w:sz w:val="20"/>
                <w:szCs w:val="20"/>
                <w:lang w:val="fr-FR" w:eastAsia="zh-CN"/>
              </w:rPr>
              <w:t>Le dernier plan date de 1989 et le nouveau plan n’a pas débuté.</w:t>
            </w:r>
          </w:p>
        </w:tc>
        <w:tc>
          <w:tcPr>
            <w:tcW w:w="1128" w:type="dxa"/>
            <w:vAlign w:val="center"/>
          </w:tcPr>
          <w:p w14:paraId="54E3716B" w14:textId="77777777" w:rsidR="00261588" w:rsidRPr="004B3056" w:rsidRDefault="00261588" w:rsidP="00261588">
            <w:pPr>
              <w:spacing w:after="0" w:line="240" w:lineRule="auto"/>
              <w:jc w:val="center"/>
              <w:rPr>
                <w:rFonts w:eastAsia="SimSun" w:cs="Arial"/>
                <w:sz w:val="32"/>
                <w:szCs w:val="32"/>
                <w:lang w:eastAsia="zh-CN"/>
              </w:rPr>
            </w:pPr>
            <w:r w:rsidRPr="004B3056">
              <w:rPr>
                <w:rFonts w:cs="Arial"/>
                <w:b/>
                <w:sz w:val="32"/>
                <w:szCs w:val="32"/>
                <w:lang w:eastAsia="it-IT"/>
              </w:rPr>
              <w:sym w:font="Wingdings" w:char="F04C"/>
            </w:r>
          </w:p>
        </w:tc>
        <w:tc>
          <w:tcPr>
            <w:tcW w:w="1806" w:type="dxa"/>
          </w:tcPr>
          <w:p w14:paraId="34830331" w14:textId="77777777" w:rsidR="00261588" w:rsidRPr="004B3056" w:rsidRDefault="00261588" w:rsidP="00261588">
            <w:pPr>
              <w:spacing w:after="0" w:line="240" w:lineRule="auto"/>
              <w:rPr>
                <w:rFonts w:eastAsia="SimSun" w:cs="Arial"/>
                <w:sz w:val="20"/>
                <w:szCs w:val="20"/>
                <w:lang w:val="fr-FR" w:eastAsia="zh-CN"/>
              </w:rPr>
            </w:pPr>
          </w:p>
        </w:tc>
      </w:tr>
      <w:tr w:rsidR="00261588" w:rsidRPr="004B3056" w14:paraId="4201792E" w14:textId="77777777" w:rsidTr="00261588">
        <w:tc>
          <w:tcPr>
            <w:tcW w:w="0" w:type="auto"/>
          </w:tcPr>
          <w:p w14:paraId="21E9AC59" w14:textId="77777777" w:rsidR="00261588" w:rsidRPr="004B3056" w:rsidRDefault="00261588" w:rsidP="00261588">
            <w:pPr>
              <w:overflowPunct w:val="0"/>
              <w:autoSpaceDE w:val="0"/>
              <w:autoSpaceDN w:val="0"/>
              <w:adjustRightInd w:val="0"/>
              <w:spacing w:after="0" w:line="240" w:lineRule="auto"/>
              <w:textAlignment w:val="baseline"/>
              <w:rPr>
                <w:rFonts w:eastAsia="Times New Roman" w:cs="Arial"/>
                <w:bCs/>
                <w:sz w:val="20"/>
                <w:szCs w:val="20"/>
                <w:lang w:val="fr-FR" w:eastAsia="it-IT"/>
              </w:rPr>
            </w:pPr>
            <w:r w:rsidRPr="004B3056">
              <w:rPr>
                <w:rFonts w:eastAsia="Times New Roman" w:cs="Arial"/>
                <w:bCs/>
                <w:sz w:val="20"/>
                <w:szCs w:val="20"/>
                <w:lang w:val="fr-FR" w:eastAsia="it-IT"/>
              </w:rPr>
              <w:t xml:space="preserve">Obliger les industries dans un premier temps à effectuer un pré - traitement des déchets à la source. </w:t>
            </w:r>
          </w:p>
        </w:tc>
        <w:tc>
          <w:tcPr>
            <w:tcW w:w="6239" w:type="dxa"/>
          </w:tcPr>
          <w:p w14:paraId="1C858EE0" w14:textId="77777777" w:rsidR="00261588" w:rsidRPr="004B3056" w:rsidRDefault="00261588" w:rsidP="00261588">
            <w:pPr>
              <w:spacing w:after="0" w:line="240" w:lineRule="auto"/>
              <w:contextualSpacing/>
              <w:rPr>
                <w:rFonts w:eastAsia="SimSun" w:cs="Arial"/>
                <w:sz w:val="20"/>
                <w:szCs w:val="20"/>
                <w:lang w:val="fr-FR" w:eastAsia="zh-CN"/>
              </w:rPr>
            </w:pPr>
            <w:r w:rsidRPr="004B3056">
              <w:rPr>
                <w:rFonts w:eastAsia="SimSun" w:cs="Arial"/>
                <w:sz w:val="20"/>
                <w:szCs w:val="20"/>
                <w:lang w:val="fr-FR" w:eastAsia="zh-CN"/>
              </w:rPr>
              <w:t xml:space="preserve">Le pré - traitement est obligatoire selon la réglementation, mais il est rarement respecté lié au manque de contrôle ou à la volonté politique de ne pas entraver l’activité industrielle (tanneries).  </w:t>
            </w:r>
          </w:p>
        </w:tc>
        <w:tc>
          <w:tcPr>
            <w:tcW w:w="1128" w:type="dxa"/>
            <w:vAlign w:val="center"/>
          </w:tcPr>
          <w:p w14:paraId="4AC6F839" w14:textId="77777777" w:rsidR="00261588" w:rsidRPr="004B3056" w:rsidRDefault="00261588" w:rsidP="00261588">
            <w:pPr>
              <w:spacing w:after="0" w:line="240" w:lineRule="auto"/>
              <w:jc w:val="center"/>
              <w:rPr>
                <w:rFonts w:eastAsia="SimSun" w:cs="Arial"/>
                <w:sz w:val="32"/>
                <w:szCs w:val="32"/>
                <w:lang w:eastAsia="zh-CN"/>
              </w:rPr>
            </w:pPr>
            <w:r w:rsidRPr="004B3056">
              <w:rPr>
                <w:rFonts w:cs="Arial"/>
                <w:b/>
                <w:sz w:val="32"/>
                <w:szCs w:val="32"/>
                <w:lang w:eastAsia="it-IT"/>
              </w:rPr>
              <w:sym w:font="Wingdings" w:char="F04C"/>
            </w:r>
          </w:p>
        </w:tc>
        <w:tc>
          <w:tcPr>
            <w:tcW w:w="1806" w:type="dxa"/>
          </w:tcPr>
          <w:p w14:paraId="4E2D7C2C" w14:textId="77777777" w:rsidR="00261588" w:rsidRPr="004B3056" w:rsidRDefault="00261588" w:rsidP="00261588">
            <w:pPr>
              <w:spacing w:after="0" w:line="240" w:lineRule="auto"/>
              <w:rPr>
                <w:rFonts w:eastAsia="SimSun" w:cs="Arial"/>
                <w:sz w:val="20"/>
                <w:szCs w:val="20"/>
                <w:lang w:val="fr-FR" w:eastAsia="zh-CN"/>
              </w:rPr>
            </w:pPr>
          </w:p>
        </w:tc>
      </w:tr>
      <w:tr w:rsidR="00261588" w:rsidRPr="004B3056" w14:paraId="0D447953" w14:textId="77777777" w:rsidTr="00261588">
        <w:tc>
          <w:tcPr>
            <w:tcW w:w="0" w:type="auto"/>
            <w:gridSpan w:val="4"/>
            <w:shd w:val="clear" w:color="auto" w:fill="FFFF00"/>
          </w:tcPr>
          <w:p w14:paraId="4D92A158" w14:textId="77777777" w:rsidR="00261588" w:rsidRPr="004B3056" w:rsidRDefault="00261588" w:rsidP="00261588">
            <w:pPr>
              <w:spacing w:after="0" w:line="240" w:lineRule="auto"/>
              <w:rPr>
                <w:rFonts w:eastAsia="SimSun" w:cs="Arial"/>
                <w:b/>
                <w:sz w:val="20"/>
                <w:szCs w:val="20"/>
                <w:lang w:val="fr-FR" w:eastAsia="zh-CN"/>
              </w:rPr>
            </w:pPr>
            <w:r w:rsidRPr="004B3056">
              <w:rPr>
                <w:rFonts w:eastAsia="SimSun" w:cs="Arial"/>
                <w:b/>
                <w:sz w:val="20"/>
                <w:szCs w:val="20"/>
                <w:lang w:val="fr-FR" w:eastAsia="zh-CN"/>
              </w:rPr>
              <w:t xml:space="preserve">Sur le plan de la décentralisation </w:t>
            </w:r>
            <w:r w:rsidRPr="004B3056">
              <w:rPr>
                <w:rFonts w:cs="Arial"/>
                <w:b/>
                <w:sz w:val="32"/>
                <w:szCs w:val="32"/>
                <w:lang w:eastAsia="it-IT"/>
              </w:rPr>
              <w:sym w:font="Wingdings" w:char="F04B"/>
            </w:r>
          </w:p>
        </w:tc>
      </w:tr>
      <w:tr w:rsidR="00261588" w:rsidRPr="004B3056" w14:paraId="4097BB7B" w14:textId="77777777" w:rsidTr="00261588">
        <w:tc>
          <w:tcPr>
            <w:tcW w:w="0" w:type="auto"/>
          </w:tcPr>
          <w:p w14:paraId="16EF1C27" w14:textId="77777777" w:rsidR="00261588" w:rsidRPr="004B3056" w:rsidRDefault="00261588" w:rsidP="00261588">
            <w:pPr>
              <w:spacing w:after="0" w:line="240" w:lineRule="auto"/>
              <w:rPr>
                <w:rFonts w:eastAsia="Times New Roman" w:cs="Arial"/>
                <w:bCs/>
                <w:sz w:val="20"/>
                <w:szCs w:val="20"/>
                <w:lang w:val="fr-FR" w:eastAsia="it-IT"/>
              </w:rPr>
            </w:pPr>
            <w:r w:rsidRPr="004B3056">
              <w:rPr>
                <w:rFonts w:eastAsia="Times New Roman" w:cs="Arial"/>
                <w:bCs/>
                <w:sz w:val="20"/>
                <w:szCs w:val="20"/>
                <w:lang w:val="fr-FR" w:eastAsia="it-IT"/>
              </w:rPr>
              <w:t xml:space="preserve">Accélérer le processus de transfert des compétences de GRN </w:t>
            </w:r>
            <w:r w:rsidRPr="004B3056">
              <w:rPr>
                <w:rFonts w:eastAsia="Times New Roman" w:cs="Arial"/>
                <w:bCs/>
                <w:sz w:val="20"/>
                <w:szCs w:val="20"/>
                <w:u w:val="single"/>
                <w:lang w:val="fr-FR" w:eastAsia="it-IT"/>
              </w:rPr>
              <w:t>et</w:t>
            </w:r>
            <w:r w:rsidRPr="004B3056">
              <w:rPr>
                <w:rFonts w:eastAsia="Times New Roman" w:cs="Arial"/>
                <w:bCs/>
                <w:sz w:val="20"/>
                <w:szCs w:val="20"/>
                <w:lang w:val="fr-FR" w:eastAsia="it-IT"/>
              </w:rPr>
              <w:t xml:space="preserve"> des finances. Ceci demande aussi la clarification des questions foncières</w:t>
            </w:r>
          </w:p>
        </w:tc>
        <w:tc>
          <w:tcPr>
            <w:tcW w:w="6239" w:type="dxa"/>
          </w:tcPr>
          <w:p w14:paraId="6E17C414" w14:textId="77777777" w:rsidR="00261588" w:rsidRPr="004B3056" w:rsidRDefault="00261588" w:rsidP="00261588">
            <w:pPr>
              <w:spacing w:after="0" w:line="240" w:lineRule="auto"/>
              <w:contextualSpacing/>
              <w:rPr>
                <w:rFonts w:eastAsia="SimSun" w:cs="Arial"/>
                <w:sz w:val="20"/>
                <w:szCs w:val="20"/>
                <w:lang w:val="fr-FR" w:eastAsia="zh-CN"/>
              </w:rPr>
            </w:pPr>
            <w:r w:rsidRPr="004B3056">
              <w:rPr>
                <w:rFonts w:eastAsia="SimSun" w:cs="Arial"/>
                <w:sz w:val="20"/>
                <w:szCs w:val="20"/>
                <w:lang w:val="fr-FR" w:eastAsia="zh-CN"/>
              </w:rPr>
              <w:t>Le décret de transfert de compétences de gestion des ressources naturelles est sorti en 1/2018. Il reste les textes d’application, le transfert des budgets et surtout le renforcement des capacités des communes et des acteurs locaux pour cette nouvelle tâche.</w:t>
            </w:r>
          </w:p>
        </w:tc>
        <w:tc>
          <w:tcPr>
            <w:tcW w:w="1128" w:type="dxa"/>
            <w:vAlign w:val="center"/>
          </w:tcPr>
          <w:p w14:paraId="20CA3126" w14:textId="77777777" w:rsidR="00261588" w:rsidRPr="004B3056" w:rsidRDefault="00261588" w:rsidP="00261588">
            <w:pPr>
              <w:spacing w:after="0" w:line="240" w:lineRule="auto"/>
              <w:jc w:val="center"/>
              <w:rPr>
                <w:rFonts w:eastAsia="SimSun" w:cs="Arial"/>
                <w:sz w:val="32"/>
                <w:szCs w:val="32"/>
                <w:lang w:eastAsia="zh-CN"/>
              </w:rPr>
            </w:pPr>
            <w:r w:rsidRPr="004B3056">
              <w:rPr>
                <w:rFonts w:cs="Arial"/>
                <w:b/>
                <w:sz w:val="32"/>
                <w:szCs w:val="32"/>
                <w:lang w:eastAsia="it-IT"/>
              </w:rPr>
              <w:sym w:font="Wingdings" w:char="F04B"/>
            </w:r>
          </w:p>
        </w:tc>
        <w:tc>
          <w:tcPr>
            <w:tcW w:w="1806" w:type="dxa"/>
          </w:tcPr>
          <w:p w14:paraId="07CC3847" w14:textId="77777777" w:rsidR="00261588" w:rsidRPr="004B3056" w:rsidRDefault="00261588" w:rsidP="00261588">
            <w:pPr>
              <w:spacing w:after="0" w:line="240" w:lineRule="auto"/>
              <w:jc w:val="left"/>
              <w:rPr>
                <w:rFonts w:eastAsia="SimSun" w:cs="Arial"/>
                <w:sz w:val="20"/>
                <w:szCs w:val="20"/>
                <w:lang w:eastAsia="zh-CN"/>
              </w:rPr>
            </w:pPr>
            <w:r w:rsidRPr="004B3056">
              <w:rPr>
                <w:rFonts w:eastAsia="SimSun" w:cs="Arial"/>
                <w:sz w:val="20"/>
                <w:szCs w:val="20"/>
                <w:lang w:eastAsia="zh-CN"/>
              </w:rPr>
              <w:t>Besoin important de renforcement des capacités des communes</w:t>
            </w:r>
          </w:p>
        </w:tc>
      </w:tr>
      <w:tr w:rsidR="00261588" w:rsidRPr="004B3056" w14:paraId="5DA3873A" w14:textId="77777777" w:rsidTr="00261588">
        <w:tc>
          <w:tcPr>
            <w:tcW w:w="14220" w:type="dxa"/>
            <w:gridSpan w:val="4"/>
            <w:shd w:val="clear" w:color="auto" w:fill="FFFF00"/>
          </w:tcPr>
          <w:p w14:paraId="180046A9" w14:textId="77777777" w:rsidR="00261588" w:rsidRPr="004B3056" w:rsidRDefault="00261588" w:rsidP="00261588">
            <w:pPr>
              <w:spacing w:line="240" w:lineRule="auto"/>
              <w:rPr>
                <w:rFonts w:eastAsia="SimSun" w:cs="Arial"/>
                <w:sz w:val="20"/>
                <w:szCs w:val="20"/>
                <w:lang w:val="fr-FR" w:eastAsia="zh-CN"/>
              </w:rPr>
            </w:pPr>
            <w:r w:rsidRPr="004B3056">
              <w:rPr>
                <w:rFonts w:eastAsia="SimSun" w:cs="Arial"/>
                <w:b/>
                <w:sz w:val="20"/>
                <w:szCs w:val="20"/>
                <w:highlight w:val="yellow"/>
                <w:lang w:val="fr-FR" w:eastAsia="zh-CN"/>
              </w:rPr>
              <w:t>Sur le plan</w:t>
            </w:r>
            <w:r w:rsidRPr="004B3056">
              <w:rPr>
                <w:rFonts w:asciiTheme="minorHAnsi" w:hAnsiTheme="minorHAnsi"/>
                <w:sz w:val="22"/>
              </w:rPr>
              <w:t xml:space="preserve"> </w:t>
            </w:r>
            <w:r w:rsidRPr="004B3056">
              <w:rPr>
                <w:rFonts w:eastAsia="SimSun" w:cs="Arial"/>
                <w:b/>
                <w:sz w:val="20"/>
                <w:szCs w:val="20"/>
                <w:lang w:val="fr-FR" w:eastAsia="zh-CN"/>
              </w:rPr>
              <w:t xml:space="preserve">de l’Information, l’Education et la Communication (IEC) </w:t>
            </w:r>
            <w:r w:rsidRPr="004B3056">
              <w:rPr>
                <w:rFonts w:cs="Arial"/>
                <w:b/>
                <w:sz w:val="32"/>
                <w:szCs w:val="32"/>
                <w:lang w:eastAsia="it-IT"/>
              </w:rPr>
              <w:sym w:font="Wingdings" w:char="F04C"/>
            </w:r>
          </w:p>
        </w:tc>
      </w:tr>
      <w:tr w:rsidR="00261588" w:rsidRPr="004B3056" w14:paraId="567587DD" w14:textId="77777777" w:rsidTr="00261588">
        <w:tc>
          <w:tcPr>
            <w:tcW w:w="0" w:type="auto"/>
          </w:tcPr>
          <w:p w14:paraId="6587A0FF" w14:textId="77777777" w:rsidR="00261588" w:rsidRPr="004B3056" w:rsidRDefault="00261588" w:rsidP="00261588">
            <w:pPr>
              <w:overflowPunct w:val="0"/>
              <w:autoSpaceDE w:val="0"/>
              <w:autoSpaceDN w:val="0"/>
              <w:adjustRightInd w:val="0"/>
              <w:spacing w:after="0" w:line="240" w:lineRule="auto"/>
              <w:textAlignment w:val="baseline"/>
              <w:rPr>
                <w:rFonts w:eastAsia="Times New Roman" w:cs="Arial"/>
                <w:sz w:val="20"/>
                <w:szCs w:val="20"/>
                <w:lang w:val="fr-FR" w:eastAsia="it-IT"/>
              </w:rPr>
            </w:pPr>
            <w:r w:rsidRPr="004B3056">
              <w:rPr>
                <w:rFonts w:eastAsia="Times New Roman" w:cs="Arial"/>
                <w:sz w:val="20"/>
                <w:szCs w:val="20"/>
                <w:lang w:val="fr-FR" w:eastAsia="it-IT"/>
              </w:rPr>
              <w:t>Renforcer la sensibilisation et l’information pour développer une écocitoyenneté. Ceci doit inclure : une relance de l’éducation environnementale scolaire ; l’accompagnement des acteurs ; la professionnalisation du secteur informel en intégrant la dimension environnementale (*).</w:t>
            </w:r>
          </w:p>
        </w:tc>
        <w:tc>
          <w:tcPr>
            <w:tcW w:w="6239" w:type="dxa"/>
          </w:tcPr>
          <w:p w14:paraId="1F384A2E" w14:textId="77777777" w:rsidR="00261588" w:rsidRPr="004B3056" w:rsidRDefault="00261588" w:rsidP="00261588">
            <w:pPr>
              <w:spacing w:after="0" w:line="240" w:lineRule="auto"/>
              <w:contextualSpacing/>
              <w:rPr>
                <w:rFonts w:eastAsia="SimSun" w:cs="Arial"/>
                <w:sz w:val="20"/>
                <w:szCs w:val="20"/>
                <w:lang w:val="fr-FR" w:eastAsia="zh-CN"/>
              </w:rPr>
            </w:pPr>
            <w:r w:rsidRPr="004B3056">
              <w:rPr>
                <w:rFonts w:eastAsia="SimSun" w:cs="Arial"/>
                <w:sz w:val="20"/>
                <w:szCs w:val="20"/>
                <w:lang w:val="fr-FR" w:eastAsia="zh-CN"/>
              </w:rPr>
              <w:t>L’avancement est très faible. Il n’y a pas de programmes d’éducation environnementale scolaire, la sensibilisation /information des communes reste très limitée et insuffisante notamment dans le nouveau contexte de transfert des compétences de gestion des RN aux communes. Quelques formations sont faites pour le secteur privé.</w:t>
            </w:r>
          </w:p>
          <w:p w14:paraId="4D827DA2" w14:textId="77777777" w:rsidR="00261588" w:rsidRPr="004B3056" w:rsidRDefault="00261588" w:rsidP="00261588">
            <w:pPr>
              <w:spacing w:after="0" w:line="240" w:lineRule="auto"/>
              <w:contextualSpacing/>
              <w:rPr>
                <w:rFonts w:eastAsia="SimSun" w:cs="Arial"/>
                <w:sz w:val="20"/>
                <w:szCs w:val="20"/>
                <w:lang w:val="fr-FR" w:eastAsia="zh-CN"/>
              </w:rPr>
            </w:pPr>
            <w:r w:rsidRPr="004B3056">
              <w:rPr>
                <w:rFonts w:eastAsia="SimSun" w:cs="Arial"/>
                <w:sz w:val="20"/>
                <w:szCs w:val="20"/>
                <w:lang w:val="fr-FR" w:eastAsia="zh-CN"/>
              </w:rPr>
              <w:t xml:space="preserve"> </w:t>
            </w:r>
          </w:p>
        </w:tc>
        <w:tc>
          <w:tcPr>
            <w:tcW w:w="1128" w:type="dxa"/>
            <w:vAlign w:val="center"/>
          </w:tcPr>
          <w:p w14:paraId="221A8F2A" w14:textId="77777777" w:rsidR="00261588" w:rsidRPr="004B3056" w:rsidRDefault="00261588" w:rsidP="00261588">
            <w:pPr>
              <w:spacing w:after="0" w:line="240" w:lineRule="auto"/>
              <w:jc w:val="center"/>
              <w:rPr>
                <w:rFonts w:eastAsia="SimSun" w:cs="Arial"/>
                <w:sz w:val="32"/>
                <w:szCs w:val="32"/>
                <w:lang w:eastAsia="zh-CN"/>
              </w:rPr>
            </w:pPr>
            <w:r w:rsidRPr="004B3056">
              <w:rPr>
                <w:rFonts w:cs="Arial"/>
                <w:b/>
                <w:sz w:val="32"/>
                <w:szCs w:val="32"/>
                <w:lang w:eastAsia="it-IT"/>
              </w:rPr>
              <w:sym w:font="Wingdings" w:char="F04B"/>
            </w:r>
          </w:p>
        </w:tc>
        <w:tc>
          <w:tcPr>
            <w:tcW w:w="1806" w:type="dxa"/>
          </w:tcPr>
          <w:p w14:paraId="6FF2F387" w14:textId="77777777" w:rsidR="00261588" w:rsidRPr="004B3056" w:rsidRDefault="00261588" w:rsidP="00261588">
            <w:pPr>
              <w:spacing w:after="0" w:line="240" w:lineRule="auto"/>
              <w:rPr>
                <w:rFonts w:eastAsia="SimSun" w:cs="Arial"/>
                <w:sz w:val="20"/>
                <w:szCs w:val="20"/>
                <w:lang w:eastAsia="zh-CN"/>
              </w:rPr>
            </w:pPr>
          </w:p>
        </w:tc>
      </w:tr>
      <w:tr w:rsidR="00261588" w:rsidRPr="004B3056" w14:paraId="5961E9FB" w14:textId="77777777" w:rsidTr="00261588">
        <w:tc>
          <w:tcPr>
            <w:tcW w:w="0" w:type="auto"/>
          </w:tcPr>
          <w:p w14:paraId="75EA1302" w14:textId="77777777" w:rsidR="00261588" w:rsidRPr="004B3056" w:rsidRDefault="00261588" w:rsidP="00261588">
            <w:pPr>
              <w:overflowPunct w:val="0"/>
              <w:autoSpaceDE w:val="0"/>
              <w:autoSpaceDN w:val="0"/>
              <w:adjustRightInd w:val="0"/>
              <w:spacing w:after="0" w:line="240" w:lineRule="auto"/>
              <w:textAlignment w:val="baseline"/>
              <w:rPr>
                <w:rFonts w:eastAsia="Times New Roman" w:cs="Arial"/>
                <w:bCs/>
                <w:sz w:val="20"/>
                <w:szCs w:val="20"/>
                <w:lang w:val="fr-FR" w:eastAsia="it-IT"/>
              </w:rPr>
            </w:pPr>
            <w:r w:rsidRPr="004B3056">
              <w:rPr>
                <w:rFonts w:eastAsia="Times New Roman" w:cs="Arial"/>
                <w:bCs/>
                <w:sz w:val="20"/>
                <w:szCs w:val="20"/>
                <w:lang w:val="fr-FR" w:eastAsia="it-IT"/>
              </w:rPr>
              <w:t xml:space="preserve">Vulgariser les textes législatifs environnementaux existants sous une forme accessible pour faciliter leur appropriation. Plusieurs documents simples existent, il manque une large diffusion </w:t>
            </w:r>
          </w:p>
        </w:tc>
        <w:tc>
          <w:tcPr>
            <w:tcW w:w="6239" w:type="dxa"/>
          </w:tcPr>
          <w:p w14:paraId="2FE818E2" w14:textId="77777777" w:rsidR="00261588" w:rsidRPr="004B3056" w:rsidRDefault="00261588" w:rsidP="00261588">
            <w:pPr>
              <w:spacing w:after="0" w:line="240" w:lineRule="auto"/>
              <w:contextualSpacing/>
              <w:rPr>
                <w:rFonts w:eastAsia="SimSun" w:cs="Arial"/>
                <w:sz w:val="20"/>
                <w:szCs w:val="20"/>
                <w:lang w:val="fr-FR" w:eastAsia="zh-CN"/>
              </w:rPr>
            </w:pPr>
            <w:r w:rsidRPr="004B3056">
              <w:rPr>
                <w:rFonts w:eastAsia="SimSun" w:cs="Arial"/>
                <w:sz w:val="20"/>
                <w:szCs w:val="20"/>
                <w:lang w:val="fr-FR" w:eastAsia="zh-CN"/>
              </w:rPr>
              <w:t>La plupart des textes n’est pas connue et l’accès aux documents de base pour un suivi  (ex. PGES) est souvent même difficile pour les services déconcentrés chargés du domaine.</w:t>
            </w:r>
          </w:p>
        </w:tc>
        <w:tc>
          <w:tcPr>
            <w:tcW w:w="1128" w:type="dxa"/>
            <w:vAlign w:val="center"/>
          </w:tcPr>
          <w:p w14:paraId="760F51F7" w14:textId="77777777" w:rsidR="00261588" w:rsidRPr="004B3056" w:rsidRDefault="00261588" w:rsidP="00261588">
            <w:pPr>
              <w:spacing w:after="0" w:line="240" w:lineRule="auto"/>
              <w:jc w:val="center"/>
              <w:rPr>
                <w:rFonts w:eastAsia="SimSun" w:cs="Arial"/>
                <w:sz w:val="32"/>
                <w:szCs w:val="32"/>
                <w:lang w:val="fr-FR" w:eastAsia="zh-CN"/>
              </w:rPr>
            </w:pPr>
            <w:r w:rsidRPr="004B3056">
              <w:rPr>
                <w:rFonts w:cs="Arial"/>
                <w:b/>
                <w:sz w:val="32"/>
                <w:szCs w:val="32"/>
                <w:lang w:eastAsia="it-IT"/>
              </w:rPr>
              <w:sym w:font="Wingdings" w:char="F04C"/>
            </w:r>
          </w:p>
        </w:tc>
        <w:tc>
          <w:tcPr>
            <w:tcW w:w="1806" w:type="dxa"/>
          </w:tcPr>
          <w:p w14:paraId="44C875F4" w14:textId="77777777" w:rsidR="00261588" w:rsidRPr="004B3056" w:rsidRDefault="00261588" w:rsidP="00261588">
            <w:pPr>
              <w:spacing w:after="0" w:line="240" w:lineRule="auto"/>
              <w:rPr>
                <w:rFonts w:eastAsia="SimSun" w:cs="Arial"/>
                <w:sz w:val="20"/>
                <w:szCs w:val="20"/>
                <w:lang w:eastAsia="zh-CN"/>
              </w:rPr>
            </w:pPr>
          </w:p>
        </w:tc>
      </w:tr>
      <w:tr w:rsidR="00261588" w:rsidRPr="004B3056" w14:paraId="32FEF42B" w14:textId="77777777" w:rsidTr="00261588">
        <w:tc>
          <w:tcPr>
            <w:tcW w:w="0" w:type="auto"/>
          </w:tcPr>
          <w:p w14:paraId="1C5A21F2" w14:textId="77777777" w:rsidR="00261588" w:rsidRPr="004B3056" w:rsidRDefault="00261588" w:rsidP="00261588">
            <w:pPr>
              <w:spacing w:after="0" w:line="240" w:lineRule="auto"/>
              <w:rPr>
                <w:rFonts w:eastAsia="Times New Roman" w:cs="Arial"/>
                <w:sz w:val="20"/>
                <w:szCs w:val="20"/>
                <w:lang w:val="fr-FR" w:eastAsia="it-IT"/>
              </w:rPr>
            </w:pPr>
            <w:r w:rsidRPr="004B3056">
              <w:rPr>
                <w:rFonts w:eastAsia="Times New Roman" w:cs="Arial"/>
                <w:sz w:val="20"/>
                <w:szCs w:val="20"/>
                <w:lang w:val="fr-FR" w:eastAsia="it-IT"/>
              </w:rPr>
              <w:lastRenderedPageBreak/>
              <w:t>Faire une large promotion de la bonne gestion de l’environnement en soulignant les impacts sur la qualité de la vie. Ceci doit inclure la capitalisation et la valorisation des bonnes pratiques.</w:t>
            </w:r>
          </w:p>
        </w:tc>
        <w:tc>
          <w:tcPr>
            <w:tcW w:w="6239" w:type="dxa"/>
          </w:tcPr>
          <w:p w14:paraId="48D4F9A2" w14:textId="77777777" w:rsidR="00261588" w:rsidRPr="00E14206" w:rsidRDefault="00C2004C" w:rsidP="00C2004C">
            <w:pPr>
              <w:spacing w:after="0" w:line="240" w:lineRule="auto"/>
              <w:contextualSpacing/>
              <w:rPr>
                <w:rFonts w:eastAsia="SimSun" w:cs="Arial"/>
                <w:sz w:val="20"/>
                <w:szCs w:val="20"/>
                <w:lang w:val="fr-FR" w:eastAsia="zh-CN"/>
              </w:rPr>
            </w:pPr>
            <w:r w:rsidRPr="00E14206">
              <w:rPr>
                <w:rFonts w:eastAsia="SimSun" w:cs="Arial"/>
                <w:sz w:val="20"/>
                <w:szCs w:val="20"/>
                <w:lang w:val="fr-FR" w:eastAsia="zh-CN"/>
              </w:rPr>
              <w:t xml:space="preserve">Peu </w:t>
            </w:r>
            <w:r w:rsidR="00261588" w:rsidRPr="00E14206">
              <w:rPr>
                <w:rFonts w:eastAsia="SimSun" w:cs="Arial"/>
                <w:sz w:val="20"/>
                <w:szCs w:val="20"/>
                <w:lang w:val="fr-FR" w:eastAsia="zh-CN"/>
              </w:rPr>
              <w:t>est fait à l’exception de la quinzaine de l’environnement ; quinzaine relevant  plus du grand spectacle que d’’une vraie promotion des bonnes pratiques</w:t>
            </w:r>
            <w:r w:rsidRPr="00E14206">
              <w:rPr>
                <w:rFonts w:eastAsia="SimSun" w:cs="Arial"/>
                <w:sz w:val="20"/>
                <w:szCs w:val="20"/>
                <w:lang w:val="fr-FR" w:eastAsia="zh-CN"/>
              </w:rPr>
              <w:t>.</w:t>
            </w:r>
          </w:p>
          <w:p w14:paraId="2D79A8F3" w14:textId="77777777" w:rsidR="00C2004C" w:rsidRPr="00E14206" w:rsidRDefault="00C2004C" w:rsidP="00C2004C">
            <w:pPr>
              <w:spacing w:after="0" w:line="240" w:lineRule="auto"/>
              <w:contextualSpacing/>
              <w:rPr>
                <w:rFonts w:eastAsia="SimSun" w:cs="Arial"/>
                <w:sz w:val="20"/>
                <w:szCs w:val="20"/>
                <w:lang w:val="fr-FR" w:eastAsia="zh-CN"/>
              </w:rPr>
            </w:pPr>
            <w:r w:rsidRPr="00E14206">
              <w:rPr>
                <w:rFonts w:eastAsia="SimSun" w:cs="Arial"/>
                <w:sz w:val="20"/>
                <w:szCs w:val="20"/>
                <w:lang w:val="fr-FR" w:eastAsia="zh-CN"/>
              </w:rPr>
              <w:t>La ville de Bamako a adhéré à la convention des Maires d’Afrique Subsaharienne (COMssa); Création d’une cellule climat au Niveau de la Mairie du District de Bamako ; Formalisation d’une inter-collectivité (25 communes autour de Bamako)  pour gérer la gestion environnementale</w:t>
            </w:r>
          </w:p>
        </w:tc>
        <w:tc>
          <w:tcPr>
            <w:tcW w:w="1128" w:type="dxa"/>
            <w:vAlign w:val="center"/>
          </w:tcPr>
          <w:p w14:paraId="2F5337BD" w14:textId="77777777" w:rsidR="00261588" w:rsidRPr="00E14206" w:rsidRDefault="00C2004C" w:rsidP="00261588">
            <w:pPr>
              <w:spacing w:after="0" w:line="240" w:lineRule="auto"/>
              <w:jc w:val="center"/>
              <w:rPr>
                <w:rFonts w:eastAsia="SimSun" w:cs="Arial"/>
                <w:sz w:val="32"/>
                <w:szCs w:val="32"/>
                <w:lang w:eastAsia="zh-CN"/>
              </w:rPr>
            </w:pPr>
            <w:r w:rsidRPr="00E14206">
              <w:rPr>
                <w:rFonts w:cs="Arial"/>
                <w:b/>
                <w:sz w:val="32"/>
                <w:szCs w:val="32"/>
                <w:lang w:eastAsia="it-IT"/>
              </w:rPr>
              <w:sym w:font="Wingdings" w:char="F04B"/>
            </w:r>
          </w:p>
        </w:tc>
        <w:tc>
          <w:tcPr>
            <w:tcW w:w="1806" w:type="dxa"/>
          </w:tcPr>
          <w:p w14:paraId="268E0FC0" w14:textId="77777777" w:rsidR="00261588" w:rsidRPr="004B3056" w:rsidRDefault="00261588" w:rsidP="00261588">
            <w:pPr>
              <w:spacing w:after="0" w:line="240" w:lineRule="auto"/>
              <w:rPr>
                <w:rFonts w:eastAsia="SimSun" w:cs="Arial"/>
                <w:sz w:val="20"/>
                <w:szCs w:val="20"/>
                <w:lang w:eastAsia="zh-CN"/>
              </w:rPr>
            </w:pPr>
          </w:p>
        </w:tc>
      </w:tr>
      <w:tr w:rsidR="00261588" w:rsidRPr="004B3056" w14:paraId="1ED0B0D3" w14:textId="77777777" w:rsidTr="00261588">
        <w:tc>
          <w:tcPr>
            <w:tcW w:w="0" w:type="auto"/>
            <w:gridSpan w:val="4"/>
            <w:shd w:val="clear" w:color="auto" w:fill="FFFF00"/>
          </w:tcPr>
          <w:p w14:paraId="79E9F108" w14:textId="77777777" w:rsidR="00261588" w:rsidRPr="004B3056" w:rsidRDefault="00261588" w:rsidP="00261588">
            <w:pPr>
              <w:spacing w:line="240" w:lineRule="auto"/>
              <w:rPr>
                <w:rFonts w:eastAsia="SimSun" w:cs="Arial"/>
                <w:b/>
                <w:sz w:val="20"/>
                <w:szCs w:val="20"/>
                <w:highlight w:val="yellow"/>
                <w:lang w:val="fr-FR" w:eastAsia="zh-CN"/>
              </w:rPr>
            </w:pPr>
            <w:r w:rsidRPr="004B3056">
              <w:rPr>
                <w:rFonts w:eastAsia="SimSun" w:cs="Arial"/>
                <w:b/>
                <w:sz w:val="20"/>
                <w:szCs w:val="20"/>
                <w:highlight w:val="yellow"/>
                <w:lang w:val="fr-FR" w:eastAsia="zh-CN"/>
              </w:rPr>
              <w:t xml:space="preserve">Sur le plan du suivi environnemental en général </w:t>
            </w:r>
            <w:r w:rsidRPr="004B3056">
              <w:rPr>
                <w:rFonts w:eastAsia="SimSun" w:cs="Arial"/>
                <w:b/>
                <w:sz w:val="32"/>
                <w:szCs w:val="32"/>
                <w:lang w:val="de-DE" w:eastAsia="zh-CN"/>
              </w:rPr>
              <w:sym w:font="Wingdings" w:char="F04A"/>
            </w:r>
          </w:p>
        </w:tc>
      </w:tr>
      <w:tr w:rsidR="00261588" w:rsidRPr="004B3056" w14:paraId="35DDE562" w14:textId="77777777" w:rsidTr="00261588">
        <w:tc>
          <w:tcPr>
            <w:tcW w:w="0" w:type="auto"/>
          </w:tcPr>
          <w:p w14:paraId="471C5E4D" w14:textId="77777777" w:rsidR="00261588" w:rsidRPr="004B3056" w:rsidRDefault="00261588" w:rsidP="00261588">
            <w:pPr>
              <w:overflowPunct w:val="0"/>
              <w:autoSpaceDE w:val="0"/>
              <w:autoSpaceDN w:val="0"/>
              <w:adjustRightInd w:val="0"/>
              <w:spacing w:after="0" w:line="240" w:lineRule="auto"/>
              <w:textAlignment w:val="baseline"/>
              <w:rPr>
                <w:rFonts w:eastAsia="Times New Roman" w:cs="Arial"/>
                <w:sz w:val="20"/>
                <w:szCs w:val="20"/>
                <w:lang w:val="fr-FR" w:eastAsia="it-IT"/>
              </w:rPr>
            </w:pPr>
            <w:r w:rsidRPr="004B3056">
              <w:rPr>
                <w:rFonts w:eastAsia="Times New Roman" w:cs="Arial"/>
                <w:sz w:val="20"/>
                <w:szCs w:val="20"/>
                <w:lang w:val="fr-FR" w:eastAsia="it-IT"/>
              </w:rPr>
              <w:t xml:space="preserve">Mettre en place un Système National de Gestion de l’Information Environnementale (SNGIE) fonctionnel, pérenne et reconnu, incluant : (i) des indicateurs environnementaux, prospectifs et d’impact économique et social </w:t>
            </w:r>
            <w:r w:rsidRPr="004B3056">
              <w:rPr>
                <w:rFonts w:eastAsia="Times New Roman" w:cs="Arial"/>
                <w:sz w:val="20"/>
                <w:szCs w:val="20"/>
                <w:u w:val="single"/>
                <w:lang w:val="fr-FR" w:eastAsia="it-IT"/>
              </w:rPr>
              <w:t>clés</w:t>
            </w:r>
            <w:r w:rsidRPr="004B3056">
              <w:rPr>
                <w:rFonts w:eastAsia="Times New Roman" w:cs="Arial"/>
                <w:sz w:val="20"/>
                <w:szCs w:val="20"/>
                <w:lang w:val="fr-FR" w:eastAsia="it-IT"/>
              </w:rPr>
              <w:t xml:space="preserve"> ainsi que leur base de référence et (ii) les ressources nécessaires à la collecte des données de terrain et à leur interprétation.</w:t>
            </w:r>
          </w:p>
        </w:tc>
        <w:tc>
          <w:tcPr>
            <w:tcW w:w="6239" w:type="dxa"/>
          </w:tcPr>
          <w:p w14:paraId="265A8D09" w14:textId="77777777" w:rsidR="00261588" w:rsidRPr="004B3056" w:rsidRDefault="00261588" w:rsidP="00261588">
            <w:pPr>
              <w:spacing w:after="0" w:line="240" w:lineRule="auto"/>
              <w:contextualSpacing/>
              <w:rPr>
                <w:rFonts w:eastAsia="SimSun" w:cs="Arial"/>
                <w:sz w:val="20"/>
                <w:szCs w:val="20"/>
                <w:lang w:val="fr-FR" w:eastAsia="zh-CN"/>
              </w:rPr>
            </w:pPr>
            <w:r w:rsidRPr="004B3056">
              <w:rPr>
                <w:rFonts w:eastAsia="SimSun" w:cs="Arial"/>
                <w:sz w:val="20"/>
                <w:szCs w:val="20"/>
                <w:lang w:val="fr-FR" w:eastAsia="zh-CN"/>
              </w:rPr>
              <w:t>Un nouveau SNGIE est mis en place depuis fin 2017. Il reste encore des travaux à faire, mais la conception est professionnelle et la perspective est surtout positive pour l’instant. L’appui technique est actuellement assuré par le PGRN-CC.</w:t>
            </w:r>
          </w:p>
        </w:tc>
        <w:tc>
          <w:tcPr>
            <w:tcW w:w="1128" w:type="dxa"/>
          </w:tcPr>
          <w:p w14:paraId="7AE15CAC" w14:textId="77777777" w:rsidR="00261588" w:rsidRPr="004B3056" w:rsidRDefault="00261588" w:rsidP="00261588">
            <w:pPr>
              <w:spacing w:after="0" w:line="240" w:lineRule="auto"/>
              <w:jc w:val="center"/>
              <w:rPr>
                <w:rFonts w:eastAsia="SimSun" w:cs="Arial"/>
                <w:sz w:val="32"/>
                <w:szCs w:val="32"/>
                <w:lang w:eastAsia="zh-CN"/>
              </w:rPr>
            </w:pPr>
            <w:r w:rsidRPr="004B3056">
              <w:rPr>
                <w:rFonts w:eastAsia="SimSun" w:cs="Arial"/>
                <w:b/>
                <w:sz w:val="32"/>
                <w:szCs w:val="32"/>
                <w:lang w:val="de-DE" w:eastAsia="zh-CN"/>
              </w:rPr>
              <w:sym w:font="Wingdings" w:char="F04A"/>
            </w:r>
          </w:p>
        </w:tc>
        <w:tc>
          <w:tcPr>
            <w:tcW w:w="1806" w:type="dxa"/>
          </w:tcPr>
          <w:p w14:paraId="32AD1A7C" w14:textId="77777777" w:rsidR="00261588" w:rsidRPr="004B3056" w:rsidRDefault="00261588" w:rsidP="00261588">
            <w:pPr>
              <w:spacing w:after="0" w:line="240" w:lineRule="auto"/>
              <w:rPr>
                <w:rFonts w:eastAsia="SimSun" w:cs="Arial"/>
                <w:sz w:val="20"/>
                <w:szCs w:val="20"/>
                <w:lang w:val="fr-FR" w:eastAsia="zh-CN"/>
              </w:rPr>
            </w:pPr>
          </w:p>
        </w:tc>
      </w:tr>
      <w:tr w:rsidR="00261588" w:rsidRPr="004B3056" w14:paraId="222D950C" w14:textId="77777777" w:rsidTr="00261588">
        <w:tc>
          <w:tcPr>
            <w:tcW w:w="0" w:type="auto"/>
          </w:tcPr>
          <w:p w14:paraId="1CB5AE61" w14:textId="77777777" w:rsidR="00261588" w:rsidRPr="004B3056" w:rsidRDefault="00261588" w:rsidP="00261588">
            <w:pPr>
              <w:overflowPunct w:val="0"/>
              <w:autoSpaceDE w:val="0"/>
              <w:autoSpaceDN w:val="0"/>
              <w:adjustRightInd w:val="0"/>
              <w:spacing w:after="0" w:line="240" w:lineRule="auto"/>
              <w:textAlignment w:val="baseline"/>
              <w:rPr>
                <w:rFonts w:eastAsia="Times New Roman" w:cs="Arial"/>
                <w:sz w:val="20"/>
                <w:szCs w:val="20"/>
                <w:lang w:val="fr-FR" w:eastAsia="it-IT"/>
              </w:rPr>
            </w:pPr>
            <w:r w:rsidRPr="004B3056">
              <w:rPr>
                <w:rFonts w:eastAsia="Times New Roman" w:cs="Arial"/>
                <w:sz w:val="20"/>
                <w:szCs w:val="20"/>
                <w:lang w:val="fr-FR" w:eastAsia="it-IT"/>
              </w:rPr>
              <w:t>Clarifier l’hébergement institutionnel d’un tel SNGIE et éviter une éventuelle duplication et concurrence au vu des initiatives en cours depuis la reprise de coopération.</w:t>
            </w:r>
          </w:p>
        </w:tc>
        <w:tc>
          <w:tcPr>
            <w:tcW w:w="6239" w:type="dxa"/>
          </w:tcPr>
          <w:p w14:paraId="00EF878C" w14:textId="77777777" w:rsidR="00261588" w:rsidRPr="004B3056" w:rsidRDefault="00261588" w:rsidP="00261588">
            <w:pPr>
              <w:spacing w:after="0" w:line="240" w:lineRule="auto"/>
              <w:contextualSpacing/>
              <w:rPr>
                <w:rFonts w:eastAsia="SimSun" w:cs="Arial"/>
                <w:sz w:val="20"/>
                <w:szCs w:val="20"/>
                <w:lang w:val="fr-FR" w:eastAsia="zh-CN"/>
              </w:rPr>
            </w:pPr>
            <w:r w:rsidRPr="004B3056">
              <w:rPr>
                <w:rFonts w:eastAsia="SimSun" w:cs="Arial"/>
                <w:sz w:val="20"/>
                <w:szCs w:val="20"/>
                <w:lang w:val="fr-FR" w:eastAsia="zh-CN"/>
              </w:rPr>
              <w:t>Une clarification des responsabilités des différentes institutions pour la fourniture des données est faite et l’hébergement à l’AEDD est accepté par toutes les institutions.</w:t>
            </w:r>
          </w:p>
        </w:tc>
        <w:tc>
          <w:tcPr>
            <w:tcW w:w="1128" w:type="dxa"/>
            <w:vAlign w:val="center"/>
          </w:tcPr>
          <w:p w14:paraId="002FC434" w14:textId="77777777" w:rsidR="00261588" w:rsidRPr="004B3056" w:rsidRDefault="00261588" w:rsidP="00261588">
            <w:pPr>
              <w:spacing w:after="0" w:line="240" w:lineRule="auto"/>
              <w:jc w:val="center"/>
              <w:rPr>
                <w:rFonts w:eastAsia="SimSun" w:cs="Arial"/>
                <w:sz w:val="32"/>
                <w:szCs w:val="32"/>
                <w:lang w:eastAsia="zh-CN"/>
              </w:rPr>
            </w:pPr>
            <w:r w:rsidRPr="004B3056">
              <w:rPr>
                <w:rFonts w:eastAsia="SimSun" w:cs="Arial"/>
                <w:b/>
                <w:sz w:val="32"/>
                <w:szCs w:val="32"/>
                <w:lang w:val="de-DE" w:eastAsia="zh-CN"/>
              </w:rPr>
              <w:sym w:font="Wingdings" w:char="F04A"/>
            </w:r>
          </w:p>
        </w:tc>
        <w:tc>
          <w:tcPr>
            <w:tcW w:w="1806" w:type="dxa"/>
          </w:tcPr>
          <w:p w14:paraId="4386B72A" w14:textId="77777777" w:rsidR="00261588" w:rsidRPr="004B3056" w:rsidRDefault="00261588" w:rsidP="00261588">
            <w:pPr>
              <w:spacing w:after="0" w:line="240" w:lineRule="auto"/>
              <w:rPr>
                <w:rFonts w:eastAsia="SimSun" w:cs="Arial"/>
                <w:sz w:val="20"/>
                <w:szCs w:val="20"/>
                <w:lang w:eastAsia="zh-CN"/>
              </w:rPr>
            </w:pPr>
          </w:p>
        </w:tc>
      </w:tr>
      <w:tr w:rsidR="00261588" w:rsidRPr="004B3056" w14:paraId="3DEAE55B" w14:textId="77777777" w:rsidTr="00261588">
        <w:tc>
          <w:tcPr>
            <w:tcW w:w="0" w:type="auto"/>
            <w:gridSpan w:val="4"/>
            <w:shd w:val="clear" w:color="auto" w:fill="FFFF00"/>
          </w:tcPr>
          <w:p w14:paraId="49BB9FB6" w14:textId="77777777" w:rsidR="00261588" w:rsidRPr="004B3056" w:rsidRDefault="00261588" w:rsidP="00261588">
            <w:pPr>
              <w:spacing w:after="0" w:line="240" w:lineRule="auto"/>
              <w:rPr>
                <w:rFonts w:eastAsia="SimSun" w:cs="Arial"/>
                <w:b/>
                <w:sz w:val="20"/>
                <w:szCs w:val="20"/>
                <w:lang w:val="fr-FR" w:eastAsia="zh-CN"/>
              </w:rPr>
            </w:pPr>
            <w:r w:rsidRPr="004B3056">
              <w:rPr>
                <w:rFonts w:eastAsia="SimSun" w:cs="Arial"/>
                <w:b/>
                <w:sz w:val="20"/>
                <w:szCs w:val="20"/>
                <w:highlight w:val="yellow"/>
                <w:lang w:val="fr-FR" w:eastAsia="zh-CN"/>
              </w:rPr>
              <w:t>Sur le plan des Aires Protégées</w:t>
            </w:r>
            <w:r w:rsidRPr="004B3056">
              <w:rPr>
                <w:rFonts w:eastAsia="SimSun" w:cs="Arial"/>
                <w:b/>
                <w:sz w:val="20"/>
                <w:szCs w:val="20"/>
                <w:lang w:val="fr-FR" w:eastAsia="zh-CN"/>
              </w:rPr>
              <w:t xml:space="preserve"> </w:t>
            </w:r>
            <w:r w:rsidRPr="004B3056">
              <w:rPr>
                <w:rFonts w:cs="Arial"/>
                <w:b/>
                <w:sz w:val="32"/>
                <w:szCs w:val="32"/>
                <w:lang w:eastAsia="it-IT"/>
              </w:rPr>
              <w:sym w:font="Wingdings" w:char="F04B"/>
            </w:r>
          </w:p>
        </w:tc>
      </w:tr>
      <w:tr w:rsidR="00261588" w:rsidRPr="004B3056" w14:paraId="2110C4B9" w14:textId="77777777" w:rsidTr="00261588">
        <w:tc>
          <w:tcPr>
            <w:tcW w:w="0" w:type="auto"/>
          </w:tcPr>
          <w:p w14:paraId="776D9E89" w14:textId="77777777" w:rsidR="00261588" w:rsidRPr="004B3056" w:rsidRDefault="00261588" w:rsidP="00261588">
            <w:pPr>
              <w:spacing w:after="0" w:line="240" w:lineRule="auto"/>
              <w:rPr>
                <w:rFonts w:eastAsia="Times New Roman" w:cs="Arial"/>
                <w:sz w:val="20"/>
                <w:szCs w:val="20"/>
                <w:lang w:val="fr-FR" w:eastAsia="it-IT"/>
              </w:rPr>
            </w:pPr>
            <w:r w:rsidRPr="004B3056">
              <w:rPr>
                <w:rFonts w:eastAsia="Times New Roman" w:cs="Arial"/>
                <w:sz w:val="20"/>
                <w:szCs w:val="20"/>
                <w:lang w:val="fr-FR" w:eastAsia="it-IT"/>
              </w:rPr>
              <w:t>Rendre autonome la gestion des AP et/ou promouvoir la délégation aux ONG et au secteur privé, en intégrant la population riveraine (au niveau de prise des décisions mais aussi de la mise en œuvre des actions)</w:t>
            </w:r>
          </w:p>
        </w:tc>
        <w:tc>
          <w:tcPr>
            <w:tcW w:w="6239" w:type="dxa"/>
          </w:tcPr>
          <w:p w14:paraId="4367DCBD" w14:textId="77777777" w:rsidR="00261588" w:rsidRPr="004B3056" w:rsidRDefault="00261588" w:rsidP="00261588">
            <w:pPr>
              <w:spacing w:after="0" w:line="240" w:lineRule="auto"/>
              <w:contextualSpacing/>
              <w:rPr>
                <w:rFonts w:eastAsia="SimSun" w:cs="Arial"/>
                <w:sz w:val="20"/>
                <w:szCs w:val="20"/>
                <w:lang w:val="fr-FR" w:eastAsia="zh-CN"/>
              </w:rPr>
            </w:pPr>
            <w:r w:rsidRPr="004B3056">
              <w:rPr>
                <w:rFonts w:eastAsia="SimSun" w:cs="Arial"/>
                <w:sz w:val="20"/>
                <w:szCs w:val="20"/>
                <w:lang w:val="fr-FR" w:eastAsia="zh-CN"/>
              </w:rPr>
              <w:t>Les AP ne présentent pas de gestion autonome (exception OPNBB), mais les PPP et l’intégration des population riveraines a bien avancé depuis 2014., même s’il manque les moyens pour assurer une meilleure gestion/protection.</w:t>
            </w:r>
          </w:p>
        </w:tc>
        <w:tc>
          <w:tcPr>
            <w:tcW w:w="1128" w:type="dxa"/>
          </w:tcPr>
          <w:p w14:paraId="028C18F4" w14:textId="77777777" w:rsidR="00261588" w:rsidRPr="004B3056" w:rsidRDefault="00261588" w:rsidP="00261588">
            <w:pPr>
              <w:spacing w:after="0" w:line="240" w:lineRule="auto"/>
              <w:jc w:val="center"/>
              <w:rPr>
                <w:rFonts w:eastAsia="SimSun" w:cs="Arial"/>
                <w:sz w:val="32"/>
                <w:szCs w:val="32"/>
                <w:lang w:eastAsia="zh-CN"/>
              </w:rPr>
            </w:pPr>
            <w:r w:rsidRPr="004B3056">
              <w:rPr>
                <w:rFonts w:cs="Arial"/>
                <w:b/>
                <w:sz w:val="32"/>
                <w:szCs w:val="32"/>
                <w:lang w:eastAsia="it-IT"/>
              </w:rPr>
              <w:sym w:font="Wingdings" w:char="F04B"/>
            </w:r>
          </w:p>
        </w:tc>
        <w:tc>
          <w:tcPr>
            <w:tcW w:w="1806" w:type="dxa"/>
          </w:tcPr>
          <w:p w14:paraId="53A5F765" w14:textId="77777777" w:rsidR="00261588" w:rsidRPr="004B3056" w:rsidRDefault="00261588" w:rsidP="00261588">
            <w:pPr>
              <w:spacing w:after="0" w:line="240" w:lineRule="auto"/>
              <w:rPr>
                <w:rFonts w:eastAsia="SimSun" w:cs="Arial"/>
                <w:sz w:val="20"/>
                <w:szCs w:val="20"/>
                <w:lang w:eastAsia="zh-CN"/>
              </w:rPr>
            </w:pPr>
          </w:p>
        </w:tc>
      </w:tr>
      <w:tr w:rsidR="00261588" w:rsidRPr="004B3056" w14:paraId="0DC753B6" w14:textId="77777777" w:rsidTr="00261588">
        <w:tc>
          <w:tcPr>
            <w:tcW w:w="0" w:type="auto"/>
            <w:gridSpan w:val="4"/>
            <w:shd w:val="clear" w:color="auto" w:fill="FFFF00"/>
          </w:tcPr>
          <w:p w14:paraId="1B57AE53" w14:textId="77777777" w:rsidR="00261588" w:rsidRPr="004B3056" w:rsidRDefault="00261588" w:rsidP="00261588">
            <w:pPr>
              <w:spacing w:line="240" w:lineRule="auto"/>
              <w:rPr>
                <w:rFonts w:eastAsia="SimSun" w:cs="Arial"/>
                <w:b/>
                <w:sz w:val="20"/>
                <w:szCs w:val="20"/>
                <w:lang w:val="fr-FR" w:eastAsia="zh-CN"/>
              </w:rPr>
            </w:pPr>
            <w:r w:rsidRPr="004B3056">
              <w:rPr>
                <w:rFonts w:eastAsia="SimSun" w:cs="Arial"/>
                <w:b/>
                <w:sz w:val="20"/>
                <w:szCs w:val="20"/>
                <w:lang w:val="fr-FR" w:eastAsia="zh-CN"/>
              </w:rPr>
              <w:t xml:space="preserve">Sur le plan du suivi environnemental spécifique au niveau des bailleurs </w:t>
            </w:r>
            <w:r w:rsidRPr="004B3056">
              <w:rPr>
                <w:rFonts w:cs="Arial"/>
                <w:b/>
                <w:sz w:val="32"/>
                <w:szCs w:val="32"/>
                <w:lang w:eastAsia="it-IT"/>
              </w:rPr>
              <w:sym w:font="Wingdings" w:char="F04C"/>
            </w:r>
          </w:p>
        </w:tc>
      </w:tr>
      <w:tr w:rsidR="00261588" w:rsidRPr="004B3056" w14:paraId="6F9CD9D6" w14:textId="77777777" w:rsidTr="00261588">
        <w:tc>
          <w:tcPr>
            <w:tcW w:w="0" w:type="auto"/>
          </w:tcPr>
          <w:p w14:paraId="32E33161" w14:textId="77777777" w:rsidR="00261588" w:rsidRPr="004B3056" w:rsidRDefault="00261588" w:rsidP="00261588">
            <w:pPr>
              <w:overflowPunct w:val="0"/>
              <w:autoSpaceDE w:val="0"/>
              <w:autoSpaceDN w:val="0"/>
              <w:adjustRightInd w:val="0"/>
              <w:spacing w:after="0" w:line="240" w:lineRule="auto"/>
              <w:textAlignment w:val="baseline"/>
              <w:rPr>
                <w:rFonts w:eastAsia="Times New Roman" w:cs="Arial"/>
                <w:bCs/>
                <w:sz w:val="20"/>
                <w:szCs w:val="20"/>
                <w:lang w:val="fr-FR" w:eastAsia="it-IT"/>
              </w:rPr>
            </w:pPr>
            <w:r w:rsidRPr="004B3056">
              <w:rPr>
                <w:rFonts w:eastAsia="Times New Roman" w:cs="Arial"/>
                <w:bCs/>
                <w:sz w:val="20"/>
                <w:szCs w:val="20"/>
                <w:lang w:val="fr-FR" w:eastAsia="it-IT"/>
              </w:rPr>
              <w:t>Suivre les indicateurs de l’impact environnemental (formulés lors des EES, liés aux allocations budgétaires, au ‘verdissement’ du CSCRP3, et à l’écoconception) dans la grille d’évaluation du Programme Indicatif National (PIN) et des projets y afférents.</w:t>
            </w:r>
          </w:p>
        </w:tc>
        <w:tc>
          <w:tcPr>
            <w:tcW w:w="6239" w:type="dxa"/>
          </w:tcPr>
          <w:p w14:paraId="50EA1BEC" w14:textId="77777777" w:rsidR="00261588" w:rsidRPr="004B3056" w:rsidRDefault="00261588" w:rsidP="00261588">
            <w:pPr>
              <w:spacing w:line="240" w:lineRule="auto"/>
              <w:contextualSpacing/>
              <w:rPr>
                <w:rFonts w:eastAsia="SimSun" w:cs="Arial"/>
                <w:sz w:val="20"/>
                <w:szCs w:val="20"/>
                <w:lang w:val="fr-FR" w:eastAsia="zh-CN"/>
              </w:rPr>
            </w:pPr>
            <w:r w:rsidRPr="004B3056">
              <w:rPr>
                <w:rFonts w:eastAsia="SimSun" w:cs="Arial"/>
                <w:sz w:val="20"/>
                <w:szCs w:val="20"/>
                <w:lang w:val="fr-FR" w:eastAsia="zh-CN"/>
              </w:rPr>
              <w:t>Les recommandations des indicateurs du PEP 2014 n’ont pas été intégrées dans le suivi du 11</w:t>
            </w:r>
            <w:r w:rsidRPr="004B3056">
              <w:rPr>
                <w:rFonts w:eastAsia="SimSun" w:cs="Arial"/>
                <w:sz w:val="20"/>
                <w:szCs w:val="20"/>
                <w:vertAlign w:val="superscript"/>
                <w:lang w:val="fr-FR" w:eastAsia="zh-CN"/>
              </w:rPr>
              <w:t>ème</w:t>
            </w:r>
            <w:r w:rsidRPr="004B3056">
              <w:rPr>
                <w:rFonts w:eastAsia="SimSun" w:cs="Arial"/>
                <w:sz w:val="20"/>
                <w:szCs w:val="20"/>
                <w:lang w:val="fr-FR" w:eastAsia="zh-CN"/>
              </w:rPr>
              <w:t xml:space="preserve"> FED. L’intégration de l’environnement est assurée par les EIES/PGES. Le suivi s’appuie sur des indicateurs du CREDD et des ODD.</w:t>
            </w:r>
          </w:p>
          <w:p w14:paraId="403E03BA" w14:textId="77777777" w:rsidR="00261588" w:rsidRPr="004B3056" w:rsidRDefault="00261588" w:rsidP="00261588">
            <w:pPr>
              <w:spacing w:line="240" w:lineRule="auto"/>
              <w:contextualSpacing/>
              <w:rPr>
                <w:rFonts w:eastAsia="SimSun" w:cs="Arial"/>
                <w:sz w:val="20"/>
                <w:szCs w:val="20"/>
                <w:lang w:val="fr-FR" w:eastAsia="zh-CN"/>
              </w:rPr>
            </w:pPr>
          </w:p>
          <w:p w14:paraId="2621CBFE" w14:textId="77777777" w:rsidR="00261588" w:rsidRPr="004B3056" w:rsidRDefault="00261588" w:rsidP="00261588">
            <w:pPr>
              <w:spacing w:line="240" w:lineRule="auto"/>
              <w:contextualSpacing/>
              <w:rPr>
                <w:rFonts w:eastAsia="SimSun" w:cs="Arial"/>
                <w:sz w:val="20"/>
                <w:szCs w:val="20"/>
                <w:lang w:val="fr-FR" w:eastAsia="zh-CN"/>
              </w:rPr>
            </w:pPr>
            <w:r w:rsidRPr="004B3056">
              <w:rPr>
                <w:rFonts w:eastAsia="SimSun" w:cs="Arial"/>
                <w:sz w:val="20"/>
                <w:szCs w:val="20"/>
                <w:lang w:val="fr-FR" w:eastAsia="zh-CN"/>
              </w:rPr>
              <w:t>Le seul indicateur environnemental de la SCAP 2016 -2018 est la mise en œuvre de la PNPE.</w:t>
            </w:r>
          </w:p>
        </w:tc>
        <w:tc>
          <w:tcPr>
            <w:tcW w:w="1128" w:type="dxa"/>
          </w:tcPr>
          <w:p w14:paraId="799B8572" w14:textId="77777777" w:rsidR="00261588" w:rsidRPr="004B3056" w:rsidRDefault="00261588" w:rsidP="00261588">
            <w:pPr>
              <w:spacing w:line="240" w:lineRule="auto"/>
              <w:jc w:val="center"/>
              <w:rPr>
                <w:rFonts w:eastAsia="SimSun" w:cs="Arial"/>
                <w:sz w:val="32"/>
                <w:szCs w:val="32"/>
                <w:lang w:eastAsia="zh-CN"/>
              </w:rPr>
            </w:pPr>
            <w:r w:rsidRPr="004B3056">
              <w:rPr>
                <w:rFonts w:cs="Arial"/>
                <w:b/>
                <w:sz w:val="32"/>
                <w:szCs w:val="32"/>
                <w:lang w:eastAsia="it-IT"/>
              </w:rPr>
              <w:sym w:font="Wingdings" w:char="F04C"/>
            </w:r>
          </w:p>
        </w:tc>
        <w:tc>
          <w:tcPr>
            <w:tcW w:w="1806" w:type="dxa"/>
          </w:tcPr>
          <w:p w14:paraId="5E5B4CC4" w14:textId="77777777" w:rsidR="00261588" w:rsidRPr="004B3056" w:rsidRDefault="00261588" w:rsidP="00261588">
            <w:pPr>
              <w:spacing w:line="240" w:lineRule="auto"/>
              <w:rPr>
                <w:rFonts w:eastAsia="SimSun" w:cs="Arial"/>
                <w:sz w:val="20"/>
                <w:szCs w:val="20"/>
                <w:lang w:eastAsia="zh-CN"/>
              </w:rPr>
            </w:pPr>
          </w:p>
        </w:tc>
      </w:tr>
    </w:tbl>
    <w:p w14:paraId="6F5DD063" w14:textId="77777777" w:rsidR="00261588" w:rsidRDefault="00261588">
      <w:pPr>
        <w:rPr>
          <w:rFonts w:eastAsia="Calibri" w:cs="Arial"/>
          <w:lang w:val="fr-FR"/>
        </w:rPr>
        <w:sectPr w:rsidR="00261588" w:rsidSect="00983FFA">
          <w:pgSz w:w="16838" w:h="11906" w:orient="landscape"/>
          <w:pgMar w:top="1417" w:right="1417" w:bottom="1417" w:left="1417" w:header="708" w:footer="708" w:gutter="0"/>
          <w:cols w:space="708"/>
          <w:docGrid w:linePitch="360"/>
        </w:sectPr>
      </w:pPr>
    </w:p>
    <w:p w14:paraId="7D106AA9" w14:textId="77777777" w:rsidR="00471F84" w:rsidRPr="006C1AD3" w:rsidRDefault="00471F84" w:rsidP="00525222">
      <w:pPr>
        <w:pStyle w:val="Titre3"/>
      </w:pPr>
      <w:bookmarkStart w:id="118" w:name="_Toc20505704"/>
      <w:bookmarkStart w:id="119" w:name="_Toc393900321"/>
      <w:r w:rsidRPr="00883224">
        <w:rPr>
          <w:rFonts w:eastAsia="SimSun"/>
          <w:lang w:eastAsia="zh-CN"/>
        </w:rPr>
        <w:lastRenderedPageBreak/>
        <w:t>7.4.2 </w:t>
      </w:r>
      <w:r w:rsidRPr="00883224">
        <w:t>Usage/ utilité de certains produits de la cueillette</w:t>
      </w:r>
      <w:bookmarkEnd w:id="118"/>
    </w:p>
    <w:p w14:paraId="79D8C99B" w14:textId="77777777" w:rsidR="00471F84" w:rsidRPr="00C40C53" w:rsidRDefault="00471F84" w:rsidP="00471F84">
      <w:pPr>
        <w:rPr>
          <w:rFonts w:cs="Arial"/>
          <w:sz w:val="20"/>
          <w:szCs w:val="20"/>
          <w:lang w:val="fr-FR"/>
        </w:rPr>
      </w:pPr>
    </w:p>
    <w:p w14:paraId="0CBB3506" w14:textId="77777777" w:rsidR="00471F84" w:rsidRPr="00DE181A" w:rsidRDefault="00471F84" w:rsidP="00471F84">
      <w:pPr>
        <w:rPr>
          <w:lang w:val="fr-FR" w:eastAsia="zh-CN"/>
        </w:rPr>
      </w:pPr>
      <w:r>
        <w:rPr>
          <w:noProof/>
          <w:lang w:val="fr-FR" w:eastAsia="fr-FR"/>
        </w:rPr>
        <w:drawing>
          <wp:inline distT="0" distB="0" distL="0" distR="0" wp14:anchorId="2AFCE3B0" wp14:editId="42B7A038">
            <wp:extent cx="5715000" cy="4413565"/>
            <wp:effectExtent l="0" t="0" r="0" b="635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15000" cy="4413565"/>
                    </a:xfrm>
                    <a:prstGeom prst="rect">
                      <a:avLst/>
                    </a:prstGeom>
                    <a:noFill/>
                    <a:ln>
                      <a:noFill/>
                    </a:ln>
                  </pic:spPr>
                </pic:pic>
              </a:graphicData>
            </a:graphic>
          </wp:inline>
        </w:drawing>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488"/>
      </w:tblGrid>
      <w:tr w:rsidR="00471F84" w:rsidRPr="004B3056" w14:paraId="35FB18E8" w14:textId="77777777" w:rsidTr="00A31726">
        <w:trPr>
          <w:tblCellSpacing w:w="15" w:type="dxa"/>
        </w:trPr>
        <w:tc>
          <w:tcPr>
            <w:tcW w:w="0" w:type="auto"/>
            <w:shd w:val="clear" w:color="auto" w:fill="FFFFFF"/>
            <w:vAlign w:val="center"/>
            <w:hideMark/>
          </w:tcPr>
          <w:p w14:paraId="04EDE872" w14:textId="77777777" w:rsidR="00471F84" w:rsidRPr="004B3056" w:rsidRDefault="00471F84" w:rsidP="00A31726">
            <w:pPr>
              <w:spacing w:after="0" w:line="240" w:lineRule="auto"/>
              <w:rPr>
                <w:rFonts w:eastAsia="Times New Roman" w:cs="Arial"/>
                <w:bCs/>
                <w:sz w:val="18"/>
                <w:szCs w:val="18"/>
              </w:rPr>
            </w:pPr>
            <w:r w:rsidRPr="004B3056">
              <w:rPr>
                <w:rFonts w:eastAsia="Times New Roman" w:cs="Arial"/>
                <w:bCs/>
                <w:sz w:val="18"/>
                <w:szCs w:val="18"/>
              </w:rPr>
              <w:t xml:space="preserve">Source : Draft 6. Communication </w:t>
            </w:r>
            <w:r w:rsidR="001C565E">
              <w:rPr>
                <w:rFonts w:eastAsia="Times New Roman" w:cs="Arial"/>
                <w:bCs/>
                <w:sz w:val="18"/>
                <w:szCs w:val="18"/>
              </w:rPr>
              <w:t>Diversité Biologique -</w:t>
            </w:r>
            <w:r w:rsidRPr="004B3056">
              <w:rPr>
                <w:rFonts w:eastAsia="Times New Roman" w:cs="Arial"/>
                <w:bCs/>
                <w:sz w:val="18"/>
                <w:szCs w:val="18"/>
              </w:rPr>
              <w:t>CDB</w:t>
            </w:r>
            <w:r w:rsidR="001C565E">
              <w:rPr>
                <w:rFonts w:eastAsia="Times New Roman" w:cs="Arial"/>
                <w:bCs/>
                <w:sz w:val="18"/>
                <w:szCs w:val="18"/>
              </w:rPr>
              <w:t>-</w:t>
            </w:r>
            <w:r w:rsidRPr="004B3056">
              <w:rPr>
                <w:rFonts w:eastAsia="Times New Roman" w:cs="Arial"/>
                <w:bCs/>
                <w:sz w:val="18"/>
                <w:szCs w:val="18"/>
              </w:rPr>
              <w:t xml:space="preserve">, 2018) </w:t>
            </w:r>
          </w:p>
        </w:tc>
      </w:tr>
    </w:tbl>
    <w:p w14:paraId="7CF75EA9" w14:textId="77777777" w:rsidR="00471F84" w:rsidRPr="004B3056" w:rsidRDefault="00471F84" w:rsidP="00471F84">
      <w:pPr>
        <w:spacing w:after="0" w:line="240" w:lineRule="auto"/>
        <w:rPr>
          <w:rFonts w:eastAsia="Times New Roman" w:cs="Arial"/>
          <w:bCs/>
          <w:sz w:val="18"/>
          <w:szCs w:val="18"/>
        </w:rPr>
      </w:pPr>
    </w:p>
    <w:p w14:paraId="38F76631" w14:textId="77777777" w:rsidR="00471F84" w:rsidRPr="004B3056" w:rsidRDefault="00471F84" w:rsidP="00471F84">
      <w:pPr>
        <w:spacing w:after="0" w:line="240" w:lineRule="auto"/>
        <w:rPr>
          <w:rFonts w:eastAsia="Times New Roman" w:cs="Arial"/>
          <w:bCs/>
          <w:sz w:val="18"/>
          <w:szCs w:val="18"/>
        </w:rPr>
      </w:pPr>
    </w:p>
    <w:tbl>
      <w:tblPr>
        <w:tblStyle w:val="Grilledutableau"/>
        <w:tblW w:w="4808" w:type="pct"/>
        <w:tblInd w:w="108" w:type="dxa"/>
        <w:tblLook w:val="04A0" w:firstRow="1" w:lastRow="0" w:firstColumn="1" w:lastColumn="0" w:noHBand="0" w:noVBand="1"/>
      </w:tblPr>
      <w:tblGrid>
        <w:gridCol w:w="6746"/>
        <w:gridCol w:w="2185"/>
      </w:tblGrid>
      <w:tr w:rsidR="00471F84" w:rsidRPr="004B3056" w14:paraId="58E7FF12" w14:textId="77777777" w:rsidTr="00A31726">
        <w:tc>
          <w:tcPr>
            <w:tcW w:w="3777" w:type="pct"/>
          </w:tcPr>
          <w:p w14:paraId="061835C1" w14:textId="77777777" w:rsidR="00471F84" w:rsidRPr="004B3056" w:rsidRDefault="00471F84" w:rsidP="00A31726">
            <w:pPr>
              <w:spacing w:after="0" w:line="240" w:lineRule="auto"/>
              <w:rPr>
                <w:rFonts w:eastAsia="Times New Roman" w:cs="Arial"/>
                <w:b/>
                <w:bCs/>
                <w:sz w:val="18"/>
                <w:szCs w:val="18"/>
              </w:rPr>
            </w:pPr>
            <w:r w:rsidRPr="004B3056">
              <w:rPr>
                <w:rFonts w:eastAsia="Times New Roman" w:cs="Arial"/>
                <w:b/>
                <w:bCs/>
                <w:sz w:val="18"/>
                <w:szCs w:val="18"/>
              </w:rPr>
              <w:t>Produits de la cueillette 2016</w:t>
            </w:r>
          </w:p>
        </w:tc>
        <w:tc>
          <w:tcPr>
            <w:tcW w:w="1223" w:type="pct"/>
          </w:tcPr>
          <w:p w14:paraId="69D2D952" w14:textId="77777777" w:rsidR="00471F84" w:rsidRPr="004B3056" w:rsidRDefault="00471F84" w:rsidP="00A31726">
            <w:pPr>
              <w:spacing w:after="0" w:line="240" w:lineRule="auto"/>
              <w:rPr>
                <w:rFonts w:eastAsia="Times New Roman" w:cs="Arial"/>
                <w:b/>
                <w:bCs/>
                <w:sz w:val="18"/>
                <w:szCs w:val="18"/>
              </w:rPr>
            </w:pPr>
            <w:r w:rsidRPr="004B3056">
              <w:rPr>
                <w:rFonts w:eastAsia="Times New Roman" w:cs="Arial"/>
                <w:b/>
                <w:bCs/>
                <w:sz w:val="18"/>
                <w:szCs w:val="18"/>
              </w:rPr>
              <w:t>tonnes</w:t>
            </w:r>
          </w:p>
        </w:tc>
      </w:tr>
      <w:tr w:rsidR="00471F84" w:rsidRPr="004B3056" w14:paraId="6148D02E" w14:textId="77777777" w:rsidTr="00A31726">
        <w:tc>
          <w:tcPr>
            <w:tcW w:w="3777" w:type="pct"/>
          </w:tcPr>
          <w:p w14:paraId="57313F09" w14:textId="77777777" w:rsidR="00471F84" w:rsidRPr="004B3056" w:rsidRDefault="00471F84" w:rsidP="00A31726">
            <w:pPr>
              <w:spacing w:after="0" w:line="240" w:lineRule="auto"/>
              <w:rPr>
                <w:rFonts w:eastAsia="Times New Roman" w:cs="Arial"/>
                <w:bCs/>
                <w:sz w:val="18"/>
                <w:szCs w:val="18"/>
              </w:rPr>
            </w:pPr>
            <w:r w:rsidRPr="004B3056">
              <w:rPr>
                <w:rFonts w:eastAsia="Times New Roman" w:cs="Arial"/>
                <w:bCs/>
                <w:sz w:val="18"/>
                <w:szCs w:val="18"/>
              </w:rPr>
              <w:t>Baobab feuille</w:t>
            </w:r>
          </w:p>
        </w:tc>
        <w:tc>
          <w:tcPr>
            <w:tcW w:w="1223" w:type="pct"/>
          </w:tcPr>
          <w:p w14:paraId="174C32E2" w14:textId="77777777" w:rsidR="00471F84" w:rsidRPr="004B3056" w:rsidRDefault="00471F84" w:rsidP="00A31726">
            <w:pPr>
              <w:spacing w:after="0" w:line="240" w:lineRule="auto"/>
              <w:rPr>
                <w:rFonts w:eastAsia="Times New Roman" w:cs="Arial"/>
                <w:bCs/>
                <w:sz w:val="18"/>
                <w:szCs w:val="18"/>
              </w:rPr>
            </w:pPr>
            <w:r w:rsidRPr="004B3056">
              <w:rPr>
                <w:rFonts w:eastAsia="Times New Roman" w:cs="Arial"/>
                <w:bCs/>
                <w:sz w:val="18"/>
                <w:szCs w:val="18"/>
              </w:rPr>
              <w:t>884</w:t>
            </w:r>
          </w:p>
        </w:tc>
      </w:tr>
      <w:tr w:rsidR="00471F84" w:rsidRPr="004B3056" w14:paraId="251AAD41" w14:textId="77777777" w:rsidTr="00A31726">
        <w:tc>
          <w:tcPr>
            <w:tcW w:w="3777" w:type="pct"/>
          </w:tcPr>
          <w:p w14:paraId="41676AE0" w14:textId="77777777" w:rsidR="00471F84" w:rsidRPr="004B3056" w:rsidRDefault="00471F84" w:rsidP="00A31726">
            <w:pPr>
              <w:spacing w:after="0" w:line="240" w:lineRule="auto"/>
              <w:rPr>
                <w:rFonts w:eastAsia="Times New Roman" w:cs="Arial"/>
                <w:bCs/>
                <w:sz w:val="18"/>
                <w:szCs w:val="18"/>
              </w:rPr>
            </w:pPr>
            <w:r w:rsidRPr="004B3056">
              <w:rPr>
                <w:rFonts w:eastAsia="Times New Roman" w:cs="Arial"/>
                <w:bCs/>
                <w:sz w:val="18"/>
                <w:szCs w:val="18"/>
              </w:rPr>
              <w:t>Baobab fruit</w:t>
            </w:r>
          </w:p>
        </w:tc>
        <w:tc>
          <w:tcPr>
            <w:tcW w:w="1223" w:type="pct"/>
          </w:tcPr>
          <w:p w14:paraId="377BD803" w14:textId="77777777" w:rsidR="00471F84" w:rsidRPr="004B3056" w:rsidRDefault="00471F84" w:rsidP="00A31726">
            <w:pPr>
              <w:spacing w:after="0" w:line="240" w:lineRule="auto"/>
              <w:rPr>
                <w:rFonts w:eastAsia="Times New Roman" w:cs="Arial"/>
                <w:bCs/>
                <w:sz w:val="18"/>
                <w:szCs w:val="18"/>
              </w:rPr>
            </w:pPr>
            <w:r w:rsidRPr="004B3056">
              <w:rPr>
                <w:rFonts w:eastAsia="Times New Roman" w:cs="Arial"/>
                <w:bCs/>
                <w:sz w:val="18"/>
                <w:szCs w:val="18"/>
              </w:rPr>
              <w:t>4.436</w:t>
            </w:r>
          </w:p>
        </w:tc>
      </w:tr>
      <w:tr w:rsidR="00471F84" w:rsidRPr="004B3056" w14:paraId="5F84042C" w14:textId="77777777" w:rsidTr="00A31726">
        <w:tc>
          <w:tcPr>
            <w:tcW w:w="3777" w:type="pct"/>
          </w:tcPr>
          <w:p w14:paraId="0B755901" w14:textId="77777777" w:rsidR="00471F84" w:rsidRPr="004B3056" w:rsidRDefault="00471F84" w:rsidP="00A31726">
            <w:pPr>
              <w:spacing w:after="0" w:line="240" w:lineRule="auto"/>
              <w:rPr>
                <w:rFonts w:eastAsia="Times New Roman" w:cs="Arial"/>
                <w:bCs/>
                <w:sz w:val="18"/>
                <w:szCs w:val="18"/>
              </w:rPr>
            </w:pPr>
            <w:r w:rsidRPr="004B3056">
              <w:rPr>
                <w:rFonts w:eastAsia="Times New Roman" w:cs="Arial"/>
                <w:bCs/>
                <w:sz w:val="18"/>
                <w:szCs w:val="18"/>
              </w:rPr>
              <w:t>Fonio</w:t>
            </w:r>
          </w:p>
        </w:tc>
        <w:tc>
          <w:tcPr>
            <w:tcW w:w="1223" w:type="pct"/>
          </w:tcPr>
          <w:p w14:paraId="2FE42C4B" w14:textId="77777777" w:rsidR="00471F84" w:rsidRPr="004B3056" w:rsidRDefault="00471F84" w:rsidP="00A31726">
            <w:pPr>
              <w:spacing w:after="0" w:line="240" w:lineRule="auto"/>
              <w:rPr>
                <w:rFonts w:eastAsia="Times New Roman" w:cs="Arial"/>
                <w:bCs/>
                <w:sz w:val="18"/>
                <w:szCs w:val="18"/>
              </w:rPr>
            </w:pPr>
            <w:r w:rsidRPr="004B3056">
              <w:rPr>
                <w:rFonts w:eastAsia="Times New Roman" w:cs="Arial"/>
                <w:bCs/>
                <w:sz w:val="18"/>
                <w:szCs w:val="18"/>
              </w:rPr>
              <w:t>82</w:t>
            </w:r>
          </w:p>
        </w:tc>
      </w:tr>
      <w:tr w:rsidR="00471F84" w:rsidRPr="004B3056" w14:paraId="157A72AF" w14:textId="77777777" w:rsidTr="00A31726">
        <w:tc>
          <w:tcPr>
            <w:tcW w:w="3777" w:type="pct"/>
          </w:tcPr>
          <w:p w14:paraId="66A0FE66" w14:textId="77777777" w:rsidR="00471F84" w:rsidRPr="004B3056" w:rsidRDefault="00471F84" w:rsidP="00A31726">
            <w:pPr>
              <w:spacing w:after="0" w:line="240" w:lineRule="auto"/>
              <w:rPr>
                <w:rFonts w:eastAsia="Times New Roman" w:cs="Arial"/>
                <w:bCs/>
                <w:sz w:val="18"/>
                <w:szCs w:val="18"/>
              </w:rPr>
            </w:pPr>
            <w:r w:rsidRPr="004B3056">
              <w:rPr>
                <w:rFonts w:eastAsia="Times New Roman" w:cs="Arial"/>
                <w:bCs/>
                <w:sz w:val="18"/>
                <w:szCs w:val="18"/>
              </w:rPr>
              <w:t>Gomme arabique</w:t>
            </w:r>
          </w:p>
        </w:tc>
        <w:tc>
          <w:tcPr>
            <w:tcW w:w="1223" w:type="pct"/>
          </w:tcPr>
          <w:p w14:paraId="494C76E8" w14:textId="77777777" w:rsidR="00471F84" w:rsidRPr="004B3056" w:rsidRDefault="00BB6F8D" w:rsidP="00A31726">
            <w:pPr>
              <w:spacing w:after="0" w:line="240" w:lineRule="auto"/>
              <w:rPr>
                <w:rFonts w:eastAsia="Times New Roman" w:cs="Arial"/>
                <w:bCs/>
                <w:sz w:val="18"/>
                <w:szCs w:val="18"/>
              </w:rPr>
            </w:pPr>
            <w:r w:rsidRPr="004B3056">
              <w:rPr>
                <w:rFonts w:eastAsia="Times New Roman" w:cs="Arial"/>
                <w:bCs/>
                <w:sz w:val="18"/>
                <w:szCs w:val="18"/>
              </w:rPr>
              <w:t>218</w:t>
            </w:r>
          </w:p>
        </w:tc>
      </w:tr>
      <w:tr w:rsidR="00471F84" w:rsidRPr="004B3056" w14:paraId="148766A9" w14:textId="77777777" w:rsidTr="00A31726">
        <w:tc>
          <w:tcPr>
            <w:tcW w:w="3777" w:type="pct"/>
          </w:tcPr>
          <w:p w14:paraId="158E533B" w14:textId="77777777" w:rsidR="00471F84" w:rsidRPr="004B3056" w:rsidRDefault="00471F84" w:rsidP="00A31726">
            <w:pPr>
              <w:spacing w:after="0" w:line="240" w:lineRule="auto"/>
              <w:rPr>
                <w:rFonts w:eastAsia="Times New Roman" w:cs="Arial"/>
                <w:bCs/>
                <w:sz w:val="18"/>
                <w:szCs w:val="18"/>
              </w:rPr>
            </w:pPr>
            <w:r w:rsidRPr="004B3056">
              <w:rPr>
                <w:rFonts w:eastAsia="Times New Roman" w:cs="Arial"/>
                <w:bCs/>
                <w:sz w:val="18"/>
                <w:szCs w:val="18"/>
              </w:rPr>
              <w:t>Jujube</w:t>
            </w:r>
          </w:p>
        </w:tc>
        <w:tc>
          <w:tcPr>
            <w:tcW w:w="1223" w:type="pct"/>
          </w:tcPr>
          <w:p w14:paraId="101BC5FE" w14:textId="77777777" w:rsidR="00471F84" w:rsidRPr="004B3056" w:rsidRDefault="00471F84" w:rsidP="00A31726">
            <w:pPr>
              <w:spacing w:after="0" w:line="240" w:lineRule="auto"/>
              <w:rPr>
                <w:rFonts w:eastAsia="Times New Roman" w:cs="Arial"/>
                <w:bCs/>
                <w:sz w:val="18"/>
                <w:szCs w:val="18"/>
              </w:rPr>
            </w:pPr>
            <w:r w:rsidRPr="004B3056">
              <w:rPr>
                <w:rFonts w:eastAsia="Times New Roman" w:cs="Arial"/>
                <w:bCs/>
                <w:sz w:val="18"/>
                <w:szCs w:val="18"/>
              </w:rPr>
              <w:t>7894</w:t>
            </w:r>
          </w:p>
        </w:tc>
      </w:tr>
      <w:tr w:rsidR="00471F84" w:rsidRPr="004B3056" w14:paraId="6586C3CF" w14:textId="77777777" w:rsidTr="00A31726">
        <w:tc>
          <w:tcPr>
            <w:tcW w:w="3777" w:type="pct"/>
          </w:tcPr>
          <w:p w14:paraId="297A1C84" w14:textId="77777777" w:rsidR="00471F84" w:rsidRPr="004B3056" w:rsidRDefault="00471F84" w:rsidP="00A31726">
            <w:pPr>
              <w:spacing w:after="0" w:line="240" w:lineRule="auto"/>
              <w:rPr>
                <w:rFonts w:eastAsia="Times New Roman" w:cs="Arial"/>
                <w:bCs/>
                <w:sz w:val="18"/>
                <w:szCs w:val="18"/>
              </w:rPr>
            </w:pPr>
            <w:r w:rsidRPr="004B3056">
              <w:rPr>
                <w:rFonts w:eastAsia="Times New Roman" w:cs="Arial"/>
                <w:bCs/>
                <w:sz w:val="18"/>
                <w:szCs w:val="18"/>
              </w:rPr>
              <w:t>Karité</w:t>
            </w:r>
          </w:p>
        </w:tc>
        <w:tc>
          <w:tcPr>
            <w:tcW w:w="1223" w:type="pct"/>
          </w:tcPr>
          <w:p w14:paraId="4CA4B37E" w14:textId="77777777" w:rsidR="00471F84" w:rsidRPr="004B3056" w:rsidRDefault="00471F84" w:rsidP="00A31726">
            <w:pPr>
              <w:spacing w:after="0" w:line="240" w:lineRule="auto"/>
              <w:rPr>
                <w:rFonts w:eastAsia="Times New Roman" w:cs="Arial"/>
                <w:bCs/>
                <w:sz w:val="18"/>
                <w:szCs w:val="18"/>
              </w:rPr>
            </w:pPr>
            <w:r w:rsidRPr="004B3056">
              <w:rPr>
                <w:rFonts w:eastAsia="Times New Roman" w:cs="Arial"/>
                <w:bCs/>
                <w:sz w:val="18"/>
                <w:szCs w:val="18"/>
              </w:rPr>
              <w:t>173.000</w:t>
            </w:r>
          </w:p>
        </w:tc>
      </w:tr>
      <w:tr w:rsidR="00471F84" w:rsidRPr="004B3056" w14:paraId="1205B3FD" w14:textId="77777777" w:rsidTr="00A31726">
        <w:tc>
          <w:tcPr>
            <w:tcW w:w="3777" w:type="pct"/>
          </w:tcPr>
          <w:p w14:paraId="7E12D0A2" w14:textId="77777777" w:rsidR="00471F84" w:rsidRPr="004B3056" w:rsidRDefault="00471F84" w:rsidP="00A31726">
            <w:pPr>
              <w:spacing w:after="0" w:line="240" w:lineRule="auto"/>
              <w:rPr>
                <w:rFonts w:eastAsia="Times New Roman" w:cs="Arial"/>
                <w:bCs/>
                <w:sz w:val="18"/>
                <w:szCs w:val="18"/>
              </w:rPr>
            </w:pPr>
            <w:r w:rsidRPr="004B3056">
              <w:rPr>
                <w:rFonts w:eastAsia="Times New Roman" w:cs="Arial"/>
                <w:bCs/>
                <w:sz w:val="18"/>
                <w:szCs w:val="18"/>
              </w:rPr>
              <w:t>Liane gouine</w:t>
            </w:r>
          </w:p>
        </w:tc>
        <w:tc>
          <w:tcPr>
            <w:tcW w:w="1223" w:type="pct"/>
          </w:tcPr>
          <w:p w14:paraId="32DAE165" w14:textId="77777777" w:rsidR="00471F84" w:rsidRPr="004B3056" w:rsidRDefault="00471F84" w:rsidP="00A31726">
            <w:pPr>
              <w:spacing w:after="0" w:line="240" w:lineRule="auto"/>
              <w:rPr>
                <w:rFonts w:eastAsia="Times New Roman" w:cs="Arial"/>
                <w:bCs/>
                <w:sz w:val="18"/>
                <w:szCs w:val="18"/>
              </w:rPr>
            </w:pPr>
            <w:r w:rsidRPr="004B3056">
              <w:rPr>
                <w:rFonts w:eastAsia="Times New Roman" w:cs="Arial"/>
                <w:bCs/>
                <w:sz w:val="18"/>
                <w:szCs w:val="18"/>
              </w:rPr>
              <w:t>21.919</w:t>
            </w:r>
          </w:p>
        </w:tc>
      </w:tr>
      <w:tr w:rsidR="00471F84" w:rsidRPr="004B3056" w14:paraId="0044EC55" w14:textId="77777777" w:rsidTr="00A31726">
        <w:tc>
          <w:tcPr>
            <w:tcW w:w="3777" w:type="pct"/>
          </w:tcPr>
          <w:p w14:paraId="7FD6B1A5" w14:textId="77777777" w:rsidR="00471F84" w:rsidRPr="004B3056" w:rsidRDefault="00471F84" w:rsidP="00A31726">
            <w:pPr>
              <w:spacing w:after="0" w:line="240" w:lineRule="auto"/>
              <w:rPr>
                <w:rFonts w:eastAsia="Times New Roman" w:cs="Arial"/>
                <w:bCs/>
                <w:sz w:val="18"/>
                <w:szCs w:val="18"/>
              </w:rPr>
            </w:pPr>
            <w:r w:rsidRPr="004B3056">
              <w:rPr>
                <w:rFonts w:eastAsia="Times New Roman" w:cs="Arial"/>
                <w:bCs/>
                <w:sz w:val="18"/>
                <w:szCs w:val="18"/>
              </w:rPr>
              <w:t>Néré</w:t>
            </w:r>
          </w:p>
        </w:tc>
        <w:tc>
          <w:tcPr>
            <w:tcW w:w="1223" w:type="pct"/>
          </w:tcPr>
          <w:p w14:paraId="6A6A04BE" w14:textId="77777777" w:rsidR="00471F84" w:rsidRPr="004B3056" w:rsidRDefault="00471F84" w:rsidP="00A31726">
            <w:pPr>
              <w:spacing w:after="0" w:line="240" w:lineRule="auto"/>
              <w:rPr>
                <w:rFonts w:eastAsia="Times New Roman" w:cs="Arial"/>
                <w:bCs/>
                <w:sz w:val="18"/>
                <w:szCs w:val="18"/>
              </w:rPr>
            </w:pPr>
            <w:r w:rsidRPr="004B3056">
              <w:rPr>
                <w:rFonts w:eastAsia="Times New Roman" w:cs="Arial"/>
                <w:bCs/>
                <w:sz w:val="18"/>
                <w:szCs w:val="18"/>
              </w:rPr>
              <w:t>5.483</w:t>
            </w:r>
          </w:p>
        </w:tc>
      </w:tr>
      <w:tr w:rsidR="00471F84" w:rsidRPr="004B3056" w14:paraId="481579C3" w14:textId="77777777" w:rsidTr="00A31726">
        <w:tc>
          <w:tcPr>
            <w:tcW w:w="3777" w:type="pct"/>
          </w:tcPr>
          <w:p w14:paraId="6F2B1D4B" w14:textId="77777777" w:rsidR="00471F84" w:rsidRPr="004B3056" w:rsidRDefault="00471F84" w:rsidP="00A31726">
            <w:pPr>
              <w:spacing w:after="0" w:line="240" w:lineRule="auto"/>
              <w:rPr>
                <w:rFonts w:eastAsia="Times New Roman" w:cs="Arial"/>
                <w:bCs/>
                <w:sz w:val="18"/>
                <w:szCs w:val="18"/>
              </w:rPr>
            </w:pPr>
            <w:r w:rsidRPr="004B3056">
              <w:rPr>
                <w:rFonts w:eastAsia="Times New Roman" w:cs="Arial"/>
                <w:bCs/>
                <w:sz w:val="18"/>
                <w:szCs w:val="18"/>
              </w:rPr>
              <w:t>Tamarin</w:t>
            </w:r>
          </w:p>
        </w:tc>
        <w:tc>
          <w:tcPr>
            <w:tcW w:w="1223" w:type="pct"/>
          </w:tcPr>
          <w:p w14:paraId="640FAAB9" w14:textId="77777777" w:rsidR="00471F84" w:rsidRPr="004B3056" w:rsidRDefault="00471F84" w:rsidP="00A31726">
            <w:pPr>
              <w:spacing w:after="0" w:line="240" w:lineRule="auto"/>
              <w:rPr>
                <w:rFonts w:eastAsia="Times New Roman" w:cs="Arial"/>
                <w:bCs/>
                <w:sz w:val="18"/>
                <w:szCs w:val="18"/>
              </w:rPr>
            </w:pPr>
            <w:r w:rsidRPr="004B3056">
              <w:rPr>
                <w:rFonts w:eastAsia="Times New Roman" w:cs="Arial"/>
                <w:bCs/>
                <w:sz w:val="18"/>
                <w:szCs w:val="18"/>
              </w:rPr>
              <w:t>23</w:t>
            </w:r>
          </w:p>
        </w:tc>
      </w:tr>
    </w:tbl>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437"/>
      </w:tblGrid>
      <w:tr w:rsidR="00471F84" w:rsidRPr="004B3056" w14:paraId="7118DDB8" w14:textId="77777777" w:rsidTr="00A31726">
        <w:trPr>
          <w:tblCellSpacing w:w="15" w:type="dxa"/>
        </w:trPr>
        <w:tc>
          <w:tcPr>
            <w:tcW w:w="0" w:type="auto"/>
            <w:shd w:val="clear" w:color="auto" w:fill="FFFFFF"/>
            <w:vAlign w:val="center"/>
          </w:tcPr>
          <w:p w14:paraId="7AECFFA9" w14:textId="77777777" w:rsidR="00471F84" w:rsidRPr="004B3056" w:rsidRDefault="00471F84" w:rsidP="00BB6F8D">
            <w:pPr>
              <w:rPr>
                <w:rFonts w:cs="Arial"/>
                <w:b/>
                <w:bCs/>
                <w:sz w:val="20"/>
                <w:szCs w:val="20"/>
              </w:rPr>
            </w:pPr>
            <w:r w:rsidRPr="004B3056">
              <w:rPr>
                <w:rFonts w:eastAsia="Times New Roman" w:cs="Arial"/>
                <w:bCs/>
                <w:sz w:val="18"/>
                <w:szCs w:val="18"/>
              </w:rPr>
              <w:t>Source : CPS/SDR</w:t>
            </w:r>
            <w:r w:rsidRPr="004B3056">
              <w:t xml:space="preserve"> </w:t>
            </w:r>
            <w:r w:rsidRPr="004B3056">
              <w:rPr>
                <w:rFonts w:eastAsia="Times New Roman" w:cs="Arial"/>
                <w:bCs/>
                <w:sz w:val="18"/>
                <w:szCs w:val="18"/>
              </w:rPr>
              <w:t xml:space="preserve">Annuaire Statistique_2016 dans malikunnafoni </w:t>
            </w:r>
            <w:r w:rsidR="00BB6F8D" w:rsidRPr="004B3056">
              <w:rPr>
                <w:rFonts w:eastAsia="Times New Roman" w:cs="Arial"/>
                <w:bCs/>
                <w:sz w:val="18"/>
                <w:szCs w:val="18"/>
              </w:rPr>
              <w:t xml:space="preserve"> </w:t>
            </w:r>
          </w:p>
        </w:tc>
      </w:tr>
    </w:tbl>
    <w:p w14:paraId="61FEC843" w14:textId="77777777" w:rsidR="00471F84" w:rsidRPr="009A44F9" w:rsidRDefault="00471F84" w:rsidP="00471F84">
      <w:pPr>
        <w:rPr>
          <w:rFonts w:eastAsia="SimSun" w:cs="Arial"/>
          <w:sz w:val="20"/>
          <w:szCs w:val="20"/>
          <w:lang w:eastAsia="zh-CN"/>
        </w:rPr>
        <w:sectPr w:rsidR="00471F84" w:rsidRPr="009A44F9" w:rsidSect="009A44F9">
          <w:pgSz w:w="11906" w:h="16838"/>
          <w:pgMar w:top="1417" w:right="1417" w:bottom="1417" w:left="1417" w:header="708" w:footer="708" w:gutter="0"/>
          <w:cols w:space="708"/>
          <w:docGrid w:linePitch="360"/>
        </w:sectPr>
      </w:pPr>
    </w:p>
    <w:p w14:paraId="0655AC41" w14:textId="77777777" w:rsidR="00DC60DC" w:rsidRPr="00DC60DC" w:rsidRDefault="007E10C0" w:rsidP="00525222">
      <w:pPr>
        <w:pStyle w:val="Titre3"/>
      </w:pPr>
      <w:bookmarkStart w:id="120" w:name="_Toc20505705"/>
      <w:r w:rsidRPr="00883224">
        <w:lastRenderedPageBreak/>
        <w:t>7</w:t>
      </w:r>
      <w:r w:rsidR="00DE181A" w:rsidRPr="00883224">
        <w:t>.4.3</w:t>
      </w:r>
      <w:r w:rsidR="00DC60DC" w:rsidRPr="00883224">
        <w:t xml:space="preserve"> </w:t>
      </w:r>
      <w:r w:rsidR="009A44F9" w:rsidRPr="00883224">
        <w:t>Parcs – réserves de faune sanctuaire – zones d’intérêt cynégétique et sites RAMSAR du Mali</w:t>
      </w:r>
      <w:bookmarkEnd w:id="120"/>
      <w:r w:rsidR="009A44F9" w:rsidRPr="00DC60DC">
        <w:t xml:space="preserve"> </w:t>
      </w:r>
      <w:bookmarkEnd w:id="119"/>
    </w:p>
    <w:p w14:paraId="1FBDDB09" w14:textId="77777777" w:rsidR="009A44F9" w:rsidRPr="004B3056" w:rsidRDefault="009A44F9" w:rsidP="009A44F9">
      <w:pPr>
        <w:spacing w:after="0" w:line="240" w:lineRule="auto"/>
        <w:jc w:val="center"/>
        <w:rPr>
          <w:rFonts w:eastAsia="Times New Roman" w:cs="Arial"/>
          <w:b/>
          <w:sz w:val="20"/>
          <w:szCs w:val="20"/>
          <w:lang w:val="fr-FR" w:eastAsia="fr-FR"/>
        </w:rPr>
      </w:pPr>
      <w:r w:rsidRPr="004B3056">
        <w:rPr>
          <w:rFonts w:eastAsia="Times New Roman" w:cs="Arial"/>
          <w:b/>
          <w:sz w:val="20"/>
          <w:szCs w:val="20"/>
          <w:lang w:val="fr-FR" w:eastAsia="fr-FR"/>
        </w:rPr>
        <w:t>REGION DE KAYES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8"/>
        <w:gridCol w:w="1553"/>
        <w:gridCol w:w="1837"/>
        <w:gridCol w:w="1541"/>
        <w:gridCol w:w="1403"/>
        <w:gridCol w:w="3185"/>
      </w:tblGrid>
      <w:tr w:rsidR="009A44F9" w:rsidRPr="004B3056" w14:paraId="3E05907A" w14:textId="77777777" w:rsidTr="00B72A95">
        <w:trPr>
          <w:cantSplit/>
          <w:trHeight w:val="638"/>
        </w:trPr>
        <w:tc>
          <w:tcPr>
            <w:tcW w:w="305" w:type="pct"/>
            <w:tcBorders>
              <w:top w:val="single" w:sz="4" w:space="0" w:color="auto"/>
              <w:left w:val="single" w:sz="4" w:space="0" w:color="auto"/>
              <w:bottom w:val="single" w:sz="4" w:space="0" w:color="auto"/>
              <w:right w:val="single" w:sz="4" w:space="0" w:color="auto"/>
            </w:tcBorders>
            <w:shd w:val="clear" w:color="auto" w:fill="DDD9C3"/>
            <w:hideMark/>
          </w:tcPr>
          <w:p w14:paraId="51889C32" w14:textId="77777777" w:rsidR="009A44F9" w:rsidRPr="004B3056" w:rsidRDefault="009A44F9" w:rsidP="00B72A95">
            <w:pPr>
              <w:spacing w:after="0" w:line="240" w:lineRule="auto"/>
              <w:jc w:val="center"/>
              <w:rPr>
                <w:rFonts w:eastAsia="Times New Roman" w:cs="Arial"/>
                <w:b/>
                <w:sz w:val="20"/>
                <w:szCs w:val="20"/>
                <w:lang w:val="fr-FR"/>
              </w:rPr>
            </w:pPr>
            <w:r w:rsidRPr="004B3056">
              <w:rPr>
                <w:rFonts w:eastAsia="Times New Roman" w:cs="Arial"/>
                <w:b/>
                <w:sz w:val="20"/>
                <w:szCs w:val="20"/>
                <w:lang w:val="fr-FR"/>
              </w:rPr>
              <w:t xml:space="preserve"> N°</w:t>
            </w:r>
          </w:p>
        </w:tc>
        <w:tc>
          <w:tcPr>
            <w:tcW w:w="766" w:type="pct"/>
            <w:tcBorders>
              <w:top w:val="single" w:sz="4" w:space="0" w:color="auto"/>
              <w:left w:val="single" w:sz="4" w:space="0" w:color="auto"/>
              <w:bottom w:val="single" w:sz="4" w:space="0" w:color="auto"/>
              <w:right w:val="single" w:sz="4" w:space="0" w:color="auto"/>
            </w:tcBorders>
            <w:shd w:val="clear" w:color="auto" w:fill="DDD9C3"/>
          </w:tcPr>
          <w:p w14:paraId="00DCFF49" w14:textId="77777777" w:rsidR="009A44F9" w:rsidRPr="004B3056" w:rsidRDefault="009A44F9" w:rsidP="00B72A95">
            <w:pPr>
              <w:spacing w:after="0" w:line="240" w:lineRule="auto"/>
              <w:jc w:val="center"/>
              <w:rPr>
                <w:rFonts w:eastAsia="Times New Roman" w:cs="Arial"/>
                <w:b/>
                <w:sz w:val="20"/>
                <w:szCs w:val="20"/>
                <w:lang w:val="fr-FR"/>
              </w:rPr>
            </w:pPr>
            <w:r w:rsidRPr="004B3056">
              <w:rPr>
                <w:rFonts w:eastAsia="Times New Roman" w:cs="Arial"/>
                <w:b/>
                <w:sz w:val="20"/>
                <w:szCs w:val="20"/>
                <w:lang w:val="fr-FR"/>
              </w:rPr>
              <w:t>Désignation</w:t>
            </w:r>
          </w:p>
          <w:p w14:paraId="393A542F" w14:textId="77777777" w:rsidR="009A44F9" w:rsidRPr="004B3056" w:rsidRDefault="009A44F9" w:rsidP="00B72A95">
            <w:pPr>
              <w:spacing w:after="0" w:line="240" w:lineRule="auto"/>
              <w:rPr>
                <w:rFonts w:eastAsia="Times New Roman" w:cs="Arial"/>
                <w:sz w:val="20"/>
                <w:szCs w:val="20"/>
                <w:lang w:val="fr-ML"/>
              </w:rPr>
            </w:pPr>
          </w:p>
        </w:tc>
        <w:tc>
          <w:tcPr>
            <w:tcW w:w="906" w:type="pct"/>
            <w:tcBorders>
              <w:top w:val="single" w:sz="4" w:space="0" w:color="auto"/>
              <w:left w:val="single" w:sz="4" w:space="0" w:color="auto"/>
              <w:bottom w:val="single" w:sz="4" w:space="0" w:color="auto"/>
              <w:right w:val="single" w:sz="4" w:space="0" w:color="auto"/>
            </w:tcBorders>
            <w:shd w:val="clear" w:color="auto" w:fill="DDD9C3"/>
          </w:tcPr>
          <w:p w14:paraId="0DBC5F8D" w14:textId="77777777" w:rsidR="009A44F9" w:rsidRPr="004B3056" w:rsidRDefault="009A44F9" w:rsidP="00B72A95">
            <w:pPr>
              <w:spacing w:after="0" w:line="240" w:lineRule="auto"/>
              <w:jc w:val="center"/>
              <w:outlineLvl w:val="6"/>
              <w:rPr>
                <w:rFonts w:eastAsia="Times New Roman" w:cs="Times New Roman"/>
                <w:b/>
                <w:sz w:val="20"/>
                <w:szCs w:val="20"/>
                <w:lang w:val="fr-FR"/>
              </w:rPr>
            </w:pPr>
            <w:r w:rsidRPr="004B3056">
              <w:rPr>
                <w:rFonts w:eastAsia="Times New Roman" w:cs="Times New Roman"/>
                <w:b/>
                <w:sz w:val="20"/>
                <w:szCs w:val="20"/>
                <w:lang w:val="fr-FR"/>
              </w:rPr>
              <w:t>Statut</w:t>
            </w:r>
          </w:p>
          <w:p w14:paraId="0EAA6650" w14:textId="77777777" w:rsidR="009A44F9" w:rsidRPr="004B3056" w:rsidRDefault="009A44F9" w:rsidP="00B72A95">
            <w:pPr>
              <w:spacing w:after="0" w:line="240" w:lineRule="auto"/>
              <w:rPr>
                <w:rFonts w:eastAsia="Times New Roman" w:cs="Arial"/>
                <w:b/>
                <w:sz w:val="20"/>
                <w:szCs w:val="20"/>
                <w:lang w:val="fr-FR"/>
              </w:rPr>
            </w:pPr>
          </w:p>
        </w:tc>
        <w:tc>
          <w:tcPr>
            <w:tcW w:w="759" w:type="pct"/>
            <w:tcBorders>
              <w:top w:val="single" w:sz="4" w:space="0" w:color="auto"/>
              <w:left w:val="single" w:sz="4" w:space="0" w:color="auto"/>
              <w:bottom w:val="single" w:sz="4" w:space="0" w:color="auto"/>
              <w:right w:val="single" w:sz="4" w:space="0" w:color="auto"/>
            </w:tcBorders>
            <w:shd w:val="clear" w:color="auto" w:fill="DDD9C3"/>
            <w:hideMark/>
          </w:tcPr>
          <w:p w14:paraId="3A23C67B" w14:textId="77777777" w:rsidR="009A44F9" w:rsidRPr="004B3056" w:rsidRDefault="009A44F9" w:rsidP="00B72A95">
            <w:pPr>
              <w:spacing w:after="0" w:line="240" w:lineRule="auto"/>
              <w:jc w:val="center"/>
              <w:rPr>
                <w:rFonts w:eastAsia="Times New Roman" w:cs="Arial"/>
                <w:b/>
                <w:sz w:val="20"/>
                <w:szCs w:val="20"/>
                <w:lang w:val="fr-FR"/>
              </w:rPr>
            </w:pPr>
            <w:r w:rsidRPr="004B3056">
              <w:rPr>
                <w:rFonts w:eastAsia="Times New Roman" w:cs="Arial"/>
                <w:b/>
                <w:sz w:val="20"/>
                <w:szCs w:val="20"/>
                <w:lang w:val="fr-FR"/>
              </w:rPr>
              <w:t>Localisation</w:t>
            </w:r>
          </w:p>
        </w:tc>
        <w:tc>
          <w:tcPr>
            <w:tcW w:w="692" w:type="pct"/>
            <w:tcBorders>
              <w:top w:val="single" w:sz="4" w:space="0" w:color="auto"/>
              <w:left w:val="single" w:sz="4" w:space="0" w:color="auto"/>
              <w:bottom w:val="single" w:sz="4" w:space="0" w:color="auto"/>
              <w:right w:val="single" w:sz="4" w:space="0" w:color="auto"/>
            </w:tcBorders>
            <w:shd w:val="clear" w:color="auto" w:fill="DDD9C3"/>
            <w:hideMark/>
          </w:tcPr>
          <w:p w14:paraId="0982381A" w14:textId="77777777" w:rsidR="009A44F9" w:rsidRPr="004B3056" w:rsidRDefault="009A44F9" w:rsidP="00B72A95">
            <w:pPr>
              <w:spacing w:after="0" w:line="240" w:lineRule="auto"/>
              <w:jc w:val="center"/>
              <w:rPr>
                <w:rFonts w:eastAsia="Times New Roman" w:cs="Arial"/>
                <w:b/>
                <w:sz w:val="20"/>
                <w:szCs w:val="20"/>
                <w:lang w:val="fr-FR"/>
              </w:rPr>
            </w:pPr>
            <w:r w:rsidRPr="004B3056">
              <w:rPr>
                <w:rFonts w:eastAsia="Times New Roman" w:cs="Arial"/>
                <w:b/>
                <w:sz w:val="20"/>
                <w:szCs w:val="20"/>
                <w:lang w:val="fr-FR"/>
              </w:rPr>
              <w:t>Superficie</w:t>
            </w:r>
          </w:p>
          <w:p w14:paraId="63AEE1A2" w14:textId="77777777" w:rsidR="009A44F9" w:rsidRPr="004B3056" w:rsidRDefault="009A44F9" w:rsidP="00B72A95">
            <w:pPr>
              <w:spacing w:after="0" w:line="240" w:lineRule="auto"/>
              <w:jc w:val="center"/>
              <w:rPr>
                <w:rFonts w:eastAsia="Times New Roman" w:cs="Arial"/>
                <w:b/>
                <w:sz w:val="20"/>
                <w:szCs w:val="20"/>
                <w:lang w:val="fr-FR"/>
              </w:rPr>
            </w:pPr>
            <w:r w:rsidRPr="004B3056">
              <w:rPr>
                <w:rFonts w:eastAsia="Times New Roman" w:cs="Arial"/>
                <w:b/>
                <w:sz w:val="20"/>
                <w:szCs w:val="20"/>
                <w:lang w:val="fr-FR"/>
              </w:rPr>
              <w:t>(ha)</w:t>
            </w:r>
          </w:p>
        </w:tc>
        <w:tc>
          <w:tcPr>
            <w:tcW w:w="1571" w:type="pct"/>
            <w:tcBorders>
              <w:top w:val="single" w:sz="4" w:space="0" w:color="auto"/>
              <w:left w:val="single" w:sz="4" w:space="0" w:color="auto"/>
              <w:bottom w:val="single" w:sz="4" w:space="0" w:color="auto"/>
              <w:right w:val="single" w:sz="4" w:space="0" w:color="auto"/>
            </w:tcBorders>
            <w:shd w:val="clear" w:color="auto" w:fill="DDD9C3"/>
            <w:hideMark/>
          </w:tcPr>
          <w:p w14:paraId="4712F9CA" w14:textId="77777777" w:rsidR="009A44F9" w:rsidRPr="004B3056" w:rsidRDefault="009A44F9" w:rsidP="00B72A95">
            <w:pPr>
              <w:spacing w:after="0" w:line="240" w:lineRule="auto"/>
              <w:jc w:val="center"/>
              <w:rPr>
                <w:rFonts w:eastAsia="Times New Roman" w:cs="Arial"/>
                <w:b/>
                <w:sz w:val="20"/>
                <w:szCs w:val="20"/>
                <w:lang w:val="fr-FR"/>
              </w:rPr>
            </w:pPr>
            <w:r w:rsidRPr="004B3056">
              <w:rPr>
                <w:rFonts w:eastAsia="Times New Roman" w:cs="Arial"/>
                <w:b/>
                <w:sz w:val="20"/>
                <w:szCs w:val="20"/>
                <w:lang w:val="fr-FR"/>
              </w:rPr>
              <w:t>Référence</w:t>
            </w:r>
            <w:r w:rsidR="00C83806" w:rsidRPr="004B3056">
              <w:rPr>
                <w:rFonts w:eastAsia="Times New Roman" w:cs="Arial"/>
                <w:b/>
                <w:sz w:val="20"/>
                <w:szCs w:val="20"/>
                <w:lang w:val="fr-FR"/>
              </w:rPr>
              <w:t>s</w:t>
            </w:r>
          </w:p>
        </w:tc>
      </w:tr>
      <w:tr w:rsidR="009A44F9" w:rsidRPr="004B3056" w14:paraId="4433FE4C" w14:textId="77777777" w:rsidTr="00B72A95">
        <w:trPr>
          <w:cantSplit/>
          <w:trHeight w:val="457"/>
        </w:trPr>
        <w:tc>
          <w:tcPr>
            <w:tcW w:w="305" w:type="pct"/>
            <w:tcBorders>
              <w:top w:val="single" w:sz="4" w:space="0" w:color="auto"/>
              <w:left w:val="single" w:sz="4" w:space="0" w:color="auto"/>
              <w:bottom w:val="single" w:sz="4" w:space="0" w:color="auto"/>
              <w:right w:val="single" w:sz="4" w:space="0" w:color="auto"/>
            </w:tcBorders>
            <w:hideMark/>
          </w:tcPr>
          <w:p w14:paraId="768466D8" w14:textId="77777777" w:rsidR="009A44F9" w:rsidRPr="004B3056" w:rsidRDefault="009A44F9" w:rsidP="00B72A95">
            <w:pPr>
              <w:spacing w:after="0" w:line="240" w:lineRule="auto"/>
              <w:jc w:val="center"/>
              <w:rPr>
                <w:rFonts w:eastAsia="Times New Roman" w:cs="Arial"/>
                <w:b/>
                <w:sz w:val="20"/>
                <w:szCs w:val="20"/>
                <w:lang w:val="fr-FR"/>
              </w:rPr>
            </w:pPr>
            <w:r w:rsidRPr="004B3056">
              <w:rPr>
                <w:rFonts w:eastAsia="Times New Roman" w:cs="Arial"/>
                <w:b/>
                <w:sz w:val="20"/>
                <w:szCs w:val="20"/>
                <w:lang w:val="fr-FR"/>
              </w:rPr>
              <w:t>1</w:t>
            </w:r>
          </w:p>
        </w:tc>
        <w:tc>
          <w:tcPr>
            <w:tcW w:w="766" w:type="pct"/>
            <w:tcBorders>
              <w:top w:val="single" w:sz="4" w:space="0" w:color="auto"/>
              <w:left w:val="single" w:sz="4" w:space="0" w:color="auto"/>
              <w:bottom w:val="single" w:sz="4" w:space="0" w:color="auto"/>
              <w:right w:val="single" w:sz="4" w:space="0" w:color="auto"/>
            </w:tcBorders>
            <w:hideMark/>
          </w:tcPr>
          <w:p w14:paraId="506A5418" w14:textId="77777777" w:rsidR="009A44F9" w:rsidRPr="004B3056" w:rsidRDefault="009A44F9" w:rsidP="00B72A95">
            <w:pPr>
              <w:spacing w:after="0" w:line="240" w:lineRule="auto"/>
              <w:rPr>
                <w:rFonts w:eastAsia="Times New Roman" w:cs="Arial"/>
                <w:bCs/>
                <w:sz w:val="20"/>
                <w:szCs w:val="20"/>
                <w:lang w:val="fr-ML"/>
              </w:rPr>
            </w:pPr>
            <w:r w:rsidRPr="004B3056">
              <w:rPr>
                <w:rFonts w:eastAsia="Times New Roman" w:cs="Arial"/>
                <w:bCs/>
                <w:sz w:val="20"/>
                <w:szCs w:val="20"/>
                <w:lang w:val="fr-ML"/>
              </w:rPr>
              <w:t>Kouroufing</w:t>
            </w:r>
          </w:p>
        </w:tc>
        <w:tc>
          <w:tcPr>
            <w:tcW w:w="906" w:type="pct"/>
            <w:tcBorders>
              <w:top w:val="single" w:sz="4" w:space="0" w:color="auto"/>
              <w:left w:val="single" w:sz="4" w:space="0" w:color="auto"/>
              <w:bottom w:val="single" w:sz="4" w:space="0" w:color="auto"/>
              <w:right w:val="single" w:sz="4" w:space="0" w:color="auto"/>
            </w:tcBorders>
            <w:hideMark/>
          </w:tcPr>
          <w:p w14:paraId="1A28FEA7" w14:textId="77777777" w:rsidR="009A44F9" w:rsidRPr="004B3056" w:rsidRDefault="009A44F9" w:rsidP="00B72A95">
            <w:pPr>
              <w:spacing w:after="0" w:line="240" w:lineRule="auto"/>
              <w:jc w:val="center"/>
              <w:rPr>
                <w:rFonts w:eastAsia="Times New Roman" w:cs="Arial"/>
                <w:bCs/>
                <w:sz w:val="20"/>
                <w:szCs w:val="20"/>
                <w:lang w:val="fr-FR"/>
              </w:rPr>
            </w:pPr>
            <w:r w:rsidRPr="004B3056">
              <w:rPr>
                <w:rFonts w:eastAsia="Times New Roman" w:cs="Arial"/>
                <w:bCs/>
                <w:sz w:val="20"/>
                <w:szCs w:val="20"/>
                <w:lang w:val="fr-FR"/>
              </w:rPr>
              <w:t>Parc national</w:t>
            </w:r>
          </w:p>
        </w:tc>
        <w:tc>
          <w:tcPr>
            <w:tcW w:w="759" w:type="pct"/>
            <w:tcBorders>
              <w:top w:val="single" w:sz="4" w:space="0" w:color="auto"/>
              <w:left w:val="single" w:sz="4" w:space="0" w:color="auto"/>
              <w:bottom w:val="single" w:sz="4" w:space="0" w:color="auto"/>
              <w:right w:val="single" w:sz="4" w:space="0" w:color="auto"/>
            </w:tcBorders>
            <w:hideMark/>
          </w:tcPr>
          <w:p w14:paraId="31BE0FA8" w14:textId="77777777" w:rsidR="009A44F9" w:rsidRPr="004B3056" w:rsidRDefault="009A44F9" w:rsidP="00B72A95">
            <w:pPr>
              <w:spacing w:after="0" w:line="240" w:lineRule="auto"/>
              <w:jc w:val="left"/>
              <w:rPr>
                <w:rFonts w:eastAsia="Times New Roman" w:cs="Arial"/>
                <w:bCs/>
                <w:sz w:val="20"/>
                <w:szCs w:val="20"/>
                <w:lang w:val="fr-FR"/>
              </w:rPr>
            </w:pPr>
            <w:r w:rsidRPr="004B3056">
              <w:rPr>
                <w:rFonts w:eastAsia="Times New Roman" w:cs="Arial"/>
                <w:bCs/>
                <w:sz w:val="20"/>
                <w:szCs w:val="20"/>
                <w:lang w:val="fr-FR"/>
              </w:rPr>
              <w:t>Bafoulabé</w:t>
            </w:r>
          </w:p>
        </w:tc>
        <w:tc>
          <w:tcPr>
            <w:tcW w:w="692" w:type="pct"/>
            <w:tcBorders>
              <w:top w:val="single" w:sz="4" w:space="0" w:color="auto"/>
              <w:left w:val="single" w:sz="4" w:space="0" w:color="auto"/>
              <w:bottom w:val="single" w:sz="4" w:space="0" w:color="auto"/>
              <w:right w:val="single" w:sz="4" w:space="0" w:color="auto"/>
            </w:tcBorders>
            <w:hideMark/>
          </w:tcPr>
          <w:p w14:paraId="636B6257" w14:textId="77777777" w:rsidR="009A44F9" w:rsidRPr="004B3056" w:rsidRDefault="009A44F9" w:rsidP="00B72A95">
            <w:pPr>
              <w:spacing w:after="0" w:line="240" w:lineRule="auto"/>
              <w:jc w:val="right"/>
              <w:rPr>
                <w:rFonts w:eastAsia="Times New Roman" w:cs="Arial"/>
                <w:bCs/>
                <w:sz w:val="20"/>
                <w:szCs w:val="20"/>
                <w:lang w:val="fr-FR"/>
              </w:rPr>
            </w:pPr>
            <w:r w:rsidRPr="004B3056">
              <w:rPr>
                <w:rFonts w:eastAsia="Times New Roman" w:cs="Arial"/>
                <w:bCs/>
                <w:sz w:val="20"/>
                <w:szCs w:val="20"/>
                <w:lang w:val="fr-FR"/>
              </w:rPr>
              <w:t>55.770</w:t>
            </w:r>
          </w:p>
        </w:tc>
        <w:tc>
          <w:tcPr>
            <w:tcW w:w="1571" w:type="pct"/>
            <w:tcBorders>
              <w:top w:val="single" w:sz="4" w:space="0" w:color="auto"/>
              <w:left w:val="single" w:sz="4" w:space="0" w:color="auto"/>
              <w:bottom w:val="single" w:sz="4" w:space="0" w:color="auto"/>
              <w:right w:val="single" w:sz="4" w:space="0" w:color="auto"/>
            </w:tcBorders>
            <w:hideMark/>
          </w:tcPr>
          <w:p w14:paraId="29A89A4B" w14:textId="77777777" w:rsidR="009A44F9" w:rsidRPr="004B3056" w:rsidRDefault="009A44F9" w:rsidP="00B72A95">
            <w:pPr>
              <w:spacing w:after="0" w:line="240" w:lineRule="auto"/>
              <w:jc w:val="left"/>
              <w:rPr>
                <w:rFonts w:eastAsia="Times New Roman" w:cs="Arial"/>
                <w:bCs/>
                <w:sz w:val="20"/>
                <w:szCs w:val="20"/>
                <w:lang w:val="fr-ML"/>
              </w:rPr>
            </w:pPr>
            <w:r w:rsidRPr="004B3056">
              <w:rPr>
                <w:rFonts w:eastAsia="Times New Roman" w:cs="Arial"/>
                <w:bCs/>
                <w:sz w:val="20"/>
                <w:szCs w:val="20"/>
                <w:lang w:val="fr-FR"/>
              </w:rPr>
              <w:t>Loi N° 02-003 du 16/01/2002</w:t>
            </w:r>
          </w:p>
        </w:tc>
      </w:tr>
      <w:tr w:rsidR="009A44F9" w:rsidRPr="004B3056" w14:paraId="4777DB2D" w14:textId="77777777" w:rsidTr="00B72A95">
        <w:trPr>
          <w:cantSplit/>
          <w:trHeight w:val="408"/>
        </w:trPr>
        <w:tc>
          <w:tcPr>
            <w:tcW w:w="305" w:type="pct"/>
            <w:tcBorders>
              <w:top w:val="single" w:sz="4" w:space="0" w:color="auto"/>
              <w:left w:val="single" w:sz="4" w:space="0" w:color="auto"/>
              <w:bottom w:val="single" w:sz="4" w:space="0" w:color="auto"/>
              <w:right w:val="single" w:sz="4" w:space="0" w:color="auto"/>
            </w:tcBorders>
            <w:hideMark/>
          </w:tcPr>
          <w:p w14:paraId="19AF754A" w14:textId="77777777" w:rsidR="009A44F9" w:rsidRPr="004B3056" w:rsidRDefault="009A44F9" w:rsidP="00B72A95">
            <w:pPr>
              <w:spacing w:after="0" w:line="240" w:lineRule="auto"/>
              <w:jc w:val="center"/>
              <w:rPr>
                <w:rFonts w:eastAsia="Times New Roman" w:cs="Arial"/>
                <w:b/>
                <w:sz w:val="20"/>
                <w:szCs w:val="20"/>
                <w:lang w:val="fr-ML"/>
              </w:rPr>
            </w:pPr>
            <w:r w:rsidRPr="004B3056">
              <w:rPr>
                <w:rFonts w:eastAsia="Times New Roman" w:cs="Arial"/>
                <w:b/>
                <w:sz w:val="20"/>
                <w:szCs w:val="20"/>
                <w:lang w:val="fr-ML"/>
              </w:rPr>
              <w:t>2</w:t>
            </w:r>
          </w:p>
        </w:tc>
        <w:tc>
          <w:tcPr>
            <w:tcW w:w="766" w:type="pct"/>
            <w:tcBorders>
              <w:top w:val="single" w:sz="4" w:space="0" w:color="auto"/>
              <w:left w:val="single" w:sz="4" w:space="0" w:color="auto"/>
              <w:bottom w:val="single" w:sz="4" w:space="0" w:color="auto"/>
              <w:right w:val="single" w:sz="4" w:space="0" w:color="auto"/>
            </w:tcBorders>
            <w:hideMark/>
          </w:tcPr>
          <w:p w14:paraId="7B335CE3" w14:textId="77777777" w:rsidR="009A44F9" w:rsidRPr="004B3056" w:rsidRDefault="009A44F9" w:rsidP="00B72A95">
            <w:pPr>
              <w:spacing w:after="0" w:line="240" w:lineRule="auto"/>
              <w:rPr>
                <w:rFonts w:eastAsia="Times New Roman" w:cs="Arial"/>
                <w:bCs/>
                <w:sz w:val="20"/>
                <w:szCs w:val="20"/>
                <w:lang w:val="fr-FR"/>
              </w:rPr>
            </w:pPr>
            <w:r w:rsidRPr="004B3056">
              <w:rPr>
                <w:rFonts w:eastAsia="Times New Roman" w:cs="Arial"/>
                <w:bCs/>
                <w:sz w:val="20"/>
                <w:szCs w:val="20"/>
                <w:lang w:val="fr-ML"/>
              </w:rPr>
              <w:t>Wango</w:t>
            </w:r>
          </w:p>
        </w:tc>
        <w:tc>
          <w:tcPr>
            <w:tcW w:w="906" w:type="pct"/>
            <w:tcBorders>
              <w:top w:val="single" w:sz="4" w:space="0" w:color="auto"/>
              <w:left w:val="single" w:sz="4" w:space="0" w:color="auto"/>
              <w:bottom w:val="single" w:sz="4" w:space="0" w:color="auto"/>
              <w:right w:val="single" w:sz="4" w:space="0" w:color="auto"/>
            </w:tcBorders>
            <w:hideMark/>
          </w:tcPr>
          <w:p w14:paraId="7C7F7BD4" w14:textId="77777777" w:rsidR="009A44F9" w:rsidRPr="004B3056" w:rsidRDefault="009A44F9" w:rsidP="00B72A95">
            <w:pPr>
              <w:spacing w:after="0" w:line="240" w:lineRule="auto"/>
              <w:jc w:val="center"/>
              <w:rPr>
                <w:rFonts w:eastAsia="Times New Roman" w:cs="Arial"/>
                <w:bCs/>
                <w:sz w:val="20"/>
                <w:szCs w:val="20"/>
                <w:lang w:val="fr-FR"/>
              </w:rPr>
            </w:pPr>
            <w:r w:rsidRPr="004B3056">
              <w:rPr>
                <w:rFonts w:eastAsia="Times New Roman" w:cs="Arial"/>
                <w:bCs/>
                <w:sz w:val="20"/>
                <w:szCs w:val="20"/>
                <w:lang w:val="fr-FR"/>
              </w:rPr>
              <w:t>Parc National</w:t>
            </w:r>
          </w:p>
        </w:tc>
        <w:tc>
          <w:tcPr>
            <w:tcW w:w="759" w:type="pct"/>
            <w:tcBorders>
              <w:top w:val="single" w:sz="4" w:space="0" w:color="auto"/>
              <w:left w:val="single" w:sz="4" w:space="0" w:color="auto"/>
              <w:bottom w:val="single" w:sz="4" w:space="0" w:color="auto"/>
              <w:right w:val="single" w:sz="4" w:space="0" w:color="auto"/>
            </w:tcBorders>
            <w:hideMark/>
          </w:tcPr>
          <w:p w14:paraId="41BE6E86" w14:textId="77777777" w:rsidR="009A44F9" w:rsidRPr="004B3056" w:rsidRDefault="009A44F9" w:rsidP="00B72A95">
            <w:pPr>
              <w:spacing w:after="0" w:line="240" w:lineRule="auto"/>
              <w:jc w:val="left"/>
              <w:rPr>
                <w:rFonts w:eastAsia="Times New Roman" w:cs="Arial"/>
                <w:bCs/>
                <w:sz w:val="20"/>
                <w:szCs w:val="20"/>
                <w:lang w:val="fr-FR"/>
              </w:rPr>
            </w:pPr>
            <w:r w:rsidRPr="004B3056">
              <w:rPr>
                <w:rFonts w:eastAsia="Times New Roman" w:cs="Arial"/>
                <w:bCs/>
                <w:sz w:val="20"/>
                <w:szCs w:val="20"/>
                <w:lang w:val="fr-FR"/>
              </w:rPr>
              <w:t>Bafoulabé</w:t>
            </w:r>
          </w:p>
        </w:tc>
        <w:tc>
          <w:tcPr>
            <w:tcW w:w="692" w:type="pct"/>
            <w:tcBorders>
              <w:top w:val="single" w:sz="4" w:space="0" w:color="auto"/>
              <w:left w:val="single" w:sz="4" w:space="0" w:color="auto"/>
              <w:bottom w:val="single" w:sz="4" w:space="0" w:color="auto"/>
              <w:right w:val="single" w:sz="4" w:space="0" w:color="auto"/>
            </w:tcBorders>
            <w:hideMark/>
          </w:tcPr>
          <w:p w14:paraId="41A2E3EB" w14:textId="77777777" w:rsidR="009A44F9" w:rsidRPr="004B3056" w:rsidRDefault="009A44F9" w:rsidP="00B72A95">
            <w:pPr>
              <w:spacing w:after="0" w:line="240" w:lineRule="auto"/>
              <w:jc w:val="right"/>
              <w:rPr>
                <w:rFonts w:eastAsia="Times New Roman" w:cs="Arial"/>
                <w:bCs/>
                <w:sz w:val="20"/>
                <w:szCs w:val="20"/>
                <w:lang w:val="fr-FR"/>
              </w:rPr>
            </w:pPr>
            <w:r w:rsidRPr="004B3056">
              <w:rPr>
                <w:rFonts w:eastAsia="Times New Roman" w:cs="Arial"/>
                <w:bCs/>
                <w:sz w:val="20"/>
                <w:szCs w:val="20"/>
                <w:lang w:val="fr-FR"/>
              </w:rPr>
              <w:t>53.499</w:t>
            </w:r>
          </w:p>
        </w:tc>
        <w:tc>
          <w:tcPr>
            <w:tcW w:w="1571" w:type="pct"/>
            <w:tcBorders>
              <w:top w:val="single" w:sz="4" w:space="0" w:color="auto"/>
              <w:left w:val="single" w:sz="4" w:space="0" w:color="auto"/>
              <w:bottom w:val="single" w:sz="4" w:space="0" w:color="auto"/>
              <w:right w:val="single" w:sz="4" w:space="0" w:color="auto"/>
            </w:tcBorders>
            <w:hideMark/>
          </w:tcPr>
          <w:p w14:paraId="210E9506" w14:textId="77777777" w:rsidR="009A44F9" w:rsidRPr="004B3056" w:rsidRDefault="009A44F9" w:rsidP="00B72A95">
            <w:pPr>
              <w:spacing w:after="0" w:line="240" w:lineRule="auto"/>
              <w:jc w:val="left"/>
              <w:rPr>
                <w:rFonts w:eastAsia="Times New Roman" w:cs="Arial"/>
                <w:bCs/>
                <w:sz w:val="20"/>
                <w:szCs w:val="20"/>
                <w:lang w:val="fr-ML"/>
              </w:rPr>
            </w:pPr>
            <w:r w:rsidRPr="004B3056">
              <w:rPr>
                <w:rFonts w:eastAsia="Times New Roman" w:cs="Arial"/>
                <w:bCs/>
                <w:sz w:val="20"/>
                <w:szCs w:val="20"/>
                <w:lang w:val="fr-FR"/>
              </w:rPr>
              <w:t>Loi N° 02-002 du 16/01/ 2002</w:t>
            </w:r>
          </w:p>
        </w:tc>
      </w:tr>
      <w:tr w:rsidR="009A44F9" w:rsidRPr="004B3056" w14:paraId="6FBA7C7C" w14:textId="77777777" w:rsidTr="00B72A95">
        <w:trPr>
          <w:cantSplit/>
        </w:trPr>
        <w:tc>
          <w:tcPr>
            <w:tcW w:w="305" w:type="pct"/>
            <w:tcBorders>
              <w:top w:val="single" w:sz="4" w:space="0" w:color="auto"/>
              <w:left w:val="single" w:sz="4" w:space="0" w:color="auto"/>
              <w:bottom w:val="single" w:sz="4" w:space="0" w:color="auto"/>
              <w:right w:val="single" w:sz="4" w:space="0" w:color="auto"/>
            </w:tcBorders>
            <w:hideMark/>
          </w:tcPr>
          <w:p w14:paraId="5C201893" w14:textId="77777777" w:rsidR="009A44F9" w:rsidRPr="004B3056" w:rsidRDefault="009A44F9" w:rsidP="00B72A95">
            <w:pPr>
              <w:spacing w:after="0" w:line="240" w:lineRule="auto"/>
              <w:jc w:val="center"/>
              <w:rPr>
                <w:rFonts w:eastAsia="Times New Roman" w:cs="Arial"/>
                <w:b/>
                <w:sz w:val="20"/>
                <w:szCs w:val="20"/>
                <w:lang w:val="fr-ML"/>
              </w:rPr>
            </w:pPr>
            <w:r w:rsidRPr="004B3056">
              <w:rPr>
                <w:rFonts w:eastAsia="Times New Roman" w:cs="Arial"/>
                <w:b/>
                <w:sz w:val="20"/>
                <w:szCs w:val="20"/>
                <w:lang w:val="fr-ML"/>
              </w:rPr>
              <w:t>3</w:t>
            </w:r>
          </w:p>
        </w:tc>
        <w:tc>
          <w:tcPr>
            <w:tcW w:w="766" w:type="pct"/>
            <w:tcBorders>
              <w:top w:val="single" w:sz="4" w:space="0" w:color="auto"/>
              <w:left w:val="single" w:sz="4" w:space="0" w:color="auto"/>
              <w:bottom w:val="single" w:sz="4" w:space="0" w:color="auto"/>
              <w:right w:val="single" w:sz="4" w:space="0" w:color="auto"/>
            </w:tcBorders>
          </w:tcPr>
          <w:p w14:paraId="565BA754" w14:textId="77777777" w:rsidR="009A44F9" w:rsidRPr="004B3056" w:rsidRDefault="009A44F9" w:rsidP="00B72A95">
            <w:pPr>
              <w:spacing w:after="0" w:line="240" w:lineRule="auto"/>
              <w:rPr>
                <w:rFonts w:eastAsia="Times New Roman" w:cs="Arial"/>
                <w:bCs/>
                <w:sz w:val="20"/>
                <w:szCs w:val="20"/>
                <w:lang w:val="fr-FR"/>
              </w:rPr>
            </w:pPr>
            <w:r w:rsidRPr="004B3056">
              <w:rPr>
                <w:rFonts w:eastAsia="Times New Roman" w:cs="Arial"/>
                <w:bCs/>
                <w:sz w:val="20"/>
                <w:szCs w:val="20"/>
                <w:lang w:val="fr-ML"/>
              </w:rPr>
              <w:t>Sanctuaire Chimpanzé</w:t>
            </w:r>
          </w:p>
        </w:tc>
        <w:tc>
          <w:tcPr>
            <w:tcW w:w="906" w:type="pct"/>
            <w:tcBorders>
              <w:top w:val="single" w:sz="4" w:space="0" w:color="auto"/>
              <w:left w:val="single" w:sz="4" w:space="0" w:color="auto"/>
              <w:bottom w:val="single" w:sz="4" w:space="0" w:color="auto"/>
              <w:right w:val="single" w:sz="4" w:space="0" w:color="auto"/>
            </w:tcBorders>
            <w:hideMark/>
          </w:tcPr>
          <w:p w14:paraId="152F18E3" w14:textId="77777777" w:rsidR="009A44F9" w:rsidRPr="004B3056" w:rsidRDefault="009A44F9" w:rsidP="00B72A95">
            <w:pPr>
              <w:spacing w:after="0" w:line="240" w:lineRule="auto"/>
              <w:jc w:val="center"/>
              <w:rPr>
                <w:rFonts w:eastAsia="Times New Roman" w:cs="Arial"/>
                <w:bCs/>
                <w:sz w:val="20"/>
                <w:szCs w:val="20"/>
                <w:lang w:val="fr-FR"/>
              </w:rPr>
            </w:pPr>
            <w:r w:rsidRPr="004B3056">
              <w:rPr>
                <w:rFonts w:eastAsia="Times New Roman" w:cs="Arial"/>
                <w:bCs/>
                <w:sz w:val="20"/>
                <w:szCs w:val="20"/>
                <w:lang w:val="fr-FR"/>
              </w:rPr>
              <w:t>Sanctuaire</w:t>
            </w:r>
          </w:p>
        </w:tc>
        <w:tc>
          <w:tcPr>
            <w:tcW w:w="759" w:type="pct"/>
            <w:tcBorders>
              <w:top w:val="single" w:sz="4" w:space="0" w:color="auto"/>
              <w:left w:val="single" w:sz="4" w:space="0" w:color="auto"/>
              <w:bottom w:val="single" w:sz="4" w:space="0" w:color="auto"/>
              <w:right w:val="single" w:sz="4" w:space="0" w:color="auto"/>
            </w:tcBorders>
            <w:hideMark/>
          </w:tcPr>
          <w:p w14:paraId="4ADA67FF" w14:textId="77777777" w:rsidR="009A44F9" w:rsidRPr="004B3056" w:rsidRDefault="009A44F9" w:rsidP="00B72A95">
            <w:pPr>
              <w:spacing w:after="0" w:line="240" w:lineRule="auto"/>
              <w:jc w:val="left"/>
              <w:rPr>
                <w:rFonts w:eastAsia="Times New Roman" w:cs="Arial"/>
                <w:bCs/>
                <w:sz w:val="20"/>
                <w:szCs w:val="20"/>
                <w:lang w:val="fr-FR"/>
              </w:rPr>
            </w:pPr>
            <w:r w:rsidRPr="004B3056">
              <w:rPr>
                <w:rFonts w:eastAsia="Times New Roman" w:cs="Arial"/>
                <w:bCs/>
                <w:sz w:val="20"/>
                <w:szCs w:val="20"/>
                <w:lang w:val="fr-FR"/>
              </w:rPr>
              <w:t>Bafoulabé</w:t>
            </w:r>
          </w:p>
        </w:tc>
        <w:tc>
          <w:tcPr>
            <w:tcW w:w="692" w:type="pct"/>
            <w:tcBorders>
              <w:top w:val="single" w:sz="4" w:space="0" w:color="auto"/>
              <w:left w:val="single" w:sz="4" w:space="0" w:color="auto"/>
              <w:bottom w:val="single" w:sz="4" w:space="0" w:color="auto"/>
              <w:right w:val="single" w:sz="4" w:space="0" w:color="auto"/>
            </w:tcBorders>
            <w:hideMark/>
          </w:tcPr>
          <w:p w14:paraId="37D48FEF" w14:textId="77777777" w:rsidR="009A44F9" w:rsidRPr="004B3056" w:rsidRDefault="009A44F9" w:rsidP="00B72A95">
            <w:pPr>
              <w:spacing w:after="0" w:line="240" w:lineRule="auto"/>
              <w:jc w:val="right"/>
              <w:rPr>
                <w:rFonts w:eastAsia="Times New Roman" w:cs="Arial"/>
                <w:bCs/>
                <w:sz w:val="20"/>
                <w:szCs w:val="20"/>
                <w:lang w:val="fr-FR"/>
              </w:rPr>
            </w:pPr>
            <w:r w:rsidRPr="004B3056">
              <w:rPr>
                <w:rFonts w:eastAsia="Times New Roman" w:cs="Arial"/>
                <w:bCs/>
                <w:sz w:val="20"/>
                <w:szCs w:val="20"/>
                <w:lang w:val="fr-FR"/>
              </w:rPr>
              <w:t>67.200</w:t>
            </w:r>
          </w:p>
        </w:tc>
        <w:tc>
          <w:tcPr>
            <w:tcW w:w="1571" w:type="pct"/>
            <w:tcBorders>
              <w:top w:val="single" w:sz="4" w:space="0" w:color="auto"/>
              <w:left w:val="single" w:sz="4" w:space="0" w:color="auto"/>
              <w:bottom w:val="single" w:sz="4" w:space="0" w:color="auto"/>
              <w:right w:val="single" w:sz="4" w:space="0" w:color="auto"/>
            </w:tcBorders>
            <w:hideMark/>
          </w:tcPr>
          <w:p w14:paraId="70A285AF" w14:textId="77777777" w:rsidR="009A44F9" w:rsidRPr="004B3056" w:rsidRDefault="009A44F9" w:rsidP="00B72A95">
            <w:pPr>
              <w:tabs>
                <w:tab w:val="left" w:pos="708"/>
                <w:tab w:val="center" w:pos="4536"/>
                <w:tab w:val="right" w:pos="9072"/>
              </w:tabs>
              <w:spacing w:after="0" w:line="240" w:lineRule="auto"/>
              <w:jc w:val="left"/>
              <w:rPr>
                <w:rFonts w:eastAsia="Times New Roman" w:cs="Arial"/>
                <w:sz w:val="20"/>
                <w:szCs w:val="20"/>
                <w:lang w:val="fr-FR" w:eastAsia="fr-FR"/>
              </w:rPr>
            </w:pPr>
            <w:r w:rsidRPr="004B3056">
              <w:rPr>
                <w:rFonts w:eastAsia="Times New Roman" w:cs="Arial"/>
                <w:sz w:val="20"/>
                <w:szCs w:val="20"/>
                <w:lang w:val="fr-FR" w:eastAsia="fr-FR"/>
              </w:rPr>
              <w:t xml:space="preserve">Décret N°02-199-PRM </w:t>
            </w:r>
          </w:p>
          <w:p w14:paraId="25EF7DD1" w14:textId="77777777" w:rsidR="009A44F9" w:rsidRPr="004B3056" w:rsidRDefault="009A44F9" w:rsidP="00B72A95">
            <w:pPr>
              <w:tabs>
                <w:tab w:val="left" w:pos="708"/>
                <w:tab w:val="center" w:pos="4536"/>
                <w:tab w:val="right" w:pos="9072"/>
              </w:tabs>
              <w:spacing w:after="0" w:line="240" w:lineRule="auto"/>
              <w:jc w:val="left"/>
              <w:rPr>
                <w:rFonts w:eastAsia="Times New Roman" w:cs="Arial"/>
                <w:bCs/>
                <w:sz w:val="20"/>
                <w:szCs w:val="20"/>
                <w:lang w:val="fr-FR" w:eastAsia="fr-FR"/>
              </w:rPr>
            </w:pPr>
            <w:r w:rsidRPr="004B3056">
              <w:rPr>
                <w:rFonts w:eastAsia="Times New Roman" w:cs="Arial"/>
                <w:sz w:val="20"/>
                <w:szCs w:val="20"/>
                <w:lang w:val="fr-FR" w:eastAsia="fr-FR"/>
              </w:rPr>
              <w:t>du 22 Avril 2002</w:t>
            </w:r>
          </w:p>
        </w:tc>
      </w:tr>
      <w:tr w:rsidR="009A44F9" w:rsidRPr="004B3056" w14:paraId="6F1C8835" w14:textId="77777777" w:rsidTr="00B72A95">
        <w:trPr>
          <w:cantSplit/>
        </w:trPr>
        <w:tc>
          <w:tcPr>
            <w:tcW w:w="305" w:type="pct"/>
            <w:tcBorders>
              <w:top w:val="single" w:sz="4" w:space="0" w:color="auto"/>
              <w:left w:val="single" w:sz="4" w:space="0" w:color="auto"/>
              <w:bottom w:val="single" w:sz="4" w:space="0" w:color="auto"/>
              <w:right w:val="single" w:sz="4" w:space="0" w:color="auto"/>
            </w:tcBorders>
            <w:hideMark/>
          </w:tcPr>
          <w:p w14:paraId="60469EC6" w14:textId="77777777" w:rsidR="009A44F9" w:rsidRPr="004B3056" w:rsidRDefault="009A44F9" w:rsidP="00B72A95">
            <w:pPr>
              <w:spacing w:after="0" w:line="240" w:lineRule="auto"/>
              <w:jc w:val="center"/>
              <w:rPr>
                <w:rFonts w:eastAsia="Times New Roman" w:cs="Arial"/>
                <w:b/>
                <w:sz w:val="20"/>
                <w:szCs w:val="20"/>
                <w:lang w:val="fr-ML"/>
              </w:rPr>
            </w:pPr>
            <w:r w:rsidRPr="004B3056">
              <w:rPr>
                <w:rFonts w:eastAsia="Times New Roman" w:cs="Arial"/>
                <w:b/>
                <w:sz w:val="20"/>
                <w:szCs w:val="20"/>
                <w:lang w:val="fr-ML"/>
              </w:rPr>
              <w:t>4</w:t>
            </w:r>
          </w:p>
        </w:tc>
        <w:tc>
          <w:tcPr>
            <w:tcW w:w="766" w:type="pct"/>
            <w:tcBorders>
              <w:top w:val="single" w:sz="4" w:space="0" w:color="auto"/>
              <w:left w:val="single" w:sz="4" w:space="0" w:color="auto"/>
              <w:bottom w:val="single" w:sz="4" w:space="0" w:color="auto"/>
              <w:right w:val="single" w:sz="4" w:space="0" w:color="auto"/>
            </w:tcBorders>
          </w:tcPr>
          <w:p w14:paraId="10460A58" w14:textId="77777777" w:rsidR="009A44F9" w:rsidRPr="004B3056" w:rsidRDefault="009A44F9" w:rsidP="00B72A95">
            <w:pPr>
              <w:spacing w:after="0" w:line="240" w:lineRule="auto"/>
              <w:rPr>
                <w:rFonts w:eastAsia="Times New Roman" w:cs="Arial"/>
                <w:bCs/>
                <w:sz w:val="20"/>
                <w:szCs w:val="20"/>
                <w:lang w:val="fr-FR"/>
              </w:rPr>
            </w:pPr>
            <w:r w:rsidRPr="004B3056">
              <w:rPr>
                <w:rFonts w:eastAsia="Times New Roman" w:cs="Arial"/>
                <w:bCs/>
                <w:sz w:val="20"/>
                <w:szCs w:val="20"/>
                <w:lang w:val="fr-FR"/>
              </w:rPr>
              <w:t>Mandé Wula</w:t>
            </w:r>
          </w:p>
        </w:tc>
        <w:tc>
          <w:tcPr>
            <w:tcW w:w="906" w:type="pct"/>
            <w:tcBorders>
              <w:top w:val="single" w:sz="4" w:space="0" w:color="auto"/>
              <w:left w:val="single" w:sz="4" w:space="0" w:color="auto"/>
              <w:bottom w:val="single" w:sz="4" w:space="0" w:color="auto"/>
              <w:right w:val="single" w:sz="4" w:space="0" w:color="auto"/>
            </w:tcBorders>
            <w:hideMark/>
          </w:tcPr>
          <w:p w14:paraId="6A078179" w14:textId="77777777" w:rsidR="009A44F9" w:rsidRPr="004B3056" w:rsidRDefault="009A44F9" w:rsidP="00B72A95">
            <w:pPr>
              <w:spacing w:after="0" w:line="240" w:lineRule="auto"/>
              <w:jc w:val="center"/>
              <w:rPr>
                <w:rFonts w:eastAsia="Times New Roman" w:cs="Arial"/>
                <w:bCs/>
                <w:sz w:val="20"/>
                <w:szCs w:val="20"/>
                <w:lang w:val="fr-FR"/>
              </w:rPr>
            </w:pPr>
            <w:r w:rsidRPr="004B3056">
              <w:rPr>
                <w:rFonts w:eastAsia="Times New Roman" w:cs="Arial"/>
                <w:bCs/>
                <w:sz w:val="20"/>
                <w:szCs w:val="20"/>
                <w:lang w:val="fr-FR"/>
              </w:rPr>
              <w:t>Réserve de faune</w:t>
            </w:r>
          </w:p>
        </w:tc>
        <w:tc>
          <w:tcPr>
            <w:tcW w:w="759" w:type="pct"/>
            <w:tcBorders>
              <w:top w:val="single" w:sz="4" w:space="0" w:color="auto"/>
              <w:left w:val="single" w:sz="4" w:space="0" w:color="auto"/>
              <w:bottom w:val="single" w:sz="4" w:space="0" w:color="auto"/>
              <w:right w:val="single" w:sz="4" w:space="0" w:color="auto"/>
            </w:tcBorders>
            <w:hideMark/>
          </w:tcPr>
          <w:p w14:paraId="3CFEDEF1" w14:textId="77777777" w:rsidR="009A44F9" w:rsidRPr="004B3056" w:rsidRDefault="009A44F9" w:rsidP="00B72A95">
            <w:pPr>
              <w:spacing w:after="0" w:line="240" w:lineRule="auto"/>
              <w:jc w:val="left"/>
              <w:rPr>
                <w:rFonts w:eastAsia="Times New Roman" w:cs="Arial"/>
                <w:bCs/>
                <w:sz w:val="20"/>
                <w:szCs w:val="20"/>
                <w:lang w:val="fr-FR"/>
              </w:rPr>
            </w:pPr>
            <w:r w:rsidRPr="004B3056">
              <w:rPr>
                <w:rFonts w:eastAsia="Times New Roman" w:cs="Arial"/>
                <w:bCs/>
                <w:sz w:val="20"/>
                <w:szCs w:val="20"/>
                <w:lang w:val="fr-FR"/>
              </w:rPr>
              <w:t>Kita</w:t>
            </w:r>
          </w:p>
        </w:tc>
        <w:tc>
          <w:tcPr>
            <w:tcW w:w="692" w:type="pct"/>
            <w:tcBorders>
              <w:top w:val="single" w:sz="4" w:space="0" w:color="auto"/>
              <w:left w:val="single" w:sz="4" w:space="0" w:color="auto"/>
              <w:bottom w:val="single" w:sz="4" w:space="0" w:color="auto"/>
              <w:right w:val="single" w:sz="4" w:space="0" w:color="auto"/>
            </w:tcBorders>
            <w:hideMark/>
          </w:tcPr>
          <w:p w14:paraId="18BB912E" w14:textId="77777777" w:rsidR="009A44F9" w:rsidRPr="004B3056" w:rsidRDefault="009A44F9" w:rsidP="00B72A95">
            <w:pPr>
              <w:spacing w:after="0" w:line="240" w:lineRule="auto"/>
              <w:jc w:val="right"/>
              <w:rPr>
                <w:rFonts w:eastAsia="Times New Roman" w:cs="Arial"/>
                <w:bCs/>
                <w:sz w:val="20"/>
                <w:szCs w:val="20"/>
                <w:lang w:val="fr-FR"/>
              </w:rPr>
            </w:pPr>
            <w:r w:rsidRPr="004B3056">
              <w:rPr>
                <w:rFonts w:eastAsia="Times New Roman" w:cs="Arial"/>
                <w:bCs/>
                <w:sz w:val="20"/>
                <w:szCs w:val="20"/>
                <w:lang w:val="fr-FR"/>
              </w:rPr>
              <w:t>39.050</w:t>
            </w:r>
          </w:p>
        </w:tc>
        <w:tc>
          <w:tcPr>
            <w:tcW w:w="1571" w:type="pct"/>
            <w:tcBorders>
              <w:top w:val="single" w:sz="4" w:space="0" w:color="auto"/>
              <w:left w:val="single" w:sz="4" w:space="0" w:color="auto"/>
              <w:bottom w:val="single" w:sz="4" w:space="0" w:color="auto"/>
              <w:right w:val="single" w:sz="4" w:space="0" w:color="auto"/>
            </w:tcBorders>
            <w:hideMark/>
          </w:tcPr>
          <w:p w14:paraId="6EBD4C14" w14:textId="77777777" w:rsidR="009A44F9" w:rsidRPr="004B3056" w:rsidRDefault="009A44F9" w:rsidP="00B72A95">
            <w:pPr>
              <w:tabs>
                <w:tab w:val="left" w:pos="708"/>
                <w:tab w:val="center" w:pos="4536"/>
                <w:tab w:val="right" w:pos="9072"/>
              </w:tabs>
              <w:spacing w:after="0" w:line="240" w:lineRule="auto"/>
              <w:jc w:val="left"/>
              <w:rPr>
                <w:rFonts w:eastAsia="Times New Roman" w:cs="Arial"/>
                <w:sz w:val="20"/>
                <w:szCs w:val="20"/>
                <w:lang w:val="fr-FR" w:eastAsia="fr-FR"/>
              </w:rPr>
            </w:pPr>
            <w:r w:rsidRPr="004B3056">
              <w:rPr>
                <w:rFonts w:eastAsia="Times New Roman" w:cs="Arial"/>
                <w:sz w:val="20"/>
                <w:szCs w:val="20"/>
                <w:lang w:val="fr-FR" w:eastAsia="fr-FR"/>
              </w:rPr>
              <w:t>Décret N°10-091/P-RM du 15 Février 2010</w:t>
            </w:r>
          </w:p>
        </w:tc>
      </w:tr>
      <w:tr w:rsidR="009A44F9" w:rsidRPr="004B3056" w14:paraId="05B34FA6" w14:textId="77777777" w:rsidTr="00B72A95">
        <w:trPr>
          <w:cantSplit/>
        </w:trPr>
        <w:tc>
          <w:tcPr>
            <w:tcW w:w="305" w:type="pct"/>
            <w:vMerge w:val="restart"/>
            <w:tcBorders>
              <w:top w:val="single" w:sz="4" w:space="0" w:color="auto"/>
              <w:left w:val="single" w:sz="4" w:space="0" w:color="auto"/>
              <w:right w:val="single" w:sz="4" w:space="0" w:color="auto"/>
            </w:tcBorders>
            <w:hideMark/>
          </w:tcPr>
          <w:p w14:paraId="34A25DA7" w14:textId="77777777" w:rsidR="009A44F9" w:rsidRPr="004B3056" w:rsidRDefault="009A44F9" w:rsidP="00B72A95">
            <w:pPr>
              <w:spacing w:after="0" w:line="240" w:lineRule="auto"/>
              <w:jc w:val="center"/>
              <w:rPr>
                <w:rFonts w:eastAsia="Times New Roman" w:cs="Arial"/>
                <w:b/>
                <w:sz w:val="20"/>
                <w:szCs w:val="20"/>
                <w:lang w:val="fr-ML"/>
              </w:rPr>
            </w:pPr>
          </w:p>
          <w:p w14:paraId="53EFA802" w14:textId="77777777" w:rsidR="009A44F9" w:rsidRPr="004B3056" w:rsidRDefault="009A44F9" w:rsidP="00B72A95">
            <w:pPr>
              <w:spacing w:after="0" w:line="240" w:lineRule="auto"/>
              <w:jc w:val="center"/>
              <w:rPr>
                <w:rFonts w:eastAsia="Times New Roman" w:cs="Arial"/>
                <w:b/>
                <w:sz w:val="20"/>
                <w:szCs w:val="20"/>
                <w:lang w:val="fr-ML"/>
              </w:rPr>
            </w:pPr>
            <w:r w:rsidRPr="004B3056">
              <w:rPr>
                <w:rFonts w:eastAsia="Times New Roman" w:cs="Arial"/>
                <w:b/>
                <w:sz w:val="20"/>
                <w:szCs w:val="20"/>
                <w:lang w:val="fr-ML"/>
              </w:rPr>
              <w:t>5</w:t>
            </w:r>
          </w:p>
          <w:p w14:paraId="2C0D347D" w14:textId="77777777" w:rsidR="009A44F9" w:rsidRPr="004B3056" w:rsidRDefault="009A44F9" w:rsidP="00B72A95">
            <w:pPr>
              <w:spacing w:after="0" w:line="240" w:lineRule="auto"/>
              <w:jc w:val="left"/>
              <w:rPr>
                <w:rFonts w:eastAsia="Times New Roman" w:cs="Arial"/>
                <w:b/>
                <w:sz w:val="20"/>
                <w:szCs w:val="20"/>
                <w:lang w:val="fr-ML"/>
              </w:rPr>
            </w:pPr>
          </w:p>
        </w:tc>
        <w:tc>
          <w:tcPr>
            <w:tcW w:w="766" w:type="pct"/>
            <w:vMerge w:val="restart"/>
            <w:tcBorders>
              <w:top w:val="single" w:sz="4" w:space="0" w:color="auto"/>
              <w:left w:val="single" w:sz="4" w:space="0" w:color="auto"/>
              <w:right w:val="single" w:sz="4" w:space="0" w:color="auto"/>
            </w:tcBorders>
            <w:hideMark/>
          </w:tcPr>
          <w:p w14:paraId="11A35822" w14:textId="77777777" w:rsidR="009A44F9" w:rsidRPr="004B3056" w:rsidRDefault="009A44F9" w:rsidP="00B72A95">
            <w:pPr>
              <w:spacing w:after="0" w:line="240" w:lineRule="auto"/>
              <w:rPr>
                <w:rFonts w:eastAsia="Times New Roman" w:cs="Arial"/>
                <w:bCs/>
                <w:sz w:val="20"/>
                <w:szCs w:val="20"/>
                <w:lang w:val="fr-FR"/>
              </w:rPr>
            </w:pPr>
          </w:p>
          <w:p w14:paraId="4278D716" w14:textId="77777777" w:rsidR="009A44F9" w:rsidRPr="004B3056" w:rsidRDefault="009A44F9" w:rsidP="00B72A95">
            <w:pPr>
              <w:spacing w:after="0" w:line="240" w:lineRule="auto"/>
              <w:rPr>
                <w:rFonts w:eastAsia="Times New Roman" w:cs="Arial"/>
                <w:bCs/>
                <w:sz w:val="20"/>
                <w:szCs w:val="20"/>
                <w:lang w:val="fr-FR"/>
              </w:rPr>
            </w:pPr>
            <w:r w:rsidRPr="004B3056">
              <w:rPr>
                <w:rFonts w:eastAsia="Times New Roman" w:cs="Arial"/>
                <w:bCs/>
                <w:sz w:val="20"/>
                <w:szCs w:val="20"/>
                <w:lang w:val="fr-FR"/>
              </w:rPr>
              <w:t>Néma Wula</w:t>
            </w:r>
          </w:p>
        </w:tc>
        <w:tc>
          <w:tcPr>
            <w:tcW w:w="906" w:type="pct"/>
            <w:tcBorders>
              <w:top w:val="single" w:sz="4" w:space="0" w:color="auto"/>
              <w:left w:val="single" w:sz="4" w:space="0" w:color="auto"/>
              <w:bottom w:val="single" w:sz="4" w:space="0" w:color="auto"/>
              <w:right w:val="single" w:sz="4" w:space="0" w:color="auto"/>
            </w:tcBorders>
            <w:hideMark/>
          </w:tcPr>
          <w:p w14:paraId="30E02C74" w14:textId="77777777" w:rsidR="009A44F9" w:rsidRPr="004B3056" w:rsidRDefault="009A44F9" w:rsidP="00B72A95">
            <w:pPr>
              <w:spacing w:after="0" w:line="240" w:lineRule="auto"/>
              <w:jc w:val="center"/>
              <w:rPr>
                <w:rFonts w:eastAsia="Times New Roman" w:cs="Arial"/>
                <w:bCs/>
                <w:sz w:val="20"/>
                <w:szCs w:val="20"/>
                <w:lang w:val="fr-FR"/>
              </w:rPr>
            </w:pPr>
            <w:r w:rsidRPr="004B3056">
              <w:rPr>
                <w:rFonts w:eastAsia="Times New Roman" w:cs="Arial"/>
                <w:bCs/>
                <w:sz w:val="20"/>
                <w:szCs w:val="20"/>
                <w:lang w:val="fr-FR"/>
              </w:rPr>
              <w:t>Réserve faune</w:t>
            </w:r>
          </w:p>
        </w:tc>
        <w:tc>
          <w:tcPr>
            <w:tcW w:w="759" w:type="pct"/>
            <w:tcBorders>
              <w:top w:val="single" w:sz="4" w:space="0" w:color="auto"/>
              <w:left w:val="single" w:sz="4" w:space="0" w:color="auto"/>
              <w:bottom w:val="single" w:sz="4" w:space="0" w:color="auto"/>
              <w:right w:val="single" w:sz="4" w:space="0" w:color="auto"/>
            </w:tcBorders>
            <w:hideMark/>
          </w:tcPr>
          <w:p w14:paraId="2316203B" w14:textId="77777777" w:rsidR="009A44F9" w:rsidRPr="004B3056" w:rsidRDefault="009A44F9" w:rsidP="00B72A95">
            <w:pPr>
              <w:spacing w:after="0" w:line="240" w:lineRule="auto"/>
              <w:jc w:val="left"/>
              <w:rPr>
                <w:rFonts w:eastAsia="Times New Roman" w:cs="Arial"/>
                <w:bCs/>
                <w:sz w:val="20"/>
                <w:szCs w:val="20"/>
                <w:lang w:val="fr-FR"/>
              </w:rPr>
            </w:pPr>
            <w:r w:rsidRPr="004B3056">
              <w:rPr>
                <w:rFonts w:eastAsia="Times New Roman" w:cs="Arial"/>
                <w:bCs/>
                <w:sz w:val="20"/>
                <w:szCs w:val="20"/>
                <w:lang w:val="fr-FR"/>
              </w:rPr>
              <w:t>Kita</w:t>
            </w:r>
          </w:p>
        </w:tc>
        <w:tc>
          <w:tcPr>
            <w:tcW w:w="692" w:type="pct"/>
            <w:tcBorders>
              <w:top w:val="single" w:sz="4" w:space="0" w:color="auto"/>
              <w:left w:val="single" w:sz="4" w:space="0" w:color="auto"/>
              <w:bottom w:val="single" w:sz="4" w:space="0" w:color="auto"/>
              <w:right w:val="single" w:sz="4" w:space="0" w:color="auto"/>
            </w:tcBorders>
            <w:hideMark/>
          </w:tcPr>
          <w:p w14:paraId="22DF32DB" w14:textId="77777777" w:rsidR="009A44F9" w:rsidRPr="004B3056" w:rsidRDefault="009A44F9" w:rsidP="00B72A95">
            <w:pPr>
              <w:spacing w:after="0" w:line="240" w:lineRule="auto"/>
              <w:jc w:val="right"/>
              <w:rPr>
                <w:rFonts w:eastAsia="Times New Roman" w:cs="Arial"/>
                <w:bCs/>
                <w:sz w:val="20"/>
                <w:szCs w:val="20"/>
                <w:lang w:val="fr-FR"/>
              </w:rPr>
            </w:pPr>
            <w:r w:rsidRPr="004B3056">
              <w:rPr>
                <w:rFonts w:eastAsia="Times New Roman" w:cs="Arial"/>
                <w:bCs/>
                <w:sz w:val="20"/>
                <w:szCs w:val="20"/>
                <w:lang w:val="fr-FR"/>
              </w:rPr>
              <w:t>44.730</w:t>
            </w:r>
          </w:p>
        </w:tc>
        <w:tc>
          <w:tcPr>
            <w:tcW w:w="1571" w:type="pct"/>
            <w:vMerge w:val="restart"/>
            <w:tcBorders>
              <w:top w:val="single" w:sz="4" w:space="0" w:color="auto"/>
              <w:left w:val="single" w:sz="4" w:space="0" w:color="auto"/>
              <w:right w:val="single" w:sz="4" w:space="0" w:color="auto"/>
            </w:tcBorders>
            <w:hideMark/>
          </w:tcPr>
          <w:p w14:paraId="67AEB09B" w14:textId="77777777" w:rsidR="009A44F9" w:rsidRPr="004B3056" w:rsidRDefault="009A44F9" w:rsidP="00B72A95">
            <w:pPr>
              <w:spacing w:after="0" w:line="240" w:lineRule="auto"/>
              <w:jc w:val="left"/>
              <w:rPr>
                <w:rFonts w:eastAsia="Times New Roman" w:cs="Arial"/>
                <w:sz w:val="20"/>
                <w:szCs w:val="20"/>
                <w:lang w:val="fr-FR"/>
              </w:rPr>
            </w:pPr>
          </w:p>
          <w:p w14:paraId="33BA1B3A" w14:textId="77777777" w:rsidR="009A44F9" w:rsidRPr="004B3056" w:rsidRDefault="009A44F9" w:rsidP="00B72A95">
            <w:pPr>
              <w:spacing w:after="0" w:line="240" w:lineRule="auto"/>
              <w:jc w:val="left"/>
              <w:rPr>
                <w:rFonts w:eastAsia="Times New Roman" w:cs="Arial"/>
                <w:bCs/>
                <w:sz w:val="20"/>
                <w:szCs w:val="20"/>
                <w:lang w:val="fr-ML"/>
              </w:rPr>
            </w:pPr>
            <w:r w:rsidRPr="004B3056">
              <w:rPr>
                <w:rFonts w:eastAsia="Times New Roman" w:cs="Arial"/>
                <w:sz w:val="20"/>
                <w:szCs w:val="20"/>
                <w:lang w:val="fr-FR"/>
              </w:rPr>
              <w:t>Décret N°10-092/P-RM du 15 Février 2010</w:t>
            </w:r>
          </w:p>
        </w:tc>
      </w:tr>
      <w:tr w:rsidR="009A44F9" w:rsidRPr="004B3056" w14:paraId="4484C9ED" w14:textId="77777777" w:rsidTr="00B72A95">
        <w:trPr>
          <w:cantSplit/>
          <w:trHeight w:val="605"/>
        </w:trPr>
        <w:tc>
          <w:tcPr>
            <w:tcW w:w="305" w:type="pct"/>
            <w:vMerge/>
            <w:tcBorders>
              <w:left w:val="single" w:sz="4" w:space="0" w:color="auto"/>
              <w:bottom w:val="single" w:sz="4" w:space="0" w:color="auto"/>
              <w:right w:val="single" w:sz="4" w:space="0" w:color="auto"/>
            </w:tcBorders>
            <w:hideMark/>
          </w:tcPr>
          <w:p w14:paraId="4B034309" w14:textId="77777777" w:rsidR="009A44F9" w:rsidRPr="004B3056" w:rsidRDefault="009A44F9" w:rsidP="00B72A95">
            <w:pPr>
              <w:spacing w:after="0" w:line="240" w:lineRule="auto"/>
              <w:jc w:val="center"/>
              <w:rPr>
                <w:rFonts w:eastAsia="Times New Roman" w:cs="Arial"/>
                <w:b/>
                <w:sz w:val="20"/>
                <w:szCs w:val="20"/>
                <w:lang w:val="fr-ML"/>
              </w:rPr>
            </w:pPr>
          </w:p>
        </w:tc>
        <w:tc>
          <w:tcPr>
            <w:tcW w:w="766" w:type="pct"/>
            <w:vMerge/>
            <w:tcBorders>
              <w:left w:val="single" w:sz="4" w:space="0" w:color="auto"/>
              <w:bottom w:val="single" w:sz="4" w:space="0" w:color="auto"/>
              <w:right w:val="single" w:sz="4" w:space="0" w:color="auto"/>
            </w:tcBorders>
            <w:hideMark/>
          </w:tcPr>
          <w:p w14:paraId="572F7ECB" w14:textId="77777777" w:rsidR="009A44F9" w:rsidRPr="004B3056" w:rsidRDefault="009A44F9" w:rsidP="00B72A95">
            <w:pPr>
              <w:spacing w:after="0" w:line="240" w:lineRule="auto"/>
              <w:rPr>
                <w:rFonts w:eastAsia="Times New Roman" w:cs="Arial"/>
                <w:bCs/>
                <w:sz w:val="20"/>
                <w:szCs w:val="20"/>
                <w:lang w:val="fr-FR"/>
              </w:rPr>
            </w:pPr>
          </w:p>
        </w:tc>
        <w:tc>
          <w:tcPr>
            <w:tcW w:w="906" w:type="pct"/>
            <w:tcBorders>
              <w:top w:val="single" w:sz="4" w:space="0" w:color="auto"/>
              <w:left w:val="single" w:sz="4" w:space="0" w:color="auto"/>
              <w:bottom w:val="single" w:sz="4" w:space="0" w:color="auto"/>
              <w:right w:val="single" w:sz="4" w:space="0" w:color="auto"/>
            </w:tcBorders>
            <w:hideMark/>
          </w:tcPr>
          <w:p w14:paraId="5420195F" w14:textId="77777777" w:rsidR="009A44F9" w:rsidRPr="004B3056" w:rsidRDefault="009A44F9" w:rsidP="00B72A95">
            <w:pPr>
              <w:spacing w:after="0" w:line="240" w:lineRule="auto"/>
              <w:jc w:val="center"/>
              <w:rPr>
                <w:rFonts w:eastAsia="Times New Roman" w:cs="Arial"/>
                <w:bCs/>
                <w:sz w:val="20"/>
                <w:szCs w:val="20"/>
                <w:lang w:val="fr-FR"/>
              </w:rPr>
            </w:pPr>
            <w:r w:rsidRPr="004B3056">
              <w:rPr>
                <w:rFonts w:eastAsia="Times New Roman" w:cs="Arial"/>
                <w:bCs/>
                <w:sz w:val="20"/>
                <w:szCs w:val="20"/>
                <w:lang w:val="fr-FR"/>
              </w:rPr>
              <w:t>Zones tampon Nord et Sud</w:t>
            </w:r>
          </w:p>
        </w:tc>
        <w:tc>
          <w:tcPr>
            <w:tcW w:w="759" w:type="pct"/>
            <w:tcBorders>
              <w:top w:val="single" w:sz="4" w:space="0" w:color="auto"/>
              <w:left w:val="single" w:sz="4" w:space="0" w:color="auto"/>
              <w:bottom w:val="single" w:sz="4" w:space="0" w:color="auto"/>
              <w:right w:val="single" w:sz="4" w:space="0" w:color="auto"/>
            </w:tcBorders>
            <w:hideMark/>
          </w:tcPr>
          <w:p w14:paraId="6E7A335E" w14:textId="77777777" w:rsidR="009A44F9" w:rsidRPr="004B3056" w:rsidRDefault="009A44F9" w:rsidP="00B72A95">
            <w:pPr>
              <w:spacing w:after="0" w:line="240" w:lineRule="auto"/>
              <w:jc w:val="left"/>
              <w:rPr>
                <w:rFonts w:eastAsia="Times New Roman" w:cs="Arial"/>
                <w:bCs/>
                <w:sz w:val="20"/>
                <w:szCs w:val="20"/>
                <w:lang w:val="fr-FR"/>
              </w:rPr>
            </w:pPr>
            <w:r w:rsidRPr="004B3056">
              <w:rPr>
                <w:rFonts w:eastAsia="Times New Roman" w:cs="Arial"/>
                <w:bCs/>
                <w:sz w:val="20"/>
                <w:szCs w:val="20"/>
                <w:lang w:val="fr-FR"/>
              </w:rPr>
              <w:t>Réserve de Néma Wula</w:t>
            </w:r>
          </w:p>
        </w:tc>
        <w:tc>
          <w:tcPr>
            <w:tcW w:w="692" w:type="pct"/>
            <w:tcBorders>
              <w:top w:val="single" w:sz="4" w:space="0" w:color="auto"/>
              <w:left w:val="single" w:sz="4" w:space="0" w:color="auto"/>
              <w:bottom w:val="single" w:sz="4" w:space="0" w:color="auto"/>
              <w:right w:val="single" w:sz="4" w:space="0" w:color="auto"/>
            </w:tcBorders>
            <w:hideMark/>
          </w:tcPr>
          <w:p w14:paraId="61117F87" w14:textId="77777777" w:rsidR="009A44F9" w:rsidRPr="004B3056" w:rsidRDefault="009A44F9" w:rsidP="00B72A95">
            <w:pPr>
              <w:spacing w:after="0" w:line="240" w:lineRule="auto"/>
              <w:jc w:val="right"/>
              <w:rPr>
                <w:rFonts w:eastAsia="Times New Roman" w:cs="Arial"/>
                <w:bCs/>
                <w:sz w:val="20"/>
                <w:szCs w:val="20"/>
                <w:lang w:val="fr-FR"/>
              </w:rPr>
            </w:pPr>
            <w:r w:rsidRPr="004B3056">
              <w:rPr>
                <w:rFonts w:eastAsia="Times New Roman" w:cs="Arial"/>
                <w:bCs/>
                <w:sz w:val="20"/>
                <w:szCs w:val="20"/>
                <w:lang w:val="fr-FR"/>
              </w:rPr>
              <w:t>9.960</w:t>
            </w:r>
          </w:p>
        </w:tc>
        <w:tc>
          <w:tcPr>
            <w:tcW w:w="1571" w:type="pct"/>
            <w:vMerge/>
            <w:tcBorders>
              <w:left w:val="single" w:sz="4" w:space="0" w:color="auto"/>
              <w:bottom w:val="single" w:sz="4" w:space="0" w:color="auto"/>
              <w:right w:val="single" w:sz="4" w:space="0" w:color="auto"/>
            </w:tcBorders>
            <w:hideMark/>
          </w:tcPr>
          <w:p w14:paraId="77564AE9" w14:textId="77777777" w:rsidR="009A44F9" w:rsidRPr="004B3056" w:rsidRDefault="009A44F9" w:rsidP="00B72A95">
            <w:pPr>
              <w:spacing w:after="0" w:line="240" w:lineRule="auto"/>
              <w:jc w:val="left"/>
              <w:rPr>
                <w:rFonts w:eastAsia="Times New Roman" w:cs="Arial"/>
                <w:sz w:val="20"/>
                <w:szCs w:val="20"/>
                <w:lang w:val="fr-FR"/>
              </w:rPr>
            </w:pPr>
          </w:p>
        </w:tc>
      </w:tr>
      <w:tr w:rsidR="009A44F9" w:rsidRPr="004B3056" w14:paraId="1635265F" w14:textId="77777777" w:rsidTr="00B72A95">
        <w:trPr>
          <w:cantSplit/>
        </w:trPr>
        <w:tc>
          <w:tcPr>
            <w:tcW w:w="305" w:type="pct"/>
            <w:tcBorders>
              <w:top w:val="single" w:sz="4" w:space="0" w:color="auto"/>
              <w:left w:val="single" w:sz="4" w:space="0" w:color="auto"/>
              <w:bottom w:val="single" w:sz="4" w:space="0" w:color="auto"/>
              <w:right w:val="single" w:sz="4" w:space="0" w:color="auto"/>
            </w:tcBorders>
            <w:hideMark/>
          </w:tcPr>
          <w:p w14:paraId="3543578C" w14:textId="77777777" w:rsidR="009A44F9" w:rsidRPr="004B3056" w:rsidRDefault="009A44F9" w:rsidP="00B72A95">
            <w:pPr>
              <w:spacing w:after="0" w:line="240" w:lineRule="auto"/>
              <w:jc w:val="center"/>
              <w:rPr>
                <w:rFonts w:eastAsia="Times New Roman" w:cs="Arial"/>
                <w:b/>
                <w:sz w:val="20"/>
                <w:szCs w:val="20"/>
                <w:lang w:val="fr-ML"/>
              </w:rPr>
            </w:pPr>
            <w:r w:rsidRPr="004B3056">
              <w:rPr>
                <w:rFonts w:eastAsia="Times New Roman" w:cs="Arial"/>
                <w:b/>
                <w:sz w:val="20"/>
                <w:szCs w:val="20"/>
                <w:lang w:val="fr-ML"/>
              </w:rPr>
              <w:t>6</w:t>
            </w:r>
          </w:p>
          <w:p w14:paraId="73827684" w14:textId="77777777" w:rsidR="009A44F9" w:rsidRPr="004B3056" w:rsidRDefault="009A44F9" w:rsidP="00B72A95">
            <w:pPr>
              <w:spacing w:after="0" w:line="240" w:lineRule="auto"/>
              <w:jc w:val="center"/>
              <w:rPr>
                <w:rFonts w:eastAsia="Times New Roman" w:cs="Arial"/>
                <w:b/>
                <w:sz w:val="20"/>
                <w:szCs w:val="20"/>
                <w:lang w:val="fr-ML"/>
              </w:rPr>
            </w:pPr>
          </w:p>
        </w:tc>
        <w:tc>
          <w:tcPr>
            <w:tcW w:w="766" w:type="pct"/>
            <w:tcBorders>
              <w:top w:val="single" w:sz="4" w:space="0" w:color="auto"/>
              <w:left w:val="single" w:sz="4" w:space="0" w:color="auto"/>
              <w:bottom w:val="single" w:sz="4" w:space="0" w:color="auto"/>
              <w:right w:val="single" w:sz="4" w:space="0" w:color="auto"/>
            </w:tcBorders>
            <w:hideMark/>
          </w:tcPr>
          <w:p w14:paraId="6F098BEE" w14:textId="77777777" w:rsidR="009A44F9" w:rsidRPr="004B3056" w:rsidRDefault="009A44F9" w:rsidP="00B72A95">
            <w:pPr>
              <w:spacing w:after="0" w:line="240" w:lineRule="auto"/>
              <w:rPr>
                <w:rFonts w:eastAsia="Times New Roman" w:cs="Arial"/>
                <w:bCs/>
                <w:sz w:val="20"/>
                <w:szCs w:val="20"/>
                <w:lang w:val="fr-FR"/>
              </w:rPr>
            </w:pPr>
            <w:r w:rsidRPr="004B3056">
              <w:rPr>
                <w:rFonts w:eastAsia="Times New Roman" w:cs="Arial"/>
                <w:bCs/>
                <w:sz w:val="20"/>
                <w:szCs w:val="20"/>
                <w:lang w:val="fr-FR"/>
              </w:rPr>
              <w:t>Flawa</w:t>
            </w:r>
          </w:p>
        </w:tc>
        <w:tc>
          <w:tcPr>
            <w:tcW w:w="906" w:type="pct"/>
            <w:tcBorders>
              <w:top w:val="single" w:sz="4" w:space="0" w:color="auto"/>
              <w:left w:val="single" w:sz="4" w:space="0" w:color="auto"/>
              <w:bottom w:val="single" w:sz="4" w:space="0" w:color="auto"/>
              <w:right w:val="single" w:sz="4" w:space="0" w:color="auto"/>
            </w:tcBorders>
            <w:hideMark/>
          </w:tcPr>
          <w:p w14:paraId="5C4A0B8A" w14:textId="77777777" w:rsidR="009A44F9" w:rsidRPr="004B3056" w:rsidRDefault="009A44F9" w:rsidP="00B72A95">
            <w:pPr>
              <w:spacing w:after="0" w:line="240" w:lineRule="auto"/>
              <w:jc w:val="center"/>
              <w:rPr>
                <w:rFonts w:eastAsia="Times New Roman" w:cs="Arial"/>
                <w:bCs/>
                <w:sz w:val="20"/>
                <w:szCs w:val="20"/>
                <w:lang w:val="fr-FR"/>
              </w:rPr>
            </w:pPr>
            <w:r w:rsidRPr="004B3056">
              <w:rPr>
                <w:rFonts w:eastAsia="Times New Roman" w:cs="Arial"/>
                <w:bCs/>
                <w:sz w:val="20"/>
                <w:szCs w:val="20"/>
                <w:lang w:val="fr-FR"/>
              </w:rPr>
              <w:t>Zone d’intérêt Cynégétique</w:t>
            </w:r>
          </w:p>
        </w:tc>
        <w:tc>
          <w:tcPr>
            <w:tcW w:w="759" w:type="pct"/>
            <w:tcBorders>
              <w:top w:val="single" w:sz="4" w:space="0" w:color="auto"/>
              <w:left w:val="single" w:sz="4" w:space="0" w:color="auto"/>
              <w:bottom w:val="single" w:sz="4" w:space="0" w:color="auto"/>
              <w:right w:val="single" w:sz="4" w:space="0" w:color="auto"/>
            </w:tcBorders>
            <w:hideMark/>
          </w:tcPr>
          <w:p w14:paraId="1FA9A47F" w14:textId="77777777" w:rsidR="009A44F9" w:rsidRPr="004B3056" w:rsidRDefault="009A44F9" w:rsidP="00B72A95">
            <w:pPr>
              <w:spacing w:after="0" w:line="240" w:lineRule="auto"/>
              <w:jc w:val="left"/>
              <w:rPr>
                <w:rFonts w:eastAsia="Times New Roman" w:cs="Arial"/>
                <w:bCs/>
                <w:sz w:val="20"/>
                <w:szCs w:val="20"/>
                <w:lang w:val="fr-FR"/>
              </w:rPr>
            </w:pPr>
          </w:p>
          <w:p w14:paraId="4A185D2D" w14:textId="77777777" w:rsidR="009A44F9" w:rsidRPr="004B3056" w:rsidRDefault="009A44F9" w:rsidP="00B72A95">
            <w:pPr>
              <w:spacing w:after="0" w:line="240" w:lineRule="auto"/>
              <w:jc w:val="left"/>
              <w:rPr>
                <w:rFonts w:eastAsia="Times New Roman" w:cs="Arial"/>
                <w:bCs/>
                <w:sz w:val="20"/>
                <w:szCs w:val="20"/>
                <w:lang w:val="fr-FR"/>
              </w:rPr>
            </w:pPr>
            <w:r w:rsidRPr="004B3056">
              <w:rPr>
                <w:rFonts w:eastAsia="Times New Roman" w:cs="Arial"/>
                <w:bCs/>
                <w:sz w:val="20"/>
                <w:szCs w:val="20"/>
                <w:lang w:val="fr-FR"/>
              </w:rPr>
              <w:t>Bafoulabé</w:t>
            </w:r>
          </w:p>
        </w:tc>
        <w:tc>
          <w:tcPr>
            <w:tcW w:w="692" w:type="pct"/>
            <w:tcBorders>
              <w:top w:val="single" w:sz="4" w:space="0" w:color="auto"/>
              <w:left w:val="single" w:sz="4" w:space="0" w:color="auto"/>
              <w:bottom w:val="single" w:sz="4" w:space="0" w:color="auto"/>
              <w:right w:val="single" w:sz="4" w:space="0" w:color="auto"/>
            </w:tcBorders>
            <w:hideMark/>
          </w:tcPr>
          <w:p w14:paraId="23BB544D" w14:textId="77777777" w:rsidR="009A44F9" w:rsidRPr="004B3056" w:rsidRDefault="009A44F9" w:rsidP="00B72A95">
            <w:pPr>
              <w:spacing w:after="0" w:line="240" w:lineRule="auto"/>
              <w:jc w:val="right"/>
              <w:rPr>
                <w:rFonts w:eastAsia="Times New Roman" w:cs="Arial"/>
                <w:bCs/>
                <w:sz w:val="20"/>
                <w:szCs w:val="20"/>
                <w:lang w:val="fr-FR"/>
              </w:rPr>
            </w:pPr>
            <w:r w:rsidRPr="004B3056">
              <w:rPr>
                <w:rFonts w:eastAsia="Times New Roman" w:cs="Arial"/>
                <w:bCs/>
                <w:sz w:val="20"/>
                <w:szCs w:val="20"/>
                <w:lang w:val="fr-FR"/>
              </w:rPr>
              <w:t>73.940</w:t>
            </w:r>
          </w:p>
        </w:tc>
        <w:tc>
          <w:tcPr>
            <w:tcW w:w="1571" w:type="pct"/>
            <w:tcBorders>
              <w:top w:val="single" w:sz="4" w:space="0" w:color="auto"/>
              <w:left w:val="single" w:sz="4" w:space="0" w:color="auto"/>
              <w:bottom w:val="single" w:sz="4" w:space="0" w:color="auto"/>
              <w:right w:val="single" w:sz="4" w:space="0" w:color="auto"/>
            </w:tcBorders>
            <w:hideMark/>
          </w:tcPr>
          <w:p w14:paraId="649DD65A" w14:textId="77777777" w:rsidR="009A44F9" w:rsidRPr="004B3056" w:rsidRDefault="009A44F9" w:rsidP="00B72A95">
            <w:pPr>
              <w:spacing w:after="0" w:line="240" w:lineRule="auto"/>
              <w:jc w:val="left"/>
              <w:rPr>
                <w:rFonts w:eastAsia="Times New Roman" w:cs="Arial"/>
                <w:bCs/>
                <w:sz w:val="20"/>
                <w:szCs w:val="20"/>
                <w:lang w:val="fr-ML"/>
              </w:rPr>
            </w:pPr>
            <w:r w:rsidRPr="004B3056">
              <w:rPr>
                <w:rFonts w:eastAsia="Times New Roman" w:cs="Arial"/>
                <w:bCs/>
                <w:sz w:val="20"/>
                <w:szCs w:val="20"/>
                <w:lang w:val="fr-ML"/>
              </w:rPr>
              <w:t>Arrt N°04 -2764/ MEA- SG du 30/12//2004</w:t>
            </w:r>
          </w:p>
        </w:tc>
      </w:tr>
      <w:tr w:rsidR="009A44F9" w:rsidRPr="004B3056" w14:paraId="79904CDB" w14:textId="77777777" w:rsidTr="00B72A95">
        <w:trPr>
          <w:cantSplit/>
        </w:trPr>
        <w:tc>
          <w:tcPr>
            <w:tcW w:w="305" w:type="pct"/>
            <w:tcBorders>
              <w:top w:val="single" w:sz="4" w:space="0" w:color="auto"/>
              <w:left w:val="single" w:sz="4" w:space="0" w:color="auto"/>
              <w:bottom w:val="single" w:sz="4" w:space="0" w:color="auto"/>
              <w:right w:val="single" w:sz="4" w:space="0" w:color="auto"/>
            </w:tcBorders>
            <w:hideMark/>
          </w:tcPr>
          <w:p w14:paraId="100DBEAA" w14:textId="77777777" w:rsidR="009A44F9" w:rsidRPr="004B3056" w:rsidRDefault="009A44F9" w:rsidP="00B72A95">
            <w:pPr>
              <w:spacing w:after="0" w:line="240" w:lineRule="auto"/>
              <w:jc w:val="center"/>
              <w:rPr>
                <w:rFonts w:eastAsia="Times New Roman" w:cs="Arial"/>
                <w:b/>
                <w:sz w:val="20"/>
                <w:szCs w:val="20"/>
                <w:lang w:val="fr-ML"/>
              </w:rPr>
            </w:pPr>
            <w:r w:rsidRPr="004B3056">
              <w:rPr>
                <w:rFonts w:eastAsia="Times New Roman" w:cs="Arial"/>
                <w:b/>
                <w:sz w:val="20"/>
                <w:szCs w:val="20"/>
                <w:lang w:val="fr-ML"/>
              </w:rPr>
              <w:t>7</w:t>
            </w:r>
          </w:p>
          <w:p w14:paraId="7A58436A" w14:textId="77777777" w:rsidR="009A44F9" w:rsidRPr="004B3056" w:rsidRDefault="009A44F9" w:rsidP="00B72A95">
            <w:pPr>
              <w:spacing w:after="0" w:line="240" w:lineRule="auto"/>
              <w:jc w:val="center"/>
              <w:rPr>
                <w:rFonts w:eastAsia="Times New Roman" w:cs="Arial"/>
                <w:b/>
                <w:sz w:val="20"/>
                <w:szCs w:val="20"/>
                <w:lang w:val="fr-ML"/>
              </w:rPr>
            </w:pPr>
          </w:p>
        </w:tc>
        <w:tc>
          <w:tcPr>
            <w:tcW w:w="766" w:type="pct"/>
            <w:tcBorders>
              <w:top w:val="single" w:sz="4" w:space="0" w:color="auto"/>
              <w:left w:val="single" w:sz="4" w:space="0" w:color="auto"/>
              <w:bottom w:val="single" w:sz="4" w:space="0" w:color="auto"/>
              <w:right w:val="single" w:sz="4" w:space="0" w:color="auto"/>
            </w:tcBorders>
            <w:hideMark/>
          </w:tcPr>
          <w:p w14:paraId="271F3A89" w14:textId="77777777" w:rsidR="009A44F9" w:rsidRPr="004B3056" w:rsidRDefault="009A44F9" w:rsidP="00B72A95">
            <w:pPr>
              <w:spacing w:after="0" w:line="240" w:lineRule="auto"/>
              <w:rPr>
                <w:rFonts w:eastAsia="Times New Roman" w:cs="Arial"/>
                <w:bCs/>
                <w:sz w:val="20"/>
                <w:szCs w:val="20"/>
                <w:lang w:val="fr-FR"/>
              </w:rPr>
            </w:pPr>
            <w:r w:rsidRPr="004B3056">
              <w:rPr>
                <w:rFonts w:eastAsia="Times New Roman" w:cs="Arial"/>
                <w:bCs/>
                <w:sz w:val="20"/>
                <w:szCs w:val="20"/>
                <w:lang w:val="fr-FR"/>
              </w:rPr>
              <w:t>Faragama</w:t>
            </w:r>
          </w:p>
        </w:tc>
        <w:tc>
          <w:tcPr>
            <w:tcW w:w="906" w:type="pct"/>
            <w:tcBorders>
              <w:top w:val="single" w:sz="4" w:space="0" w:color="auto"/>
              <w:left w:val="single" w:sz="4" w:space="0" w:color="auto"/>
              <w:bottom w:val="single" w:sz="4" w:space="0" w:color="auto"/>
              <w:right w:val="single" w:sz="4" w:space="0" w:color="auto"/>
            </w:tcBorders>
            <w:hideMark/>
          </w:tcPr>
          <w:p w14:paraId="74156B83" w14:textId="77777777" w:rsidR="009A44F9" w:rsidRPr="004B3056" w:rsidRDefault="009A44F9" w:rsidP="00B72A95">
            <w:pPr>
              <w:spacing w:after="0" w:line="240" w:lineRule="auto"/>
              <w:jc w:val="center"/>
              <w:rPr>
                <w:rFonts w:eastAsia="Times New Roman" w:cs="Arial"/>
                <w:bCs/>
                <w:sz w:val="20"/>
                <w:szCs w:val="20"/>
                <w:lang w:val="fr-FR"/>
              </w:rPr>
            </w:pPr>
            <w:r w:rsidRPr="004B3056">
              <w:rPr>
                <w:rFonts w:eastAsia="Times New Roman" w:cs="Arial"/>
                <w:bCs/>
                <w:sz w:val="20"/>
                <w:szCs w:val="20"/>
                <w:lang w:val="fr-FR"/>
              </w:rPr>
              <w:t>Zone d’intérêt Cynégétique</w:t>
            </w:r>
          </w:p>
        </w:tc>
        <w:tc>
          <w:tcPr>
            <w:tcW w:w="759" w:type="pct"/>
            <w:tcBorders>
              <w:top w:val="single" w:sz="4" w:space="0" w:color="auto"/>
              <w:left w:val="single" w:sz="4" w:space="0" w:color="auto"/>
              <w:bottom w:val="single" w:sz="4" w:space="0" w:color="auto"/>
              <w:right w:val="single" w:sz="4" w:space="0" w:color="auto"/>
            </w:tcBorders>
            <w:hideMark/>
          </w:tcPr>
          <w:p w14:paraId="74CA874F" w14:textId="77777777" w:rsidR="009A44F9" w:rsidRPr="004B3056" w:rsidRDefault="009A44F9" w:rsidP="00B72A95">
            <w:pPr>
              <w:spacing w:after="0" w:line="240" w:lineRule="auto"/>
              <w:jc w:val="left"/>
              <w:rPr>
                <w:rFonts w:eastAsia="Times New Roman" w:cs="Arial"/>
                <w:bCs/>
                <w:sz w:val="20"/>
                <w:szCs w:val="20"/>
                <w:lang w:val="fr-FR"/>
              </w:rPr>
            </w:pPr>
            <w:r w:rsidRPr="004B3056">
              <w:rPr>
                <w:rFonts w:eastAsia="Times New Roman" w:cs="Arial"/>
                <w:bCs/>
                <w:sz w:val="20"/>
                <w:szCs w:val="20"/>
                <w:lang w:val="fr-FR"/>
              </w:rPr>
              <w:t>Kita</w:t>
            </w:r>
          </w:p>
        </w:tc>
        <w:tc>
          <w:tcPr>
            <w:tcW w:w="692" w:type="pct"/>
            <w:tcBorders>
              <w:top w:val="single" w:sz="4" w:space="0" w:color="auto"/>
              <w:left w:val="single" w:sz="4" w:space="0" w:color="auto"/>
              <w:bottom w:val="single" w:sz="4" w:space="0" w:color="auto"/>
              <w:right w:val="single" w:sz="4" w:space="0" w:color="auto"/>
            </w:tcBorders>
            <w:hideMark/>
          </w:tcPr>
          <w:p w14:paraId="18B5D252" w14:textId="77777777" w:rsidR="009A44F9" w:rsidRPr="004B3056" w:rsidRDefault="009A44F9" w:rsidP="00B72A95">
            <w:pPr>
              <w:spacing w:after="0" w:line="240" w:lineRule="auto"/>
              <w:jc w:val="right"/>
              <w:rPr>
                <w:rFonts w:eastAsia="Times New Roman" w:cs="Arial"/>
                <w:bCs/>
                <w:sz w:val="20"/>
                <w:szCs w:val="20"/>
                <w:lang w:val="fr-FR"/>
              </w:rPr>
            </w:pPr>
            <w:r w:rsidRPr="004B3056">
              <w:rPr>
                <w:rFonts w:eastAsia="Times New Roman" w:cs="Arial"/>
                <w:bCs/>
                <w:sz w:val="20"/>
                <w:szCs w:val="20"/>
                <w:lang w:val="fr-FR"/>
              </w:rPr>
              <w:t>32.657</w:t>
            </w:r>
          </w:p>
        </w:tc>
        <w:tc>
          <w:tcPr>
            <w:tcW w:w="1571" w:type="pct"/>
            <w:tcBorders>
              <w:top w:val="single" w:sz="4" w:space="0" w:color="auto"/>
              <w:left w:val="single" w:sz="4" w:space="0" w:color="auto"/>
              <w:bottom w:val="single" w:sz="4" w:space="0" w:color="auto"/>
              <w:right w:val="single" w:sz="4" w:space="0" w:color="auto"/>
            </w:tcBorders>
            <w:hideMark/>
          </w:tcPr>
          <w:p w14:paraId="12524791" w14:textId="77777777" w:rsidR="009A44F9" w:rsidRPr="004B3056" w:rsidRDefault="009A44F9" w:rsidP="00B72A95">
            <w:pPr>
              <w:spacing w:after="0" w:line="240" w:lineRule="auto"/>
              <w:jc w:val="left"/>
              <w:rPr>
                <w:rFonts w:eastAsia="Times New Roman" w:cs="Arial"/>
                <w:bCs/>
                <w:sz w:val="20"/>
                <w:szCs w:val="20"/>
                <w:lang w:val="fr-ML"/>
              </w:rPr>
            </w:pPr>
            <w:r w:rsidRPr="004B3056">
              <w:rPr>
                <w:rFonts w:eastAsia="Times New Roman" w:cs="Arial"/>
                <w:bCs/>
                <w:sz w:val="20"/>
                <w:szCs w:val="20"/>
                <w:lang w:val="fr-ML"/>
              </w:rPr>
              <w:t>Arrt N°2011 -1643/ MEA- SG du 09 Mai 2011</w:t>
            </w:r>
          </w:p>
        </w:tc>
      </w:tr>
      <w:tr w:rsidR="009A44F9" w:rsidRPr="004B3056" w14:paraId="03F5547A" w14:textId="77777777" w:rsidTr="00B72A95">
        <w:trPr>
          <w:cantSplit/>
        </w:trPr>
        <w:tc>
          <w:tcPr>
            <w:tcW w:w="2737" w:type="pct"/>
            <w:gridSpan w:val="4"/>
            <w:tcBorders>
              <w:top w:val="single" w:sz="4" w:space="0" w:color="auto"/>
              <w:left w:val="single" w:sz="4" w:space="0" w:color="auto"/>
              <w:bottom w:val="single" w:sz="4" w:space="0" w:color="auto"/>
              <w:right w:val="single" w:sz="4" w:space="0" w:color="auto"/>
            </w:tcBorders>
            <w:shd w:val="clear" w:color="auto" w:fill="FBD4B4"/>
            <w:hideMark/>
          </w:tcPr>
          <w:p w14:paraId="2FE15CD4" w14:textId="77777777" w:rsidR="009A44F9" w:rsidRPr="004B3056" w:rsidRDefault="009A44F9" w:rsidP="00B72A95">
            <w:pPr>
              <w:spacing w:after="0" w:line="240" w:lineRule="auto"/>
              <w:jc w:val="center"/>
              <w:rPr>
                <w:rFonts w:eastAsia="Times New Roman" w:cs="Arial"/>
                <w:b/>
                <w:sz w:val="20"/>
                <w:szCs w:val="20"/>
                <w:lang w:val="fr-FR"/>
              </w:rPr>
            </w:pPr>
            <w:r w:rsidRPr="004B3056">
              <w:rPr>
                <w:rFonts w:eastAsia="Times New Roman" w:cs="Arial"/>
                <w:b/>
                <w:sz w:val="20"/>
                <w:szCs w:val="20"/>
                <w:lang w:val="fr-FR"/>
              </w:rPr>
              <w:t>TOTAL</w:t>
            </w:r>
          </w:p>
        </w:tc>
        <w:tc>
          <w:tcPr>
            <w:tcW w:w="692" w:type="pct"/>
            <w:tcBorders>
              <w:top w:val="single" w:sz="4" w:space="0" w:color="auto"/>
              <w:left w:val="single" w:sz="4" w:space="0" w:color="auto"/>
              <w:bottom w:val="single" w:sz="4" w:space="0" w:color="auto"/>
              <w:right w:val="single" w:sz="4" w:space="0" w:color="auto"/>
            </w:tcBorders>
            <w:shd w:val="clear" w:color="auto" w:fill="FBD4B4"/>
            <w:hideMark/>
          </w:tcPr>
          <w:p w14:paraId="73B300D0" w14:textId="77777777" w:rsidR="009A44F9" w:rsidRPr="004B3056" w:rsidRDefault="009A44F9" w:rsidP="00B72A95">
            <w:pPr>
              <w:spacing w:after="0" w:line="240" w:lineRule="auto"/>
              <w:jc w:val="right"/>
              <w:rPr>
                <w:rFonts w:eastAsia="Times New Roman" w:cs="Arial"/>
                <w:b/>
                <w:sz w:val="20"/>
                <w:szCs w:val="20"/>
                <w:lang w:val="fr-FR"/>
              </w:rPr>
            </w:pPr>
            <w:r w:rsidRPr="004B3056">
              <w:rPr>
                <w:rFonts w:eastAsia="Times New Roman" w:cs="Arial"/>
                <w:b/>
                <w:sz w:val="20"/>
                <w:szCs w:val="20"/>
                <w:lang w:val="fr-FR"/>
              </w:rPr>
              <w:t>376 806</w:t>
            </w:r>
          </w:p>
        </w:tc>
        <w:tc>
          <w:tcPr>
            <w:tcW w:w="1571" w:type="pct"/>
            <w:tcBorders>
              <w:top w:val="single" w:sz="4" w:space="0" w:color="auto"/>
              <w:left w:val="single" w:sz="4" w:space="0" w:color="auto"/>
              <w:bottom w:val="single" w:sz="4" w:space="0" w:color="auto"/>
              <w:right w:val="single" w:sz="4" w:space="0" w:color="auto"/>
            </w:tcBorders>
            <w:shd w:val="clear" w:color="auto" w:fill="FBD4B4"/>
          </w:tcPr>
          <w:p w14:paraId="35331690" w14:textId="77777777" w:rsidR="009A44F9" w:rsidRPr="004B3056" w:rsidRDefault="009A44F9" w:rsidP="00B72A95">
            <w:pPr>
              <w:spacing w:after="0" w:line="240" w:lineRule="auto"/>
              <w:jc w:val="left"/>
              <w:rPr>
                <w:rFonts w:eastAsia="Times New Roman" w:cs="Arial"/>
                <w:bCs/>
                <w:sz w:val="20"/>
                <w:szCs w:val="20"/>
                <w:lang w:val="fr-FR"/>
              </w:rPr>
            </w:pPr>
          </w:p>
        </w:tc>
      </w:tr>
    </w:tbl>
    <w:p w14:paraId="75B68EB4" w14:textId="77777777" w:rsidR="009A44F9" w:rsidRPr="004B3056" w:rsidRDefault="009A44F9" w:rsidP="009A44F9">
      <w:pPr>
        <w:spacing w:after="0" w:line="240" w:lineRule="auto"/>
        <w:jc w:val="left"/>
        <w:rPr>
          <w:rFonts w:eastAsia="Times New Roman" w:cs="Times New Roman"/>
          <w:sz w:val="20"/>
          <w:szCs w:val="20"/>
          <w:lang w:val="fr-FR" w:eastAsia="fr-FR"/>
        </w:rPr>
      </w:pPr>
      <w:r w:rsidRPr="004B3056">
        <w:rPr>
          <w:rFonts w:eastAsia="Times New Roman" w:cs="Arial"/>
          <w:b/>
          <w:sz w:val="20"/>
          <w:szCs w:val="20"/>
          <w:u w:val="single"/>
          <w:lang w:val="fr-FR" w:eastAsia="fr-FR"/>
        </w:rPr>
        <w:t xml:space="preserve">NB : </w:t>
      </w:r>
      <w:r w:rsidRPr="004B3056">
        <w:rPr>
          <w:rFonts w:eastAsia="Times New Roman" w:cs="Times New Roman"/>
          <w:sz w:val="20"/>
          <w:szCs w:val="20"/>
          <w:lang w:val="fr-FR"/>
        </w:rPr>
        <w:t xml:space="preserve">La </w:t>
      </w:r>
      <w:r w:rsidRPr="004B3056">
        <w:rPr>
          <w:rFonts w:eastAsia="Times New Roman" w:cs="Times New Roman"/>
          <w:sz w:val="20"/>
          <w:szCs w:val="20"/>
          <w:lang w:val="fr-FR" w:eastAsia="fr-FR"/>
        </w:rPr>
        <w:t xml:space="preserve">zone d’intérêt cynégétique de Tomota-Kourou du cercle de Kayes d’une superficie de </w:t>
      </w:r>
      <w:r w:rsidRPr="004B3056">
        <w:rPr>
          <w:rFonts w:eastAsia="Times New Roman" w:cs="Times New Roman"/>
          <w:b/>
          <w:sz w:val="20"/>
          <w:szCs w:val="20"/>
          <w:lang w:val="fr-FR" w:eastAsia="fr-FR"/>
        </w:rPr>
        <w:t>38 321 ha</w:t>
      </w:r>
      <w:r w:rsidRPr="004B3056">
        <w:rPr>
          <w:rFonts w:eastAsia="Times New Roman" w:cs="Times New Roman"/>
          <w:sz w:val="20"/>
          <w:szCs w:val="20"/>
          <w:lang w:val="fr-FR" w:eastAsia="fr-FR"/>
        </w:rPr>
        <w:t xml:space="preserve"> a son </w:t>
      </w:r>
      <w:r w:rsidR="00C83806" w:rsidRPr="004B3056">
        <w:rPr>
          <w:rFonts w:eastAsia="Times New Roman" w:cs="Times New Roman"/>
          <w:sz w:val="20"/>
          <w:szCs w:val="20"/>
          <w:lang w:val="fr-FR" w:eastAsia="fr-FR"/>
        </w:rPr>
        <w:t>dossier de</w:t>
      </w:r>
      <w:r w:rsidRPr="004B3056">
        <w:rPr>
          <w:rFonts w:eastAsia="Times New Roman" w:cs="Times New Roman"/>
          <w:sz w:val="20"/>
          <w:szCs w:val="20"/>
          <w:lang w:val="fr-FR" w:eastAsia="fr-FR"/>
        </w:rPr>
        <w:t xml:space="preserve"> création constitué et l’arrêté </w:t>
      </w:r>
      <w:r w:rsidR="00C83806" w:rsidRPr="004B3056">
        <w:rPr>
          <w:rFonts w:eastAsia="Times New Roman" w:cs="Times New Roman"/>
          <w:sz w:val="20"/>
          <w:szCs w:val="20"/>
          <w:lang w:val="fr-FR" w:eastAsia="fr-FR"/>
        </w:rPr>
        <w:t xml:space="preserve">est </w:t>
      </w:r>
      <w:r w:rsidRPr="004B3056">
        <w:rPr>
          <w:rFonts w:eastAsia="Times New Roman" w:cs="Times New Roman"/>
          <w:sz w:val="20"/>
          <w:szCs w:val="20"/>
          <w:lang w:val="fr-FR" w:eastAsia="fr-FR"/>
        </w:rPr>
        <w:t xml:space="preserve">en cours. </w:t>
      </w:r>
    </w:p>
    <w:p w14:paraId="778D8D0B" w14:textId="77777777" w:rsidR="009A44F9" w:rsidRPr="004B3056" w:rsidRDefault="009A44F9" w:rsidP="009A44F9">
      <w:pPr>
        <w:spacing w:after="0" w:line="240" w:lineRule="auto"/>
        <w:jc w:val="left"/>
        <w:rPr>
          <w:rFonts w:eastAsia="Times New Roman" w:cs="Times New Roman"/>
          <w:sz w:val="20"/>
          <w:szCs w:val="20"/>
          <w:lang w:val="fr-FR" w:eastAsia="fr-FR"/>
        </w:rPr>
      </w:pPr>
      <w:r w:rsidRPr="004B3056">
        <w:rPr>
          <w:rFonts w:eastAsia="Times New Roman" w:cs="Times New Roman"/>
          <w:sz w:val="20"/>
          <w:szCs w:val="20"/>
          <w:lang w:val="fr-FR" w:eastAsia="fr-FR"/>
        </w:rPr>
        <w:t xml:space="preserve">Le ranch de repeuplement de la Falémé </w:t>
      </w:r>
      <w:r w:rsidR="00C83806" w:rsidRPr="004B3056">
        <w:rPr>
          <w:rFonts w:eastAsia="Times New Roman" w:cs="Times New Roman"/>
          <w:sz w:val="20"/>
          <w:szCs w:val="20"/>
          <w:lang w:val="fr-FR" w:eastAsia="fr-FR"/>
        </w:rPr>
        <w:t>(</w:t>
      </w:r>
      <w:r w:rsidRPr="004B3056">
        <w:rPr>
          <w:rFonts w:eastAsia="Times New Roman" w:cs="Times New Roman"/>
          <w:sz w:val="20"/>
          <w:szCs w:val="20"/>
          <w:lang w:val="fr-FR" w:eastAsia="fr-FR"/>
        </w:rPr>
        <w:t>cercle de Kayes</w:t>
      </w:r>
      <w:r w:rsidR="00C83806" w:rsidRPr="004B3056">
        <w:rPr>
          <w:rFonts w:eastAsia="Times New Roman" w:cs="Times New Roman"/>
          <w:sz w:val="20"/>
          <w:szCs w:val="20"/>
          <w:lang w:val="fr-FR" w:eastAsia="fr-FR"/>
        </w:rPr>
        <w:t>)</w:t>
      </w:r>
      <w:r w:rsidRPr="004B3056">
        <w:rPr>
          <w:rFonts w:eastAsia="Times New Roman" w:cs="Times New Roman"/>
          <w:sz w:val="20"/>
          <w:szCs w:val="20"/>
          <w:lang w:val="fr-FR" w:eastAsia="fr-FR"/>
        </w:rPr>
        <w:t xml:space="preserve"> de </w:t>
      </w:r>
      <w:r w:rsidRPr="004B3056">
        <w:rPr>
          <w:rFonts w:eastAsia="Times New Roman" w:cs="Times New Roman"/>
          <w:b/>
          <w:sz w:val="20"/>
          <w:szCs w:val="20"/>
          <w:lang w:val="fr-FR" w:eastAsia="fr-FR"/>
        </w:rPr>
        <w:t>1 500 ha</w:t>
      </w:r>
      <w:r w:rsidRPr="004B3056">
        <w:rPr>
          <w:rFonts w:eastAsia="Times New Roman" w:cs="Times New Roman"/>
          <w:sz w:val="20"/>
          <w:szCs w:val="20"/>
          <w:lang w:val="fr-FR" w:eastAsia="fr-FR"/>
        </w:rPr>
        <w:t xml:space="preserve"> est en projet.</w:t>
      </w:r>
    </w:p>
    <w:p w14:paraId="0C68D05E" w14:textId="77777777" w:rsidR="009A44F9" w:rsidRPr="004B3056" w:rsidRDefault="009A44F9" w:rsidP="009A44F9">
      <w:pPr>
        <w:spacing w:after="0" w:line="240" w:lineRule="auto"/>
        <w:jc w:val="left"/>
        <w:rPr>
          <w:rFonts w:eastAsia="Times New Roman" w:cs="Times New Roman"/>
          <w:sz w:val="20"/>
          <w:szCs w:val="20"/>
          <w:lang w:val="fr-FR" w:eastAsia="fr-FR"/>
        </w:rPr>
      </w:pPr>
      <w:r w:rsidRPr="004B3056">
        <w:rPr>
          <w:rFonts w:eastAsia="Times New Roman" w:cs="Times New Roman"/>
          <w:sz w:val="20"/>
          <w:szCs w:val="20"/>
          <w:lang w:val="fr-FR" w:eastAsia="fr-FR"/>
        </w:rPr>
        <w:t>La  réserve de faune de la Falémé cercle de  Kéniéba est en projet.</w:t>
      </w:r>
    </w:p>
    <w:p w14:paraId="2C0E52E2" w14:textId="77777777" w:rsidR="009A44F9" w:rsidRPr="004B3056" w:rsidRDefault="009A44F9" w:rsidP="009A44F9">
      <w:pPr>
        <w:spacing w:after="0" w:line="240" w:lineRule="auto"/>
        <w:jc w:val="center"/>
        <w:rPr>
          <w:rFonts w:eastAsia="Times New Roman" w:cs="Arial"/>
          <w:b/>
          <w:sz w:val="20"/>
          <w:szCs w:val="20"/>
          <w:u w:val="single"/>
          <w:lang w:val="fr-FR" w:eastAsia="fr-FR"/>
        </w:rPr>
      </w:pPr>
    </w:p>
    <w:p w14:paraId="3C8E6C70" w14:textId="77777777" w:rsidR="009A44F9" w:rsidRPr="004B3056" w:rsidRDefault="009A44F9" w:rsidP="009A44F9">
      <w:pPr>
        <w:spacing w:after="0" w:line="240" w:lineRule="auto"/>
        <w:jc w:val="center"/>
        <w:rPr>
          <w:rFonts w:eastAsia="Times New Roman" w:cs="Arial"/>
          <w:b/>
          <w:sz w:val="20"/>
          <w:szCs w:val="20"/>
          <w:lang w:val="fr-FR" w:eastAsia="fr-FR"/>
        </w:rPr>
      </w:pPr>
      <w:r w:rsidRPr="004B3056">
        <w:rPr>
          <w:rFonts w:eastAsia="Times New Roman" w:cs="Arial"/>
          <w:b/>
          <w:sz w:val="20"/>
          <w:szCs w:val="20"/>
          <w:lang w:val="fr-FR" w:eastAsia="fr-FR"/>
        </w:rPr>
        <w:t>REGION DE KOULIKORO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9"/>
        <w:gridCol w:w="1654"/>
        <w:gridCol w:w="1837"/>
        <w:gridCol w:w="1654"/>
        <w:gridCol w:w="1478"/>
        <w:gridCol w:w="2895"/>
      </w:tblGrid>
      <w:tr w:rsidR="009A44F9" w:rsidRPr="004B3056" w14:paraId="68D49B37" w14:textId="77777777" w:rsidTr="00B72A95">
        <w:trPr>
          <w:cantSplit/>
          <w:trHeight w:val="638"/>
        </w:trPr>
        <w:tc>
          <w:tcPr>
            <w:tcW w:w="305" w:type="pct"/>
            <w:tcBorders>
              <w:top w:val="single" w:sz="4" w:space="0" w:color="auto"/>
              <w:left w:val="single" w:sz="4" w:space="0" w:color="auto"/>
              <w:bottom w:val="single" w:sz="4" w:space="0" w:color="auto"/>
              <w:right w:val="single" w:sz="4" w:space="0" w:color="auto"/>
            </w:tcBorders>
            <w:shd w:val="clear" w:color="auto" w:fill="DDD9C3"/>
            <w:hideMark/>
          </w:tcPr>
          <w:p w14:paraId="3EE2D157" w14:textId="77777777" w:rsidR="009A44F9" w:rsidRPr="004B3056" w:rsidRDefault="009A44F9" w:rsidP="00B72A95">
            <w:pPr>
              <w:spacing w:after="0" w:line="240" w:lineRule="auto"/>
              <w:jc w:val="center"/>
              <w:rPr>
                <w:rFonts w:eastAsia="Times New Roman" w:cs="Arial"/>
                <w:b/>
                <w:sz w:val="20"/>
                <w:szCs w:val="20"/>
                <w:lang w:val="fr-FR"/>
              </w:rPr>
            </w:pPr>
            <w:r w:rsidRPr="004B3056">
              <w:rPr>
                <w:rFonts w:eastAsia="Times New Roman" w:cs="Arial"/>
                <w:b/>
                <w:sz w:val="20"/>
                <w:szCs w:val="20"/>
                <w:lang w:val="fr-FR"/>
              </w:rPr>
              <w:t>N°</w:t>
            </w:r>
          </w:p>
        </w:tc>
        <w:tc>
          <w:tcPr>
            <w:tcW w:w="816" w:type="pct"/>
            <w:tcBorders>
              <w:top w:val="single" w:sz="4" w:space="0" w:color="auto"/>
              <w:left w:val="single" w:sz="4" w:space="0" w:color="auto"/>
              <w:bottom w:val="single" w:sz="4" w:space="0" w:color="auto"/>
              <w:right w:val="single" w:sz="4" w:space="0" w:color="auto"/>
            </w:tcBorders>
            <w:shd w:val="clear" w:color="auto" w:fill="DDD9C3"/>
          </w:tcPr>
          <w:p w14:paraId="1E85C97B" w14:textId="77777777" w:rsidR="009A44F9" w:rsidRPr="004B3056" w:rsidRDefault="009A44F9" w:rsidP="00B72A95">
            <w:pPr>
              <w:spacing w:after="0" w:line="240" w:lineRule="auto"/>
              <w:jc w:val="center"/>
              <w:rPr>
                <w:rFonts w:eastAsia="Times New Roman" w:cs="Arial"/>
                <w:b/>
                <w:sz w:val="20"/>
                <w:szCs w:val="20"/>
                <w:lang w:val="fr-FR"/>
              </w:rPr>
            </w:pPr>
            <w:r w:rsidRPr="004B3056">
              <w:rPr>
                <w:rFonts w:eastAsia="Times New Roman" w:cs="Arial"/>
                <w:b/>
                <w:sz w:val="20"/>
                <w:szCs w:val="20"/>
                <w:lang w:val="fr-FR"/>
              </w:rPr>
              <w:t>Désignation</w:t>
            </w:r>
          </w:p>
          <w:p w14:paraId="0D8F231E" w14:textId="77777777" w:rsidR="009A44F9" w:rsidRPr="004B3056" w:rsidRDefault="009A44F9" w:rsidP="00B72A95">
            <w:pPr>
              <w:spacing w:after="0" w:line="240" w:lineRule="auto"/>
              <w:rPr>
                <w:rFonts w:eastAsia="Times New Roman" w:cs="Arial"/>
                <w:sz w:val="20"/>
                <w:szCs w:val="20"/>
                <w:lang w:val="fr-ML"/>
              </w:rPr>
            </w:pPr>
          </w:p>
        </w:tc>
        <w:tc>
          <w:tcPr>
            <w:tcW w:w="906" w:type="pct"/>
            <w:tcBorders>
              <w:top w:val="single" w:sz="4" w:space="0" w:color="auto"/>
              <w:left w:val="single" w:sz="4" w:space="0" w:color="auto"/>
              <w:bottom w:val="single" w:sz="4" w:space="0" w:color="auto"/>
              <w:right w:val="single" w:sz="4" w:space="0" w:color="auto"/>
            </w:tcBorders>
            <w:shd w:val="clear" w:color="auto" w:fill="DDD9C3"/>
          </w:tcPr>
          <w:p w14:paraId="4742E88D" w14:textId="77777777" w:rsidR="009A44F9" w:rsidRPr="004B3056" w:rsidRDefault="009A44F9" w:rsidP="00B72A95">
            <w:pPr>
              <w:spacing w:after="0" w:line="240" w:lineRule="auto"/>
              <w:jc w:val="center"/>
              <w:outlineLvl w:val="6"/>
              <w:rPr>
                <w:rFonts w:ascii="Times New Roman" w:eastAsia="Times New Roman" w:hAnsi="Times New Roman" w:cs="Times New Roman"/>
                <w:b/>
                <w:sz w:val="20"/>
                <w:szCs w:val="20"/>
                <w:lang w:val="fr-FR"/>
              </w:rPr>
            </w:pPr>
            <w:r w:rsidRPr="004B3056">
              <w:rPr>
                <w:rFonts w:ascii="Times New Roman" w:eastAsia="Times New Roman" w:hAnsi="Times New Roman" w:cs="Times New Roman"/>
                <w:b/>
                <w:sz w:val="20"/>
                <w:szCs w:val="20"/>
                <w:lang w:val="fr-FR"/>
              </w:rPr>
              <w:t>Statut</w:t>
            </w:r>
          </w:p>
          <w:p w14:paraId="6CE03AF8" w14:textId="77777777" w:rsidR="009A44F9" w:rsidRPr="004B3056" w:rsidRDefault="009A44F9" w:rsidP="00B72A95">
            <w:pPr>
              <w:spacing w:after="0" w:line="240" w:lineRule="auto"/>
              <w:rPr>
                <w:rFonts w:eastAsia="Times New Roman" w:cs="Arial"/>
                <w:b/>
                <w:sz w:val="20"/>
                <w:szCs w:val="20"/>
                <w:lang w:val="fr-FR"/>
              </w:rPr>
            </w:pPr>
          </w:p>
        </w:tc>
        <w:tc>
          <w:tcPr>
            <w:tcW w:w="816" w:type="pct"/>
            <w:tcBorders>
              <w:top w:val="single" w:sz="4" w:space="0" w:color="auto"/>
              <w:left w:val="single" w:sz="4" w:space="0" w:color="auto"/>
              <w:bottom w:val="single" w:sz="4" w:space="0" w:color="auto"/>
              <w:right w:val="single" w:sz="4" w:space="0" w:color="auto"/>
            </w:tcBorders>
            <w:shd w:val="clear" w:color="auto" w:fill="DDD9C3"/>
            <w:hideMark/>
          </w:tcPr>
          <w:p w14:paraId="71431C73" w14:textId="77777777" w:rsidR="009A44F9" w:rsidRPr="004B3056" w:rsidRDefault="009A44F9" w:rsidP="00B72A95">
            <w:pPr>
              <w:spacing w:after="0" w:line="240" w:lineRule="auto"/>
              <w:jc w:val="center"/>
              <w:rPr>
                <w:rFonts w:eastAsia="Times New Roman" w:cs="Arial"/>
                <w:b/>
                <w:sz w:val="20"/>
                <w:szCs w:val="20"/>
                <w:lang w:val="fr-FR"/>
              </w:rPr>
            </w:pPr>
            <w:r w:rsidRPr="004B3056">
              <w:rPr>
                <w:rFonts w:eastAsia="Times New Roman" w:cs="Arial"/>
                <w:b/>
                <w:sz w:val="20"/>
                <w:szCs w:val="20"/>
                <w:lang w:val="fr-FR"/>
              </w:rPr>
              <w:t>Localisation</w:t>
            </w:r>
          </w:p>
        </w:tc>
        <w:tc>
          <w:tcPr>
            <w:tcW w:w="729" w:type="pct"/>
            <w:tcBorders>
              <w:top w:val="single" w:sz="4" w:space="0" w:color="auto"/>
              <w:left w:val="single" w:sz="4" w:space="0" w:color="auto"/>
              <w:bottom w:val="single" w:sz="4" w:space="0" w:color="auto"/>
              <w:right w:val="single" w:sz="4" w:space="0" w:color="auto"/>
            </w:tcBorders>
            <w:shd w:val="clear" w:color="auto" w:fill="DDD9C3"/>
            <w:hideMark/>
          </w:tcPr>
          <w:p w14:paraId="36A75865" w14:textId="77777777" w:rsidR="009A44F9" w:rsidRPr="004B3056" w:rsidRDefault="009A44F9" w:rsidP="00B72A95">
            <w:pPr>
              <w:spacing w:after="0" w:line="240" w:lineRule="auto"/>
              <w:jc w:val="center"/>
              <w:rPr>
                <w:rFonts w:eastAsia="Times New Roman" w:cs="Arial"/>
                <w:b/>
                <w:sz w:val="20"/>
                <w:szCs w:val="20"/>
                <w:lang w:val="fr-FR"/>
              </w:rPr>
            </w:pPr>
            <w:r w:rsidRPr="004B3056">
              <w:rPr>
                <w:rFonts w:eastAsia="Times New Roman" w:cs="Arial"/>
                <w:b/>
                <w:sz w:val="20"/>
                <w:szCs w:val="20"/>
                <w:lang w:val="fr-FR"/>
              </w:rPr>
              <w:t>Superficie</w:t>
            </w:r>
          </w:p>
          <w:p w14:paraId="4CF6F4D4" w14:textId="77777777" w:rsidR="009A44F9" w:rsidRPr="004B3056" w:rsidRDefault="009A44F9" w:rsidP="00B72A95">
            <w:pPr>
              <w:spacing w:after="0" w:line="240" w:lineRule="auto"/>
              <w:jc w:val="center"/>
              <w:rPr>
                <w:rFonts w:eastAsia="Times New Roman" w:cs="Arial"/>
                <w:b/>
                <w:sz w:val="20"/>
                <w:szCs w:val="20"/>
                <w:lang w:val="fr-FR"/>
              </w:rPr>
            </w:pPr>
            <w:r w:rsidRPr="004B3056">
              <w:rPr>
                <w:rFonts w:eastAsia="Times New Roman" w:cs="Arial"/>
                <w:b/>
                <w:sz w:val="20"/>
                <w:szCs w:val="20"/>
                <w:lang w:val="fr-FR"/>
              </w:rPr>
              <w:t>(ha)</w:t>
            </w:r>
          </w:p>
        </w:tc>
        <w:tc>
          <w:tcPr>
            <w:tcW w:w="1428" w:type="pct"/>
            <w:tcBorders>
              <w:top w:val="single" w:sz="4" w:space="0" w:color="auto"/>
              <w:left w:val="single" w:sz="4" w:space="0" w:color="auto"/>
              <w:bottom w:val="single" w:sz="4" w:space="0" w:color="auto"/>
              <w:right w:val="single" w:sz="4" w:space="0" w:color="auto"/>
            </w:tcBorders>
            <w:shd w:val="clear" w:color="auto" w:fill="DDD9C3"/>
            <w:hideMark/>
          </w:tcPr>
          <w:p w14:paraId="391B5690" w14:textId="77777777" w:rsidR="009A44F9" w:rsidRPr="004B3056" w:rsidRDefault="009A44F9" w:rsidP="00B72A95">
            <w:pPr>
              <w:spacing w:after="0" w:line="240" w:lineRule="auto"/>
              <w:jc w:val="center"/>
              <w:rPr>
                <w:rFonts w:eastAsia="Times New Roman" w:cs="Arial"/>
                <w:b/>
                <w:sz w:val="20"/>
                <w:szCs w:val="20"/>
                <w:lang w:val="fr-FR"/>
              </w:rPr>
            </w:pPr>
            <w:r w:rsidRPr="004B3056">
              <w:rPr>
                <w:rFonts w:eastAsia="Times New Roman" w:cs="Arial"/>
                <w:b/>
                <w:sz w:val="20"/>
                <w:szCs w:val="20"/>
                <w:lang w:val="fr-FR"/>
              </w:rPr>
              <w:t>Référence</w:t>
            </w:r>
          </w:p>
        </w:tc>
      </w:tr>
      <w:tr w:rsidR="009A44F9" w:rsidRPr="004B3056" w14:paraId="619CA96A" w14:textId="77777777" w:rsidTr="00B72A95">
        <w:trPr>
          <w:cantSplit/>
          <w:trHeight w:val="20"/>
        </w:trPr>
        <w:tc>
          <w:tcPr>
            <w:tcW w:w="305" w:type="pct"/>
            <w:tcBorders>
              <w:top w:val="single" w:sz="4" w:space="0" w:color="auto"/>
              <w:left w:val="single" w:sz="4" w:space="0" w:color="auto"/>
              <w:bottom w:val="single" w:sz="4" w:space="0" w:color="auto"/>
              <w:right w:val="single" w:sz="4" w:space="0" w:color="auto"/>
            </w:tcBorders>
            <w:hideMark/>
          </w:tcPr>
          <w:p w14:paraId="3F538311" w14:textId="77777777" w:rsidR="009A44F9" w:rsidRPr="004B3056" w:rsidRDefault="009A44F9" w:rsidP="00B72A95">
            <w:pPr>
              <w:spacing w:after="0" w:line="240" w:lineRule="auto"/>
              <w:jc w:val="center"/>
              <w:rPr>
                <w:rFonts w:eastAsia="Times New Roman" w:cs="Arial"/>
                <w:b/>
                <w:sz w:val="20"/>
                <w:szCs w:val="20"/>
                <w:lang w:val="fr-FR"/>
              </w:rPr>
            </w:pPr>
            <w:r w:rsidRPr="004B3056">
              <w:rPr>
                <w:rFonts w:eastAsia="Times New Roman" w:cs="Arial"/>
                <w:b/>
                <w:sz w:val="20"/>
                <w:szCs w:val="20"/>
                <w:lang w:val="fr-FR"/>
              </w:rPr>
              <w:t>1</w:t>
            </w:r>
          </w:p>
        </w:tc>
        <w:tc>
          <w:tcPr>
            <w:tcW w:w="816" w:type="pct"/>
            <w:tcBorders>
              <w:top w:val="single" w:sz="4" w:space="0" w:color="auto"/>
              <w:left w:val="single" w:sz="4" w:space="0" w:color="auto"/>
              <w:bottom w:val="single" w:sz="4" w:space="0" w:color="auto"/>
              <w:right w:val="single" w:sz="4" w:space="0" w:color="auto"/>
            </w:tcBorders>
            <w:hideMark/>
          </w:tcPr>
          <w:p w14:paraId="01D80736" w14:textId="77777777" w:rsidR="009A44F9" w:rsidRPr="004B3056" w:rsidRDefault="009A44F9" w:rsidP="00B72A95">
            <w:pPr>
              <w:spacing w:after="0" w:line="240" w:lineRule="auto"/>
              <w:rPr>
                <w:rFonts w:eastAsia="Times New Roman" w:cs="Arial"/>
                <w:bCs/>
                <w:sz w:val="20"/>
                <w:szCs w:val="20"/>
                <w:lang w:val="fr-ML"/>
              </w:rPr>
            </w:pPr>
            <w:r w:rsidRPr="004B3056">
              <w:rPr>
                <w:rFonts w:eastAsia="Times New Roman" w:cs="Arial"/>
                <w:bCs/>
                <w:sz w:val="20"/>
                <w:szCs w:val="20"/>
                <w:lang w:val="fr-ML"/>
              </w:rPr>
              <w:t>Sounsan</w:t>
            </w:r>
          </w:p>
        </w:tc>
        <w:tc>
          <w:tcPr>
            <w:tcW w:w="906" w:type="pct"/>
            <w:tcBorders>
              <w:top w:val="single" w:sz="4" w:space="0" w:color="auto"/>
              <w:left w:val="single" w:sz="4" w:space="0" w:color="auto"/>
              <w:bottom w:val="single" w:sz="4" w:space="0" w:color="auto"/>
              <w:right w:val="single" w:sz="4" w:space="0" w:color="auto"/>
            </w:tcBorders>
            <w:hideMark/>
          </w:tcPr>
          <w:p w14:paraId="57994289" w14:textId="77777777" w:rsidR="009A44F9" w:rsidRPr="004B3056" w:rsidRDefault="009A44F9" w:rsidP="00B72A95">
            <w:pPr>
              <w:spacing w:after="0" w:line="240" w:lineRule="auto"/>
              <w:jc w:val="center"/>
              <w:rPr>
                <w:rFonts w:eastAsia="Times New Roman" w:cs="Arial"/>
                <w:bCs/>
                <w:sz w:val="20"/>
                <w:szCs w:val="20"/>
                <w:lang w:val="fr-FR"/>
              </w:rPr>
            </w:pPr>
            <w:r w:rsidRPr="004B3056">
              <w:rPr>
                <w:rFonts w:eastAsia="Times New Roman" w:cs="Arial"/>
                <w:sz w:val="20"/>
                <w:szCs w:val="20"/>
                <w:lang w:val="fr-FR"/>
              </w:rPr>
              <w:t>Réserve Totale Faune</w:t>
            </w:r>
          </w:p>
        </w:tc>
        <w:tc>
          <w:tcPr>
            <w:tcW w:w="816" w:type="pct"/>
            <w:tcBorders>
              <w:top w:val="single" w:sz="4" w:space="0" w:color="auto"/>
              <w:left w:val="single" w:sz="4" w:space="0" w:color="auto"/>
              <w:bottom w:val="single" w:sz="4" w:space="0" w:color="auto"/>
              <w:right w:val="single" w:sz="4" w:space="0" w:color="auto"/>
            </w:tcBorders>
            <w:hideMark/>
          </w:tcPr>
          <w:p w14:paraId="2D9A6A26" w14:textId="77777777" w:rsidR="009A44F9" w:rsidRPr="004B3056" w:rsidRDefault="009A44F9" w:rsidP="00B72A95">
            <w:pPr>
              <w:spacing w:after="0" w:line="240" w:lineRule="auto"/>
              <w:jc w:val="left"/>
              <w:rPr>
                <w:rFonts w:eastAsia="Times New Roman" w:cs="Arial"/>
                <w:bCs/>
                <w:sz w:val="20"/>
                <w:szCs w:val="20"/>
                <w:lang w:val="fr-FR"/>
              </w:rPr>
            </w:pPr>
            <w:r w:rsidRPr="004B3056">
              <w:rPr>
                <w:rFonts w:eastAsia="Times New Roman" w:cs="Arial"/>
                <w:bCs/>
                <w:sz w:val="20"/>
                <w:szCs w:val="20"/>
                <w:lang w:val="fr-FR"/>
              </w:rPr>
              <w:t>Doïla</w:t>
            </w:r>
          </w:p>
        </w:tc>
        <w:tc>
          <w:tcPr>
            <w:tcW w:w="729" w:type="pct"/>
            <w:tcBorders>
              <w:top w:val="single" w:sz="4" w:space="0" w:color="auto"/>
              <w:left w:val="single" w:sz="4" w:space="0" w:color="auto"/>
              <w:bottom w:val="single" w:sz="4" w:space="0" w:color="auto"/>
              <w:right w:val="single" w:sz="4" w:space="0" w:color="auto"/>
            </w:tcBorders>
            <w:hideMark/>
          </w:tcPr>
          <w:p w14:paraId="17E6FF43" w14:textId="77777777" w:rsidR="009A44F9" w:rsidRPr="004B3056" w:rsidRDefault="009A44F9" w:rsidP="00B72A95">
            <w:pPr>
              <w:spacing w:after="0" w:line="240" w:lineRule="auto"/>
              <w:jc w:val="right"/>
              <w:rPr>
                <w:rFonts w:eastAsia="Times New Roman" w:cs="Arial"/>
                <w:bCs/>
                <w:sz w:val="20"/>
                <w:szCs w:val="20"/>
                <w:lang w:val="fr-FR"/>
              </w:rPr>
            </w:pPr>
            <w:r w:rsidRPr="004B3056">
              <w:rPr>
                <w:rFonts w:eastAsia="Times New Roman" w:cs="Arial"/>
                <w:bCs/>
                <w:sz w:val="20"/>
                <w:szCs w:val="20"/>
                <w:lang w:val="fr-FR"/>
              </w:rPr>
              <w:t>37.000</w:t>
            </w:r>
          </w:p>
        </w:tc>
        <w:tc>
          <w:tcPr>
            <w:tcW w:w="1428" w:type="pct"/>
            <w:tcBorders>
              <w:top w:val="single" w:sz="4" w:space="0" w:color="auto"/>
              <w:left w:val="single" w:sz="4" w:space="0" w:color="auto"/>
              <w:bottom w:val="single" w:sz="4" w:space="0" w:color="auto"/>
              <w:right w:val="single" w:sz="4" w:space="0" w:color="auto"/>
            </w:tcBorders>
            <w:hideMark/>
          </w:tcPr>
          <w:p w14:paraId="13DB5D72" w14:textId="77777777" w:rsidR="009A44F9" w:rsidRPr="004B3056" w:rsidRDefault="009A44F9" w:rsidP="00B72A95">
            <w:pPr>
              <w:spacing w:after="0" w:line="240" w:lineRule="auto"/>
              <w:jc w:val="left"/>
              <w:rPr>
                <w:rFonts w:eastAsia="Times New Roman" w:cs="Arial"/>
                <w:bCs/>
                <w:sz w:val="20"/>
                <w:szCs w:val="20"/>
                <w:lang w:val="fr-ML"/>
              </w:rPr>
            </w:pPr>
            <w:r w:rsidRPr="004B3056">
              <w:rPr>
                <w:rFonts w:eastAsia="Times New Roman" w:cs="Arial"/>
                <w:bCs/>
                <w:sz w:val="20"/>
                <w:szCs w:val="20"/>
                <w:lang w:val="fr-FR"/>
              </w:rPr>
              <w:t xml:space="preserve">Décret N°89/MA- EF du 15/04/1959                                                                                                                                                                                                                                                                                                                                                                                                                                                                                                                                                       </w:t>
            </w:r>
          </w:p>
        </w:tc>
      </w:tr>
      <w:tr w:rsidR="009A44F9" w:rsidRPr="004B3056" w14:paraId="5D8E3802" w14:textId="77777777" w:rsidTr="00B72A95">
        <w:trPr>
          <w:cantSplit/>
          <w:trHeight w:val="342"/>
        </w:trPr>
        <w:tc>
          <w:tcPr>
            <w:tcW w:w="1121" w:type="pct"/>
            <w:gridSpan w:val="2"/>
            <w:tcBorders>
              <w:top w:val="single" w:sz="4" w:space="0" w:color="auto"/>
              <w:left w:val="single" w:sz="4" w:space="0" w:color="auto"/>
              <w:bottom w:val="single" w:sz="4" w:space="0" w:color="auto"/>
              <w:right w:val="single" w:sz="4" w:space="0" w:color="auto"/>
            </w:tcBorders>
            <w:shd w:val="clear" w:color="auto" w:fill="FBD4B4"/>
          </w:tcPr>
          <w:p w14:paraId="521C40E4" w14:textId="77777777" w:rsidR="009A44F9" w:rsidRPr="004B3056" w:rsidRDefault="009A44F9" w:rsidP="00B72A95">
            <w:pPr>
              <w:spacing w:after="0" w:line="240" w:lineRule="auto"/>
              <w:rPr>
                <w:rFonts w:eastAsia="Times New Roman" w:cs="Arial"/>
                <w:b/>
                <w:bCs/>
                <w:sz w:val="20"/>
                <w:szCs w:val="20"/>
                <w:lang w:val="fr-ML"/>
              </w:rPr>
            </w:pPr>
            <w:r w:rsidRPr="004B3056">
              <w:rPr>
                <w:rFonts w:eastAsia="Times New Roman" w:cs="Arial"/>
                <w:b/>
                <w:bCs/>
                <w:sz w:val="20"/>
                <w:szCs w:val="20"/>
                <w:lang w:val="fr-ML"/>
              </w:rPr>
              <w:t xml:space="preserve">  TOTAL</w:t>
            </w:r>
          </w:p>
        </w:tc>
        <w:tc>
          <w:tcPr>
            <w:tcW w:w="906" w:type="pct"/>
            <w:tcBorders>
              <w:top w:val="single" w:sz="4" w:space="0" w:color="auto"/>
              <w:left w:val="single" w:sz="4" w:space="0" w:color="auto"/>
              <w:bottom w:val="single" w:sz="4" w:space="0" w:color="auto"/>
              <w:right w:val="single" w:sz="4" w:space="0" w:color="auto"/>
            </w:tcBorders>
            <w:shd w:val="clear" w:color="auto" w:fill="FBD4B4"/>
          </w:tcPr>
          <w:p w14:paraId="20F24E8F" w14:textId="77777777" w:rsidR="009A44F9" w:rsidRPr="004B3056" w:rsidRDefault="009A44F9" w:rsidP="00B72A95">
            <w:pPr>
              <w:spacing w:after="0" w:line="240" w:lineRule="auto"/>
              <w:jc w:val="center"/>
              <w:rPr>
                <w:rFonts w:eastAsia="Times New Roman" w:cs="Arial"/>
                <w:sz w:val="20"/>
                <w:szCs w:val="20"/>
                <w:lang w:val="fr-FR"/>
              </w:rPr>
            </w:pPr>
          </w:p>
        </w:tc>
        <w:tc>
          <w:tcPr>
            <w:tcW w:w="816" w:type="pct"/>
            <w:tcBorders>
              <w:top w:val="single" w:sz="4" w:space="0" w:color="auto"/>
              <w:left w:val="single" w:sz="4" w:space="0" w:color="auto"/>
              <w:bottom w:val="single" w:sz="4" w:space="0" w:color="auto"/>
              <w:right w:val="single" w:sz="4" w:space="0" w:color="auto"/>
            </w:tcBorders>
            <w:shd w:val="clear" w:color="auto" w:fill="FBD4B4"/>
          </w:tcPr>
          <w:p w14:paraId="0ABC94BA" w14:textId="77777777" w:rsidR="009A44F9" w:rsidRPr="004B3056" w:rsidRDefault="009A44F9" w:rsidP="00B72A95">
            <w:pPr>
              <w:spacing w:after="0" w:line="240" w:lineRule="auto"/>
              <w:jc w:val="right"/>
              <w:rPr>
                <w:rFonts w:eastAsia="Times New Roman" w:cs="Arial"/>
                <w:bCs/>
                <w:sz w:val="20"/>
                <w:szCs w:val="20"/>
                <w:lang w:val="fr-FR"/>
              </w:rPr>
            </w:pPr>
          </w:p>
        </w:tc>
        <w:tc>
          <w:tcPr>
            <w:tcW w:w="729" w:type="pct"/>
            <w:tcBorders>
              <w:top w:val="single" w:sz="4" w:space="0" w:color="auto"/>
              <w:left w:val="single" w:sz="4" w:space="0" w:color="auto"/>
              <w:bottom w:val="single" w:sz="4" w:space="0" w:color="auto"/>
              <w:right w:val="single" w:sz="4" w:space="0" w:color="auto"/>
            </w:tcBorders>
            <w:shd w:val="clear" w:color="auto" w:fill="FBD4B4"/>
          </w:tcPr>
          <w:p w14:paraId="7FA24FB3" w14:textId="77777777" w:rsidR="009A44F9" w:rsidRPr="004B3056" w:rsidRDefault="009A44F9" w:rsidP="00B72A95">
            <w:pPr>
              <w:spacing w:after="0" w:line="240" w:lineRule="auto"/>
              <w:jc w:val="right"/>
              <w:rPr>
                <w:rFonts w:eastAsia="Times New Roman" w:cs="Arial"/>
                <w:b/>
                <w:bCs/>
                <w:sz w:val="20"/>
                <w:szCs w:val="20"/>
                <w:lang w:val="fr-FR"/>
              </w:rPr>
            </w:pPr>
            <w:r w:rsidRPr="004B3056">
              <w:rPr>
                <w:rFonts w:eastAsia="Times New Roman" w:cs="Arial"/>
                <w:b/>
                <w:bCs/>
                <w:sz w:val="20"/>
                <w:szCs w:val="20"/>
                <w:lang w:val="fr-FR"/>
              </w:rPr>
              <w:t>37 000</w:t>
            </w:r>
          </w:p>
        </w:tc>
        <w:tc>
          <w:tcPr>
            <w:tcW w:w="1428" w:type="pct"/>
            <w:tcBorders>
              <w:top w:val="single" w:sz="4" w:space="0" w:color="auto"/>
              <w:left w:val="single" w:sz="4" w:space="0" w:color="auto"/>
              <w:bottom w:val="single" w:sz="4" w:space="0" w:color="auto"/>
              <w:right w:val="single" w:sz="4" w:space="0" w:color="auto"/>
            </w:tcBorders>
            <w:shd w:val="clear" w:color="auto" w:fill="FBD4B4"/>
          </w:tcPr>
          <w:p w14:paraId="10D885B5" w14:textId="77777777" w:rsidR="009A44F9" w:rsidRPr="004B3056" w:rsidRDefault="009A44F9" w:rsidP="00B72A95">
            <w:pPr>
              <w:spacing w:after="0" w:line="240" w:lineRule="auto"/>
              <w:jc w:val="left"/>
              <w:rPr>
                <w:rFonts w:eastAsia="Times New Roman" w:cs="Arial"/>
                <w:bCs/>
                <w:sz w:val="20"/>
                <w:szCs w:val="20"/>
                <w:lang w:val="fr-FR"/>
              </w:rPr>
            </w:pPr>
          </w:p>
        </w:tc>
      </w:tr>
    </w:tbl>
    <w:p w14:paraId="34079AF7" w14:textId="77777777" w:rsidR="009A44F9" w:rsidRPr="004B3056" w:rsidRDefault="009A44F9" w:rsidP="009A44F9">
      <w:pPr>
        <w:spacing w:after="0" w:line="240" w:lineRule="auto"/>
        <w:jc w:val="left"/>
        <w:rPr>
          <w:rFonts w:eastAsia="Times New Roman" w:cs="Arial"/>
          <w:b/>
          <w:sz w:val="20"/>
          <w:szCs w:val="20"/>
          <w:u w:val="single"/>
          <w:lang w:val="fr-FR" w:eastAsia="fr-FR"/>
        </w:rPr>
      </w:pPr>
    </w:p>
    <w:p w14:paraId="22D0C156" w14:textId="77777777" w:rsidR="009A44F9" w:rsidRPr="004B3056" w:rsidRDefault="009A44F9" w:rsidP="009A44F9">
      <w:pPr>
        <w:spacing w:after="0" w:line="240" w:lineRule="auto"/>
        <w:jc w:val="center"/>
        <w:rPr>
          <w:rFonts w:eastAsia="Times New Roman" w:cs="Arial"/>
          <w:b/>
          <w:sz w:val="20"/>
          <w:szCs w:val="20"/>
          <w:lang w:val="fr-FR" w:eastAsia="fr-FR"/>
        </w:rPr>
      </w:pPr>
      <w:r w:rsidRPr="004B3056">
        <w:rPr>
          <w:rFonts w:eastAsia="Times New Roman" w:cs="Arial"/>
          <w:b/>
          <w:sz w:val="20"/>
          <w:szCs w:val="20"/>
          <w:lang w:val="fr-FR" w:eastAsia="fr-FR"/>
        </w:rPr>
        <w:t>OPERATION PARC NATIONAL DE LA BOUCLE DU BAOULE (OPNBB)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8"/>
        <w:gridCol w:w="1699"/>
        <w:gridCol w:w="1760"/>
        <w:gridCol w:w="1559"/>
        <w:gridCol w:w="1559"/>
        <w:gridCol w:w="2942"/>
      </w:tblGrid>
      <w:tr w:rsidR="009A44F9" w:rsidRPr="004B3056" w14:paraId="1331FEAF" w14:textId="77777777" w:rsidTr="00C83806">
        <w:trPr>
          <w:cantSplit/>
          <w:trHeight w:val="638"/>
        </w:trPr>
        <w:tc>
          <w:tcPr>
            <w:tcW w:w="305" w:type="pct"/>
            <w:tcBorders>
              <w:top w:val="single" w:sz="4" w:space="0" w:color="auto"/>
              <w:left w:val="single" w:sz="4" w:space="0" w:color="auto"/>
              <w:bottom w:val="single" w:sz="4" w:space="0" w:color="auto"/>
              <w:right w:val="single" w:sz="4" w:space="0" w:color="auto"/>
            </w:tcBorders>
            <w:shd w:val="clear" w:color="auto" w:fill="DDD9C3"/>
            <w:hideMark/>
          </w:tcPr>
          <w:p w14:paraId="3D95BE49" w14:textId="77777777" w:rsidR="009A44F9" w:rsidRPr="004B3056" w:rsidRDefault="009A44F9" w:rsidP="00B72A95">
            <w:pPr>
              <w:spacing w:after="0" w:line="240" w:lineRule="auto"/>
              <w:jc w:val="center"/>
              <w:rPr>
                <w:rFonts w:eastAsia="Times New Roman" w:cs="Arial"/>
                <w:b/>
                <w:sz w:val="20"/>
                <w:szCs w:val="20"/>
                <w:lang w:val="fr-FR"/>
              </w:rPr>
            </w:pPr>
          </w:p>
          <w:p w14:paraId="34B1B948" w14:textId="77777777" w:rsidR="009A44F9" w:rsidRPr="004B3056" w:rsidRDefault="009A44F9" w:rsidP="00B72A95">
            <w:pPr>
              <w:spacing w:after="0" w:line="240" w:lineRule="auto"/>
              <w:jc w:val="center"/>
              <w:rPr>
                <w:rFonts w:eastAsia="Times New Roman" w:cs="Arial"/>
                <w:b/>
                <w:sz w:val="20"/>
                <w:szCs w:val="20"/>
                <w:lang w:val="fr-FR"/>
              </w:rPr>
            </w:pPr>
            <w:r w:rsidRPr="004B3056">
              <w:rPr>
                <w:rFonts w:eastAsia="Times New Roman" w:cs="Arial"/>
                <w:b/>
                <w:sz w:val="20"/>
                <w:szCs w:val="20"/>
                <w:lang w:val="fr-FR"/>
              </w:rPr>
              <w:t xml:space="preserve">N° </w:t>
            </w:r>
          </w:p>
        </w:tc>
        <w:tc>
          <w:tcPr>
            <w:tcW w:w="838" w:type="pct"/>
            <w:tcBorders>
              <w:top w:val="single" w:sz="4" w:space="0" w:color="auto"/>
              <w:left w:val="single" w:sz="4" w:space="0" w:color="auto"/>
              <w:bottom w:val="single" w:sz="4" w:space="0" w:color="auto"/>
              <w:right w:val="single" w:sz="4" w:space="0" w:color="auto"/>
            </w:tcBorders>
            <w:shd w:val="clear" w:color="auto" w:fill="DDD9C3"/>
          </w:tcPr>
          <w:p w14:paraId="211DD2EE" w14:textId="77777777" w:rsidR="009A44F9" w:rsidRPr="004B3056" w:rsidRDefault="009A44F9" w:rsidP="00B72A95">
            <w:pPr>
              <w:spacing w:after="0" w:line="240" w:lineRule="auto"/>
              <w:jc w:val="center"/>
              <w:rPr>
                <w:rFonts w:eastAsia="Times New Roman" w:cs="Arial"/>
                <w:b/>
                <w:sz w:val="20"/>
                <w:szCs w:val="20"/>
                <w:lang w:val="fr-FR"/>
              </w:rPr>
            </w:pPr>
          </w:p>
          <w:p w14:paraId="1031AACA" w14:textId="77777777" w:rsidR="009A44F9" w:rsidRPr="004B3056" w:rsidRDefault="009A44F9" w:rsidP="00B72A95">
            <w:pPr>
              <w:spacing w:after="0" w:line="240" w:lineRule="auto"/>
              <w:jc w:val="center"/>
              <w:rPr>
                <w:rFonts w:eastAsia="Times New Roman" w:cs="Arial"/>
                <w:b/>
                <w:sz w:val="20"/>
                <w:szCs w:val="20"/>
                <w:lang w:val="fr-FR"/>
              </w:rPr>
            </w:pPr>
            <w:r w:rsidRPr="004B3056">
              <w:rPr>
                <w:rFonts w:eastAsia="Times New Roman" w:cs="Arial"/>
                <w:b/>
                <w:sz w:val="20"/>
                <w:szCs w:val="20"/>
                <w:lang w:val="fr-FR"/>
              </w:rPr>
              <w:t>Désignation</w:t>
            </w:r>
          </w:p>
        </w:tc>
        <w:tc>
          <w:tcPr>
            <w:tcW w:w="868" w:type="pct"/>
            <w:tcBorders>
              <w:top w:val="single" w:sz="4" w:space="0" w:color="auto"/>
              <w:left w:val="single" w:sz="4" w:space="0" w:color="auto"/>
              <w:bottom w:val="single" w:sz="4" w:space="0" w:color="auto"/>
              <w:right w:val="single" w:sz="4" w:space="0" w:color="auto"/>
            </w:tcBorders>
            <w:shd w:val="clear" w:color="auto" w:fill="DDD9C3"/>
          </w:tcPr>
          <w:p w14:paraId="5C71AEF2" w14:textId="77777777" w:rsidR="009A44F9" w:rsidRPr="004B3056" w:rsidRDefault="009A44F9" w:rsidP="00B72A95">
            <w:pPr>
              <w:spacing w:after="0" w:line="240" w:lineRule="auto"/>
              <w:jc w:val="center"/>
              <w:outlineLvl w:val="6"/>
              <w:rPr>
                <w:rFonts w:ascii="Times New Roman" w:eastAsia="Times New Roman" w:hAnsi="Times New Roman" w:cs="Times New Roman"/>
                <w:b/>
                <w:sz w:val="20"/>
                <w:szCs w:val="20"/>
                <w:lang w:val="fr-FR"/>
              </w:rPr>
            </w:pPr>
          </w:p>
          <w:p w14:paraId="10515029" w14:textId="77777777" w:rsidR="009A44F9" w:rsidRPr="004B3056" w:rsidRDefault="009A44F9" w:rsidP="00B72A95">
            <w:pPr>
              <w:spacing w:after="0" w:line="240" w:lineRule="auto"/>
              <w:jc w:val="center"/>
              <w:outlineLvl w:val="6"/>
              <w:rPr>
                <w:rFonts w:ascii="Times New Roman" w:eastAsia="Times New Roman" w:hAnsi="Times New Roman" w:cs="Times New Roman"/>
                <w:b/>
                <w:sz w:val="20"/>
                <w:szCs w:val="20"/>
                <w:lang w:val="fr-FR"/>
              </w:rPr>
            </w:pPr>
            <w:r w:rsidRPr="004B3056">
              <w:rPr>
                <w:rFonts w:ascii="Times New Roman" w:eastAsia="Times New Roman" w:hAnsi="Times New Roman" w:cs="Times New Roman"/>
                <w:b/>
                <w:sz w:val="20"/>
                <w:szCs w:val="20"/>
                <w:lang w:val="fr-FR"/>
              </w:rPr>
              <w:t>Statut</w:t>
            </w:r>
          </w:p>
        </w:tc>
        <w:tc>
          <w:tcPr>
            <w:tcW w:w="769" w:type="pct"/>
            <w:tcBorders>
              <w:top w:val="single" w:sz="4" w:space="0" w:color="auto"/>
              <w:left w:val="single" w:sz="4" w:space="0" w:color="auto"/>
              <w:bottom w:val="single" w:sz="4" w:space="0" w:color="auto"/>
              <w:right w:val="single" w:sz="4" w:space="0" w:color="auto"/>
            </w:tcBorders>
            <w:shd w:val="clear" w:color="auto" w:fill="DDD9C3"/>
            <w:hideMark/>
          </w:tcPr>
          <w:p w14:paraId="1A7CEAFF" w14:textId="77777777" w:rsidR="009A44F9" w:rsidRPr="004B3056" w:rsidRDefault="009A44F9" w:rsidP="00B72A95">
            <w:pPr>
              <w:spacing w:after="0" w:line="240" w:lineRule="auto"/>
              <w:jc w:val="center"/>
              <w:rPr>
                <w:rFonts w:eastAsia="Times New Roman" w:cs="Arial"/>
                <w:b/>
                <w:sz w:val="20"/>
                <w:szCs w:val="20"/>
                <w:lang w:val="fr-FR"/>
              </w:rPr>
            </w:pPr>
          </w:p>
          <w:p w14:paraId="454FF1A8" w14:textId="77777777" w:rsidR="009A44F9" w:rsidRPr="004B3056" w:rsidRDefault="009A44F9" w:rsidP="00B72A95">
            <w:pPr>
              <w:spacing w:after="0" w:line="240" w:lineRule="auto"/>
              <w:jc w:val="center"/>
              <w:rPr>
                <w:rFonts w:eastAsia="Times New Roman" w:cs="Arial"/>
                <w:b/>
                <w:sz w:val="20"/>
                <w:szCs w:val="20"/>
                <w:lang w:val="fr-FR"/>
              </w:rPr>
            </w:pPr>
            <w:r w:rsidRPr="004B3056">
              <w:rPr>
                <w:rFonts w:eastAsia="Times New Roman" w:cs="Arial"/>
                <w:b/>
                <w:sz w:val="20"/>
                <w:szCs w:val="20"/>
                <w:lang w:val="fr-FR"/>
              </w:rPr>
              <w:t>Localisation</w:t>
            </w:r>
          </w:p>
        </w:tc>
        <w:tc>
          <w:tcPr>
            <w:tcW w:w="769" w:type="pct"/>
            <w:tcBorders>
              <w:top w:val="single" w:sz="4" w:space="0" w:color="auto"/>
              <w:left w:val="single" w:sz="4" w:space="0" w:color="auto"/>
              <w:bottom w:val="single" w:sz="4" w:space="0" w:color="auto"/>
              <w:right w:val="single" w:sz="4" w:space="0" w:color="auto"/>
            </w:tcBorders>
            <w:shd w:val="clear" w:color="auto" w:fill="DDD9C3"/>
            <w:hideMark/>
          </w:tcPr>
          <w:p w14:paraId="26F69CA4" w14:textId="77777777" w:rsidR="009A44F9" w:rsidRPr="004B3056" w:rsidRDefault="009A44F9" w:rsidP="00B72A95">
            <w:pPr>
              <w:spacing w:after="0" w:line="240" w:lineRule="auto"/>
              <w:jc w:val="center"/>
              <w:rPr>
                <w:rFonts w:eastAsia="Times New Roman" w:cs="Arial"/>
                <w:b/>
                <w:sz w:val="20"/>
                <w:szCs w:val="20"/>
                <w:lang w:val="fr-FR"/>
              </w:rPr>
            </w:pPr>
            <w:r w:rsidRPr="004B3056">
              <w:rPr>
                <w:rFonts w:eastAsia="Times New Roman" w:cs="Arial"/>
                <w:b/>
                <w:sz w:val="20"/>
                <w:szCs w:val="20"/>
                <w:lang w:val="fr-FR"/>
              </w:rPr>
              <w:t>Superficie</w:t>
            </w:r>
          </w:p>
          <w:p w14:paraId="5DE3F48D" w14:textId="77777777" w:rsidR="009A44F9" w:rsidRPr="004B3056" w:rsidRDefault="009A44F9" w:rsidP="00B72A95">
            <w:pPr>
              <w:spacing w:after="0" w:line="240" w:lineRule="auto"/>
              <w:jc w:val="center"/>
              <w:rPr>
                <w:rFonts w:eastAsia="Times New Roman" w:cs="Arial"/>
                <w:b/>
                <w:sz w:val="20"/>
                <w:szCs w:val="20"/>
                <w:lang w:val="fr-FR"/>
              </w:rPr>
            </w:pPr>
            <w:r w:rsidRPr="004B3056">
              <w:rPr>
                <w:rFonts w:eastAsia="Times New Roman" w:cs="Arial"/>
                <w:b/>
                <w:sz w:val="20"/>
                <w:szCs w:val="20"/>
                <w:lang w:val="fr-FR"/>
              </w:rPr>
              <w:t>(ha)</w:t>
            </w:r>
          </w:p>
        </w:tc>
        <w:tc>
          <w:tcPr>
            <w:tcW w:w="1451" w:type="pct"/>
            <w:tcBorders>
              <w:top w:val="single" w:sz="4" w:space="0" w:color="auto"/>
              <w:left w:val="single" w:sz="4" w:space="0" w:color="auto"/>
              <w:bottom w:val="single" w:sz="4" w:space="0" w:color="auto"/>
              <w:right w:val="single" w:sz="4" w:space="0" w:color="auto"/>
            </w:tcBorders>
            <w:shd w:val="clear" w:color="auto" w:fill="DDD9C3"/>
            <w:hideMark/>
          </w:tcPr>
          <w:p w14:paraId="0D29AF2D" w14:textId="77777777" w:rsidR="009A44F9" w:rsidRPr="004B3056" w:rsidRDefault="009A44F9" w:rsidP="00B72A95">
            <w:pPr>
              <w:spacing w:after="0" w:line="240" w:lineRule="auto"/>
              <w:jc w:val="center"/>
              <w:rPr>
                <w:rFonts w:eastAsia="Times New Roman" w:cs="Arial"/>
                <w:b/>
                <w:sz w:val="20"/>
                <w:szCs w:val="20"/>
                <w:lang w:val="fr-FR"/>
              </w:rPr>
            </w:pPr>
            <w:r w:rsidRPr="004B3056">
              <w:rPr>
                <w:rFonts w:eastAsia="Times New Roman" w:cs="Arial"/>
                <w:b/>
                <w:sz w:val="20"/>
                <w:szCs w:val="20"/>
                <w:lang w:val="fr-FR"/>
              </w:rPr>
              <w:t>Référence</w:t>
            </w:r>
          </w:p>
        </w:tc>
      </w:tr>
      <w:tr w:rsidR="009A44F9" w:rsidRPr="004B3056" w14:paraId="68284188" w14:textId="77777777" w:rsidTr="00C83806">
        <w:trPr>
          <w:cantSplit/>
          <w:trHeight w:val="638"/>
        </w:trPr>
        <w:tc>
          <w:tcPr>
            <w:tcW w:w="305" w:type="pct"/>
            <w:tcBorders>
              <w:top w:val="single" w:sz="4" w:space="0" w:color="auto"/>
              <w:left w:val="single" w:sz="4" w:space="0" w:color="auto"/>
              <w:bottom w:val="single" w:sz="4" w:space="0" w:color="auto"/>
              <w:right w:val="single" w:sz="4" w:space="0" w:color="auto"/>
            </w:tcBorders>
            <w:hideMark/>
          </w:tcPr>
          <w:p w14:paraId="00042EEF" w14:textId="77777777" w:rsidR="009A44F9" w:rsidRPr="004B3056" w:rsidRDefault="009A44F9" w:rsidP="00B72A95">
            <w:pPr>
              <w:spacing w:after="0" w:line="240" w:lineRule="auto"/>
              <w:jc w:val="center"/>
              <w:rPr>
                <w:rFonts w:eastAsia="Times New Roman" w:cs="Arial"/>
                <w:b/>
                <w:sz w:val="20"/>
                <w:szCs w:val="20"/>
                <w:lang w:val="fr-ML"/>
              </w:rPr>
            </w:pPr>
            <w:r w:rsidRPr="004B3056">
              <w:rPr>
                <w:rFonts w:eastAsia="Times New Roman" w:cs="Arial"/>
                <w:b/>
                <w:sz w:val="20"/>
                <w:szCs w:val="20"/>
                <w:lang w:val="fr-ML"/>
              </w:rPr>
              <w:t>1</w:t>
            </w:r>
          </w:p>
        </w:tc>
        <w:tc>
          <w:tcPr>
            <w:tcW w:w="838" w:type="pct"/>
            <w:tcBorders>
              <w:top w:val="single" w:sz="4" w:space="0" w:color="auto"/>
              <w:left w:val="single" w:sz="4" w:space="0" w:color="auto"/>
              <w:bottom w:val="single" w:sz="4" w:space="0" w:color="auto"/>
              <w:right w:val="single" w:sz="4" w:space="0" w:color="auto"/>
            </w:tcBorders>
          </w:tcPr>
          <w:p w14:paraId="3B893282" w14:textId="77777777" w:rsidR="009A44F9" w:rsidRPr="004B3056" w:rsidRDefault="009A44F9" w:rsidP="00B72A95">
            <w:pPr>
              <w:spacing w:after="0" w:line="240" w:lineRule="auto"/>
              <w:rPr>
                <w:rFonts w:eastAsia="Times New Roman" w:cs="Arial"/>
                <w:sz w:val="20"/>
                <w:szCs w:val="20"/>
                <w:lang w:val="fr-FR"/>
              </w:rPr>
            </w:pPr>
            <w:r w:rsidRPr="004B3056">
              <w:rPr>
                <w:rFonts w:eastAsia="Times New Roman" w:cs="Arial"/>
                <w:sz w:val="20"/>
                <w:szCs w:val="20"/>
                <w:lang w:val="fr-FR"/>
              </w:rPr>
              <w:t>Talikourou</w:t>
            </w:r>
          </w:p>
        </w:tc>
        <w:tc>
          <w:tcPr>
            <w:tcW w:w="868" w:type="pct"/>
            <w:tcBorders>
              <w:top w:val="single" w:sz="4" w:space="0" w:color="auto"/>
              <w:left w:val="single" w:sz="4" w:space="0" w:color="auto"/>
              <w:bottom w:val="single" w:sz="4" w:space="0" w:color="auto"/>
              <w:right w:val="single" w:sz="4" w:space="0" w:color="auto"/>
            </w:tcBorders>
          </w:tcPr>
          <w:p w14:paraId="19637B19" w14:textId="77777777" w:rsidR="009A44F9" w:rsidRPr="004B3056" w:rsidRDefault="009A44F9" w:rsidP="00B72A95">
            <w:pPr>
              <w:spacing w:after="0" w:line="240" w:lineRule="auto"/>
              <w:jc w:val="left"/>
              <w:rPr>
                <w:rFonts w:eastAsia="Times New Roman" w:cs="Arial"/>
                <w:sz w:val="20"/>
                <w:szCs w:val="20"/>
                <w:lang w:val="fr-FR"/>
              </w:rPr>
            </w:pPr>
            <w:r w:rsidRPr="004B3056">
              <w:rPr>
                <w:rFonts w:eastAsia="Times New Roman" w:cs="Arial"/>
                <w:sz w:val="20"/>
                <w:szCs w:val="20"/>
                <w:lang w:val="fr-FR"/>
              </w:rPr>
              <w:t>Réserve Totale Faune</w:t>
            </w:r>
          </w:p>
        </w:tc>
        <w:tc>
          <w:tcPr>
            <w:tcW w:w="769" w:type="pct"/>
            <w:tcBorders>
              <w:top w:val="single" w:sz="4" w:space="0" w:color="auto"/>
              <w:left w:val="single" w:sz="4" w:space="0" w:color="auto"/>
              <w:bottom w:val="single" w:sz="4" w:space="0" w:color="auto"/>
              <w:right w:val="single" w:sz="4" w:space="0" w:color="auto"/>
            </w:tcBorders>
            <w:hideMark/>
          </w:tcPr>
          <w:p w14:paraId="18763591" w14:textId="77777777" w:rsidR="009A44F9" w:rsidRPr="004B3056" w:rsidRDefault="009A44F9" w:rsidP="00B72A95">
            <w:pPr>
              <w:spacing w:after="0" w:line="240" w:lineRule="auto"/>
              <w:jc w:val="left"/>
              <w:rPr>
                <w:rFonts w:eastAsia="Times New Roman" w:cs="Arial"/>
                <w:sz w:val="20"/>
                <w:szCs w:val="20"/>
                <w:lang w:val="fr-FR"/>
              </w:rPr>
            </w:pPr>
            <w:r w:rsidRPr="004B3056">
              <w:rPr>
                <w:rFonts w:eastAsia="Times New Roman" w:cs="Arial"/>
                <w:sz w:val="20"/>
                <w:szCs w:val="20"/>
                <w:lang w:val="fr-FR"/>
              </w:rPr>
              <w:t>Kita</w:t>
            </w:r>
          </w:p>
        </w:tc>
        <w:tc>
          <w:tcPr>
            <w:tcW w:w="769" w:type="pct"/>
            <w:tcBorders>
              <w:top w:val="single" w:sz="4" w:space="0" w:color="auto"/>
              <w:left w:val="single" w:sz="4" w:space="0" w:color="auto"/>
              <w:bottom w:val="single" w:sz="4" w:space="0" w:color="auto"/>
              <w:right w:val="single" w:sz="4" w:space="0" w:color="auto"/>
            </w:tcBorders>
            <w:hideMark/>
          </w:tcPr>
          <w:p w14:paraId="09F1BA18" w14:textId="77777777" w:rsidR="009A44F9" w:rsidRPr="004B3056" w:rsidRDefault="009A44F9" w:rsidP="00B72A95">
            <w:pPr>
              <w:spacing w:after="0" w:line="240" w:lineRule="auto"/>
              <w:jc w:val="right"/>
              <w:rPr>
                <w:rFonts w:eastAsia="Times New Roman" w:cs="Arial"/>
                <w:sz w:val="20"/>
                <w:szCs w:val="20"/>
                <w:lang w:val="fr-FR"/>
              </w:rPr>
            </w:pPr>
            <w:r w:rsidRPr="004B3056">
              <w:rPr>
                <w:rFonts w:eastAsia="Times New Roman" w:cs="Arial"/>
                <w:sz w:val="20"/>
                <w:szCs w:val="20"/>
                <w:lang w:val="fr-FR"/>
              </w:rPr>
              <w:t>13.900</w:t>
            </w:r>
          </w:p>
        </w:tc>
        <w:tc>
          <w:tcPr>
            <w:tcW w:w="1451" w:type="pct"/>
            <w:tcBorders>
              <w:top w:val="single" w:sz="4" w:space="0" w:color="auto"/>
              <w:left w:val="single" w:sz="4" w:space="0" w:color="auto"/>
              <w:bottom w:val="single" w:sz="4" w:space="0" w:color="auto"/>
              <w:right w:val="single" w:sz="4" w:space="0" w:color="auto"/>
            </w:tcBorders>
            <w:hideMark/>
          </w:tcPr>
          <w:p w14:paraId="197CE9F6" w14:textId="77777777" w:rsidR="009A44F9" w:rsidRPr="004B3056" w:rsidRDefault="009A44F9" w:rsidP="00B72A95">
            <w:pPr>
              <w:spacing w:after="0" w:line="240" w:lineRule="auto"/>
              <w:jc w:val="left"/>
              <w:rPr>
                <w:rFonts w:eastAsia="Times New Roman" w:cs="Arial"/>
                <w:bCs/>
                <w:sz w:val="20"/>
                <w:szCs w:val="20"/>
                <w:lang w:val="fr-FR"/>
              </w:rPr>
            </w:pPr>
            <w:r w:rsidRPr="004B3056">
              <w:rPr>
                <w:rFonts w:eastAsia="Times New Roman" w:cs="Arial"/>
                <w:bCs/>
                <w:sz w:val="20"/>
                <w:szCs w:val="20"/>
                <w:lang w:val="fr-FR"/>
              </w:rPr>
              <w:t xml:space="preserve">Décret N°89/MA- EF du 15/04/1959                                                                                                                                                                                                                                                                                                                                                                                                                                                                                                                                                       </w:t>
            </w:r>
          </w:p>
        </w:tc>
      </w:tr>
      <w:tr w:rsidR="009A44F9" w:rsidRPr="004B3056" w14:paraId="16087780" w14:textId="77777777" w:rsidTr="00C83806">
        <w:trPr>
          <w:cantSplit/>
        </w:trPr>
        <w:tc>
          <w:tcPr>
            <w:tcW w:w="305" w:type="pct"/>
            <w:tcBorders>
              <w:top w:val="single" w:sz="4" w:space="0" w:color="auto"/>
              <w:left w:val="single" w:sz="4" w:space="0" w:color="auto"/>
              <w:bottom w:val="single" w:sz="4" w:space="0" w:color="auto"/>
              <w:right w:val="single" w:sz="4" w:space="0" w:color="auto"/>
            </w:tcBorders>
            <w:hideMark/>
          </w:tcPr>
          <w:p w14:paraId="6B66DCF7" w14:textId="77777777" w:rsidR="009A44F9" w:rsidRPr="004B3056" w:rsidRDefault="009A44F9" w:rsidP="00B72A95">
            <w:pPr>
              <w:spacing w:after="0" w:line="240" w:lineRule="auto"/>
              <w:jc w:val="center"/>
              <w:rPr>
                <w:rFonts w:eastAsia="Times New Roman" w:cs="Arial"/>
                <w:b/>
                <w:sz w:val="20"/>
                <w:szCs w:val="20"/>
                <w:lang w:val="fr-ML"/>
              </w:rPr>
            </w:pPr>
            <w:r w:rsidRPr="004B3056">
              <w:rPr>
                <w:rFonts w:eastAsia="Times New Roman" w:cs="Arial"/>
                <w:b/>
                <w:sz w:val="20"/>
                <w:szCs w:val="20"/>
                <w:lang w:val="fr-ML"/>
              </w:rPr>
              <w:t>2</w:t>
            </w:r>
          </w:p>
        </w:tc>
        <w:tc>
          <w:tcPr>
            <w:tcW w:w="838" w:type="pct"/>
            <w:tcBorders>
              <w:top w:val="single" w:sz="4" w:space="0" w:color="auto"/>
              <w:left w:val="single" w:sz="4" w:space="0" w:color="auto"/>
              <w:bottom w:val="single" w:sz="4" w:space="0" w:color="auto"/>
              <w:right w:val="single" w:sz="4" w:space="0" w:color="auto"/>
            </w:tcBorders>
            <w:hideMark/>
          </w:tcPr>
          <w:p w14:paraId="6437D269" w14:textId="77777777" w:rsidR="009A44F9" w:rsidRPr="004B3056" w:rsidRDefault="009A44F9" w:rsidP="00B72A95">
            <w:pPr>
              <w:spacing w:after="0" w:line="240" w:lineRule="auto"/>
              <w:rPr>
                <w:rFonts w:eastAsia="Times New Roman" w:cs="Arial"/>
                <w:bCs/>
                <w:sz w:val="20"/>
                <w:szCs w:val="20"/>
                <w:lang w:val="fr-FR"/>
              </w:rPr>
            </w:pPr>
            <w:r w:rsidRPr="004B3056">
              <w:rPr>
                <w:rFonts w:eastAsia="Times New Roman" w:cs="Arial"/>
                <w:sz w:val="20"/>
                <w:szCs w:val="20"/>
                <w:lang w:val="fr-ML"/>
              </w:rPr>
              <w:t>Kéniébaoulé</w:t>
            </w:r>
          </w:p>
        </w:tc>
        <w:tc>
          <w:tcPr>
            <w:tcW w:w="868" w:type="pct"/>
            <w:tcBorders>
              <w:top w:val="single" w:sz="4" w:space="0" w:color="auto"/>
              <w:left w:val="single" w:sz="4" w:space="0" w:color="auto"/>
              <w:bottom w:val="single" w:sz="4" w:space="0" w:color="auto"/>
              <w:right w:val="single" w:sz="4" w:space="0" w:color="auto"/>
            </w:tcBorders>
            <w:hideMark/>
          </w:tcPr>
          <w:p w14:paraId="4C8FE886" w14:textId="77777777" w:rsidR="009A44F9" w:rsidRPr="004B3056" w:rsidRDefault="009A44F9" w:rsidP="00B72A95">
            <w:pPr>
              <w:spacing w:after="0" w:line="240" w:lineRule="auto"/>
              <w:jc w:val="left"/>
              <w:rPr>
                <w:rFonts w:eastAsia="Times New Roman" w:cs="Arial"/>
                <w:sz w:val="20"/>
                <w:szCs w:val="20"/>
                <w:lang w:val="fr-FR"/>
              </w:rPr>
            </w:pPr>
            <w:r w:rsidRPr="004B3056">
              <w:rPr>
                <w:rFonts w:eastAsia="Times New Roman" w:cs="Arial"/>
                <w:sz w:val="20"/>
                <w:szCs w:val="20"/>
                <w:lang w:val="fr-FR"/>
              </w:rPr>
              <w:t>Réserve Totale Faune</w:t>
            </w:r>
          </w:p>
        </w:tc>
        <w:tc>
          <w:tcPr>
            <w:tcW w:w="769" w:type="pct"/>
            <w:tcBorders>
              <w:top w:val="single" w:sz="4" w:space="0" w:color="auto"/>
              <w:left w:val="single" w:sz="4" w:space="0" w:color="auto"/>
              <w:bottom w:val="single" w:sz="4" w:space="0" w:color="auto"/>
              <w:right w:val="single" w:sz="4" w:space="0" w:color="auto"/>
            </w:tcBorders>
            <w:hideMark/>
          </w:tcPr>
          <w:p w14:paraId="47D8497A" w14:textId="77777777" w:rsidR="009A44F9" w:rsidRPr="004B3056" w:rsidRDefault="009A44F9" w:rsidP="00B72A95">
            <w:pPr>
              <w:spacing w:after="0" w:line="240" w:lineRule="auto"/>
              <w:jc w:val="left"/>
              <w:rPr>
                <w:rFonts w:eastAsia="Times New Roman" w:cs="Arial"/>
                <w:sz w:val="20"/>
                <w:szCs w:val="20"/>
                <w:lang w:val="fr-FR"/>
              </w:rPr>
            </w:pPr>
            <w:r w:rsidRPr="004B3056">
              <w:rPr>
                <w:rFonts w:eastAsia="Times New Roman" w:cs="Arial"/>
                <w:sz w:val="20"/>
                <w:szCs w:val="20"/>
                <w:lang w:val="fr-FR"/>
              </w:rPr>
              <w:t>Kati</w:t>
            </w:r>
          </w:p>
        </w:tc>
        <w:tc>
          <w:tcPr>
            <w:tcW w:w="769" w:type="pct"/>
            <w:tcBorders>
              <w:top w:val="single" w:sz="4" w:space="0" w:color="auto"/>
              <w:left w:val="single" w:sz="4" w:space="0" w:color="auto"/>
              <w:bottom w:val="single" w:sz="4" w:space="0" w:color="auto"/>
              <w:right w:val="single" w:sz="4" w:space="0" w:color="auto"/>
            </w:tcBorders>
            <w:hideMark/>
          </w:tcPr>
          <w:p w14:paraId="4F879D45" w14:textId="77777777" w:rsidR="009A44F9" w:rsidRPr="004B3056" w:rsidRDefault="009A44F9" w:rsidP="00B72A95">
            <w:pPr>
              <w:spacing w:after="0" w:line="240" w:lineRule="auto"/>
              <w:jc w:val="right"/>
              <w:rPr>
                <w:rFonts w:eastAsia="Times New Roman" w:cs="Arial"/>
                <w:sz w:val="20"/>
                <w:szCs w:val="20"/>
                <w:lang w:val="fr-FR"/>
              </w:rPr>
            </w:pPr>
            <w:r w:rsidRPr="004B3056">
              <w:rPr>
                <w:rFonts w:eastAsia="Times New Roman" w:cs="Arial"/>
                <w:sz w:val="20"/>
                <w:szCs w:val="20"/>
                <w:lang w:val="fr-FR"/>
              </w:rPr>
              <w:t>67.500</w:t>
            </w:r>
          </w:p>
        </w:tc>
        <w:tc>
          <w:tcPr>
            <w:tcW w:w="1451" w:type="pct"/>
            <w:tcBorders>
              <w:top w:val="single" w:sz="4" w:space="0" w:color="auto"/>
              <w:left w:val="single" w:sz="4" w:space="0" w:color="auto"/>
              <w:bottom w:val="single" w:sz="4" w:space="0" w:color="auto"/>
              <w:right w:val="single" w:sz="4" w:space="0" w:color="auto"/>
            </w:tcBorders>
            <w:hideMark/>
          </w:tcPr>
          <w:p w14:paraId="20A932A4" w14:textId="77777777" w:rsidR="009A44F9" w:rsidRPr="004B3056" w:rsidRDefault="009A44F9" w:rsidP="00B72A95">
            <w:pPr>
              <w:tabs>
                <w:tab w:val="left" w:pos="708"/>
                <w:tab w:val="center" w:pos="4536"/>
                <w:tab w:val="right" w:pos="9072"/>
              </w:tabs>
              <w:spacing w:after="0" w:line="240" w:lineRule="auto"/>
              <w:jc w:val="left"/>
              <w:rPr>
                <w:rFonts w:eastAsia="Times New Roman" w:cs="Arial"/>
                <w:bCs/>
                <w:sz w:val="20"/>
                <w:szCs w:val="20"/>
                <w:lang w:val="fr-ML" w:eastAsia="fr-FR"/>
              </w:rPr>
            </w:pPr>
            <w:r w:rsidRPr="004B3056">
              <w:rPr>
                <w:rFonts w:eastAsia="Times New Roman" w:cs="Arial"/>
                <w:bCs/>
                <w:sz w:val="20"/>
                <w:szCs w:val="20"/>
                <w:lang w:val="fr-FR" w:eastAsia="fr-FR"/>
              </w:rPr>
              <w:t>Décret N°89/MA- EF du 15/04/1959</w:t>
            </w:r>
          </w:p>
        </w:tc>
      </w:tr>
      <w:tr w:rsidR="009A44F9" w:rsidRPr="004B3056" w14:paraId="466D6CC9" w14:textId="77777777" w:rsidTr="00C83806">
        <w:trPr>
          <w:cantSplit/>
          <w:trHeight w:val="1279"/>
        </w:trPr>
        <w:tc>
          <w:tcPr>
            <w:tcW w:w="305" w:type="pct"/>
            <w:tcBorders>
              <w:top w:val="single" w:sz="4" w:space="0" w:color="auto"/>
              <w:left w:val="single" w:sz="4" w:space="0" w:color="auto"/>
              <w:bottom w:val="single" w:sz="4" w:space="0" w:color="auto"/>
              <w:right w:val="single" w:sz="4" w:space="0" w:color="auto"/>
            </w:tcBorders>
            <w:hideMark/>
          </w:tcPr>
          <w:p w14:paraId="5DDD2CA2" w14:textId="77777777" w:rsidR="009A44F9" w:rsidRPr="004B3056" w:rsidRDefault="009A44F9" w:rsidP="00B72A95">
            <w:pPr>
              <w:spacing w:after="0" w:line="240" w:lineRule="auto"/>
              <w:jc w:val="center"/>
              <w:rPr>
                <w:rFonts w:eastAsia="Times New Roman" w:cs="Arial"/>
                <w:b/>
                <w:sz w:val="20"/>
                <w:szCs w:val="20"/>
                <w:lang w:val="fr-ML"/>
              </w:rPr>
            </w:pPr>
            <w:r w:rsidRPr="004B3056">
              <w:rPr>
                <w:rFonts w:eastAsia="Times New Roman" w:cs="Arial"/>
                <w:b/>
                <w:sz w:val="20"/>
                <w:szCs w:val="20"/>
                <w:lang w:val="fr-ML"/>
              </w:rPr>
              <w:t>3</w:t>
            </w:r>
          </w:p>
        </w:tc>
        <w:tc>
          <w:tcPr>
            <w:tcW w:w="838" w:type="pct"/>
            <w:tcBorders>
              <w:top w:val="single" w:sz="4" w:space="0" w:color="auto"/>
              <w:left w:val="single" w:sz="4" w:space="0" w:color="auto"/>
              <w:bottom w:val="single" w:sz="4" w:space="0" w:color="auto"/>
              <w:right w:val="single" w:sz="4" w:space="0" w:color="auto"/>
            </w:tcBorders>
            <w:hideMark/>
          </w:tcPr>
          <w:p w14:paraId="09063977" w14:textId="77777777" w:rsidR="009A44F9" w:rsidRPr="004B3056" w:rsidRDefault="009A44F9" w:rsidP="00B72A95">
            <w:pPr>
              <w:spacing w:after="0" w:line="240" w:lineRule="auto"/>
              <w:jc w:val="left"/>
              <w:rPr>
                <w:rFonts w:eastAsia="Times New Roman" w:cs="Arial"/>
                <w:bCs/>
                <w:sz w:val="20"/>
                <w:szCs w:val="20"/>
                <w:lang w:val="fr-FR"/>
              </w:rPr>
            </w:pPr>
            <w:r w:rsidRPr="004B3056">
              <w:rPr>
                <w:rFonts w:eastAsia="Times New Roman" w:cs="Arial"/>
                <w:bCs/>
                <w:sz w:val="20"/>
                <w:szCs w:val="20"/>
                <w:lang w:val="fr-FR"/>
              </w:rPr>
              <w:t xml:space="preserve"> Réserve de Biosphère de la Boucle du Baoulé(RBBB)</w:t>
            </w:r>
          </w:p>
          <w:p w14:paraId="4ED75250" w14:textId="77777777" w:rsidR="009A44F9" w:rsidRPr="004B3056" w:rsidRDefault="009A44F9" w:rsidP="00B72A95">
            <w:pPr>
              <w:spacing w:after="0" w:line="240" w:lineRule="auto"/>
              <w:jc w:val="left"/>
              <w:rPr>
                <w:rFonts w:eastAsia="Times New Roman" w:cs="Arial"/>
                <w:bCs/>
                <w:sz w:val="20"/>
                <w:szCs w:val="20"/>
                <w:lang w:val="fr-FR"/>
              </w:rPr>
            </w:pPr>
          </w:p>
        </w:tc>
        <w:tc>
          <w:tcPr>
            <w:tcW w:w="868" w:type="pct"/>
            <w:tcBorders>
              <w:top w:val="single" w:sz="4" w:space="0" w:color="auto"/>
              <w:left w:val="single" w:sz="4" w:space="0" w:color="auto"/>
              <w:bottom w:val="single" w:sz="4" w:space="0" w:color="auto"/>
              <w:right w:val="single" w:sz="4" w:space="0" w:color="auto"/>
            </w:tcBorders>
          </w:tcPr>
          <w:p w14:paraId="357D96DD" w14:textId="77777777" w:rsidR="009A44F9" w:rsidRPr="004B3056" w:rsidRDefault="009A44F9" w:rsidP="00B72A95">
            <w:pPr>
              <w:spacing w:after="0" w:line="240" w:lineRule="auto"/>
              <w:jc w:val="left"/>
              <w:rPr>
                <w:rFonts w:eastAsia="Times New Roman" w:cs="Arial"/>
                <w:bCs/>
                <w:sz w:val="20"/>
                <w:szCs w:val="20"/>
                <w:lang w:val="fr-FR"/>
              </w:rPr>
            </w:pPr>
            <w:r w:rsidRPr="004B3056">
              <w:rPr>
                <w:rFonts w:eastAsia="Times New Roman" w:cs="Arial"/>
                <w:bCs/>
                <w:sz w:val="20"/>
                <w:szCs w:val="20"/>
                <w:lang w:val="fr-FR"/>
              </w:rPr>
              <w:t>Réserves de Badinko, Fina</w:t>
            </w:r>
          </w:p>
          <w:p w14:paraId="2E1160EC" w14:textId="77777777" w:rsidR="009A44F9" w:rsidRPr="004B3056" w:rsidRDefault="009A44F9" w:rsidP="00B72A95">
            <w:pPr>
              <w:spacing w:after="0" w:line="240" w:lineRule="auto"/>
              <w:jc w:val="center"/>
              <w:rPr>
                <w:rFonts w:eastAsia="Times New Roman" w:cs="Arial"/>
                <w:bCs/>
                <w:sz w:val="20"/>
                <w:szCs w:val="20"/>
                <w:lang w:val="fr-FR"/>
              </w:rPr>
            </w:pPr>
            <w:r w:rsidRPr="004B3056">
              <w:rPr>
                <w:rFonts w:eastAsia="Times New Roman" w:cs="Arial"/>
                <w:bCs/>
                <w:sz w:val="20"/>
                <w:szCs w:val="20"/>
                <w:lang w:val="fr-FR"/>
              </w:rPr>
              <w:t>Kongossambougou</w:t>
            </w:r>
          </w:p>
          <w:p w14:paraId="6BBFFFE5" w14:textId="77777777" w:rsidR="009A44F9" w:rsidRPr="004B3056" w:rsidRDefault="009A44F9" w:rsidP="00B72A95">
            <w:pPr>
              <w:spacing w:after="0" w:line="240" w:lineRule="auto"/>
              <w:jc w:val="center"/>
              <w:rPr>
                <w:rFonts w:eastAsia="Times New Roman" w:cs="Arial"/>
                <w:bCs/>
                <w:sz w:val="20"/>
                <w:szCs w:val="20"/>
                <w:lang w:val="fr-FR"/>
              </w:rPr>
            </w:pPr>
            <w:r w:rsidRPr="004B3056">
              <w:rPr>
                <w:rFonts w:eastAsia="Times New Roman" w:cs="Arial"/>
                <w:bCs/>
                <w:sz w:val="20"/>
                <w:szCs w:val="20"/>
                <w:lang w:val="fr-FR"/>
              </w:rPr>
              <w:t>Admis comme</w:t>
            </w:r>
          </w:p>
          <w:p w14:paraId="3FC8DCF1" w14:textId="77777777" w:rsidR="009A44F9" w:rsidRPr="004B3056" w:rsidRDefault="009A44F9" w:rsidP="00B72A95">
            <w:pPr>
              <w:spacing w:after="0" w:line="240" w:lineRule="auto"/>
              <w:jc w:val="center"/>
              <w:rPr>
                <w:rFonts w:eastAsia="Times New Roman" w:cs="Arial"/>
                <w:bCs/>
                <w:sz w:val="20"/>
                <w:szCs w:val="20"/>
                <w:lang w:val="fr-FR"/>
              </w:rPr>
            </w:pPr>
            <w:r w:rsidRPr="004B3056">
              <w:rPr>
                <w:rFonts w:eastAsia="Times New Roman" w:cs="Arial"/>
                <w:bCs/>
                <w:sz w:val="20"/>
                <w:szCs w:val="20"/>
                <w:lang w:val="fr-FR"/>
              </w:rPr>
              <w:t>Réserve de la Biosphère</w:t>
            </w:r>
          </w:p>
        </w:tc>
        <w:tc>
          <w:tcPr>
            <w:tcW w:w="769" w:type="pct"/>
            <w:tcBorders>
              <w:top w:val="single" w:sz="4" w:space="0" w:color="auto"/>
              <w:left w:val="single" w:sz="4" w:space="0" w:color="auto"/>
              <w:bottom w:val="single" w:sz="4" w:space="0" w:color="auto"/>
              <w:right w:val="single" w:sz="4" w:space="0" w:color="auto"/>
            </w:tcBorders>
          </w:tcPr>
          <w:p w14:paraId="17D0E0FF" w14:textId="77777777" w:rsidR="009A44F9" w:rsidRPr="004B3056" w:rsidRDefault="009A44F9" w:rsidP="00B72A95">
            <w:pPr>
              <w:spacing w:after="0" w:line="240" w:lineRule="auto"/>
              <w:jc w:val="left"/>
              <w:rPr>
                <w:rFonts w:eastAsia="Times New Roman" w:cs="Arial"/>
                <w:sz w:val="20"/>
                <w:szCs w:val="20"/>
                <w:lang w:val="fr-FR"/>
              </w:rPr>
            </w:pPr>
            <w:r w:rsidRPr="004B3056">
              <w:rPr>
                <w:rFonts w:eastAsia="Times New Roman" w:cs="Arial"/>
                <w:sz w:val="20"/>
                <w:szCs w:val="20"/>
                <w:lang w:val="fr-FR"/>
              </w:rPr>
              <w:t>Régions de Kayes et Koulikoro</w:t>
            </w:r>
          </w:p>
          <w:p w14:paraId="43544923" w14:textId="77777777" w:rsidR="009A44F9" w:rsidRPr="004B3056" w:rsidRDefault="009A44F9" w:rsidP="00B72A95">
            <w:pPr>
              <w:spacing w:after="0" w:line="240" w:lineRule="auto"/>
              <w:jc w:val="left"/>
              <w:rPr>
                <w:rFonts w:eastAsia="Times New Roman" w:cs="Arial"/>
                <w:sz w:val="20"/>
                <w:szCs w:val="20"/>
                <w:lang w:val="fr-FR"/>
              </w:rPr>
            </w:pPr>
            <w:r w:rsidRPr="004B3056">
              <w:rPr>
                <w:rFonts w:eastAsia="Times New Roman" w:cs="Arial"/>
                <w:sz w:val="20"/>
                <w:szCs w:val="20"/>
                <w:lang w:val="fr-FR"/>
              </w:rPr>
              <w:t>(Cercles Kita, Diéma, Kati Kolokani)</w:t>
            </w:r>
          </w:p>
        </w:tc>
        <w:tc>
          <w:tcPr>
            <w:tcW w:w="769" w:type="pct"/>
            <w:tcBorders>
              <w:top w:val="single" w:sz="4" w:space="0" w:color="auto"/>
              <w:left w:val="single" w:sz="4" w:space="0" w:color="auto"/>
              <w:bottom w:val="single" w:sz="4" w:space="0" w:color="auto"/>
              <w:right w:val="single" w:sz="4" w:space="0" w:color="auto"/>
            </w:tcBorders>
          </w:tcPr>
          <w:p w14:paraId="1386ADE4" w14:textId="77777777" w:rsidR="009A44F9" w:rsidRPr="004B3056" w:rsidRDefault="009A44F9" w:rsidP="00B72A95">
            <w:pPr>
              <w:spacing w:after="0" w:line="240" w:lineRule="auto"/>
              <w:jc w:val="right"/>
              <w:rPr>
                <w:rFonts w:eastAsia="Times New Roman" w:cs="Arial"/>
                <w:bCs/>
                <w:sz w:val="20"/>
                <w:szCs w:val="20"/>
                <w:lang w:val="fr-FR"/>
              </w:rPr>
            </w:pPr>
          </w:p>
          <w:p w14:paraId="30C9C611" w14:textId="77777777" w:rsidR="009A44F9" w:rsidRPr="004B3056" w:rsidRDefault="009A44F9" w:rsidP="00B72A95">
            <w:pPr>
              <w:spacing w:after="0" w:line="240" w:lineRule="auto"/>
              <w:jc w:val="left"/>
              <w:rPr>
                <w:rFonts w:eastAsia="Times New Roman" w:cs="Arial"/>
                <w:bCs/>
                <w:sz w:val="20"/>
                <w:szCs w:val="20"/>
                <w:lang w:val="fr-FR"/>
              </w:rPr>
            </w:pPr>
          </w:p>
          <w:p w14:paraId="47C04388" w14:textId="77777777" w:rsidR="009A44F9" w:rsidRPr="004B3056" w:rsidRDefault="009A44F9" w:rsidP="00B72A95">
            <w:pPr>
              <w:spacing w:after="0" w:line="240" w:lineRule="auto"/>
              <w:jc w:val="right"/>
              <w:rPr>
                <w:rFonts w:eastAsia="Times New Roman" w:cs="Arial"/>
                <w:bCs/>
                <w:sz w:val="20"/>
                <w:szCs w:val="20"/>
                <w:lang w:val="fr-FR"/>
              </w:rPr>
            </w:pPr>
            <w:r w:rsidRPr="004B3056">
              <w:rPr>
                <w:rFonts w:eastAsia="Times New Roman" w:cs="Arial"/>
                <w:bCs/>
                <w:sz w:val="20"/>
                <w:szCs w:val="20"/>
                <w:lang w:val="fr-FR"/>
              </w:rPr>
              <w:t xml:space="preserve">2.500.000 </w:t>
            </w:r>
          </w:p>
        </w:tc>
        <w:tc>
          <w:tcPr>
            <w:tcW w:w="1451" w:type="pct"/>
            <w:tcBorders>
              <w:top w:val="single" w:sz="4" w:space="0" w:color="auto"/>
              <w:left w:val="single" w:sz="4" w:space="0" w:color="auto"/>
              <w:bottom w:val="single" w:sz="4" w:space="0" w:color="auto"/>
              <w:right w:val="single" w:sz="4" w:space="0" w:color="auto"/>
            </w:tcBorders>
          </w:tcPr>
          <w:p w14:paraId="35EB8B94" w14:textId="77777777" w:rsidR="009A44F9" w:rsidRPr="004B3056" w:rsidRDefault="009A44F9" w:rsidP="00B72A95">
            <w:pPr>
              <w:spacing w:after="0" w:line="240" w:lineRule="auto"/>
              <w:jc w:val="left"/>
              <w:rPr>
                <w:rFonts w:eastAsia="Times New Roman" w:cs="Arial"/>
                <w:bCs/>
                <w:sz w:val="20"/>
                <w:szCs w:val="20"/>
                <w:lang w:val="fr-FR"/>
              </w:rPr>
            </w:pPr>
          </w:p>
          <w:p w14:paraId="28567812" w14:textId="77777777" w:rsidR="009A44F9" w:rsidRPr="004B3056" w:rsidRDefault="009A44F9" w:rsidP="00B72A95">
            <w:pPr>
              <w:spacing w:after="0" w:line="240" w:lineRule="auto"/>
              <w:jc w:val="left"/>
              <w:rPr>
                <w:rFonts w:eastAsia="Times New Roman" w:cs="Arial"/>
                <w:bCs/>
                <w:sz w:val="20"/>
                <w:szCs w:val="20"/>
                <w:lang w:val="fr-FR"/>
              </w:rPr>
            </w:pPr>
          </w:p>
          <w:p w14:paraId="18491313" w14:textId="77777777" w:rsidR="009A44F9" w:rsidRPr="004B3056" w:rsidRDefault="009A44F9" w:rsidP="00B72A95">
            <w:pPr>
              <w:spacing w:after="0" w:line="240" w:lineRule="auto"/>
              <w:jc w:val="left"/>
              <w:rPr>
                <w:rFonts w:eastAsia="Times New Roman" w:cs="Arial"/>
                <w:bCs/>
                <w:sz w:val="20"/>
                <w:szCs w:val="20"/>
                <w:lang w:val="fr-FR"/>
              </w:rPr>
            </w:pPr>
            <w:r w:rsidRPr="004B3056">
              <w:rPr>
                <w:rFonts w:eastAsia="Times New Roman" w:cs="Arial"/>
                <w:bCs/>
                <w:sz w:val="20"/>
                <w:szCs w:val="20"/>
                <w:lang w:val="fr-FR"/>
              </w:rPr>
              <w:t>Loi N°063 du 0/07/2001</w:t>
            </w:r>
          </w:p>
        </w:tc>
      </w:tr>
      <w:tr w:rsidR="009A44F9" w:rsidRPr="004B3056" w14:paraId="16745F4B" w14:textId="77777777" w:rsidTr="00C83806">
        <w:trPr>
          <w:cantSplit/>
        </w:trPr>
        <w:tc>
          <w:tcPr>
            <w:tcW w:w="2780" w:type="pct"/>
            <w:gridSpan w:val="4"/>
            <w:tcBorders>
              <w:top w:val="single" w:sz="4" w:space="0" w:color="auto"/>
              <w:left w:val="single" w:sz="4" w:space="0" w:color="auto"/>
              <w:bottom w:val="single" w:sz="4" w:space="0" w:color="auto"/>
              <w:right w:val="single" w:sz="4" w:space="0" w:color="auto"/>
            </w:tcBorders>
            <w:shd w:val="clear" w:color="auto" w:fill="FBD4B4"/>
          </w:tcPr>
          <w:p w14:paraId="6EF32D4A" w14:textId="77777777" w:rsidR="009A44F9" w:rsidRPr="004B3056" w:rsidRDefault="009A44F9" w:rsidP="00B72A95">
            <w:pPr>
              <w:spacing w:after="0" w:line="240" w:lineRule="auto"/>
              <w:jc w:val="center"/>
              <w:rPr>
                <w:rFonts w:eastAsia="Times New Roman" w:cs="Arial"/>
                <w:b/>
                <w:sz w:val="20"/>
                <w:szCs w:val="20"/>
                <w:lang w:val="fr-FR"/>
              </w:rPr>
            </w:pPr>
            <w:r w:rsidRPr="004B3056">
              <w:rPr>
                <w:rFonts w:eastAsia="Times New Roman" w:cs="Arial"/>
                <w:b/>
                <w:sz w:val="20"/>
                <w:szCs w:val="20"/>
                <w:lang w:val="fr-FR"/>
              </w:rPr>
              <w:t>TOTAL</w:t>
            </w:r>
          </w:p>
        </w:tc>
        <w:tc>
          <w:tcPr>
            <w:tcW w:w="769" w:type="pct"/>
            <w:tcBorders>
              <w:top w:val="single" w:sz="4" w:space="0" w:color="auto"/>
              <w:left w:val="single" w:sz="4" w:space="0" w:color="auto"/>
              <w:bottom w:val="single" w:sz="4" w:space="0" w:color="auto"/>
              <w:right w:val="single" w:sz="4" w:space="0" w:color="auto"/>
            </w:tcBorders>
            <w:shd w:val="clear" w:color="auto" w:fill="FBD4B4"/>
            <w:hideMark/>
          </w:tcPr>
          <w:p w14:paraId="021D5AA9" w14:textId="77777777" w:rsidR="009A44F9" w:rsidRPr="004B3056" w:rsidRDefault="009A44F9" w:rsidP="00B72A95">
            <w:pPr>
              <w:spacing w:after="0" w:line="240" w:lineRule="auto"/>
              <w:jc w:val="right"/>
              <w:rPr>
                <w:rFonts w:eastAsia="Times New Roman" w:cs="Arial"/>
                <w:b/>
                <w:sz w:val="20"/>
                <w:szCs w:val="20"/>
                <w:lang w:val="fr-FR"/>
              </w:rPr>
            </w:pPr>
            <w:r w:rsidRPr="004B3056">
              <w:rPr>
                <w:rFonts w:eastAsia="Times New Roman" w:cs="Arial"/>
                <w:b/>
                <w:sz w:val="20"/>
                <w:szCs w:val="20"/>
                <w:lang w:val="fr-FR"/>
              </w:rPr>
              <w:t>2 581 400</w:t>
            </w:r>
          </w:p>
        </w:tc>
        <w:tc>
          <w:tcPr>
            <w:tcW w:w="1451" w:type="pct"/>
            <w:tcBorders>
              <w:top w:val="single" w:sz="4" w:space="0" w:color="auto"/>
              <w:left w:val="single" w:sz="4" w:space="0" w:color="auto"/>
              <w:bottom w:val="single" w:sz="4" w:space="0" w:color="auto"/>
              <w:right w:val="single" w:sz="4" w:space="0" w:color="auto"/>
            </w:tcBorders>
            <w:shd w:val="clear" w:color="auto" w:fill="FBD4B4"/>
          </w:tcPr>
          <w:p w14:paraId="3B2BB2BA" w14:textId="77777777" w:rsidR="009A44F9" w:rsidRPr="004B3056" w:rsidRDefault="009A44F9" w:rsidP="00B72A95">
            <w:pPr>
              <w:spacing w:after="0" w:line="240" w:lineRule="auto"/>
              <w:jc w:val="left"/>
              <w:rPr>
                <w:rFonts w:eastAsia="Times New Roman" w:cs="Arial"/>
                <w:bCs/>
                <w:sz w:val="20"/>
                <w:szCs w:val="20"/>
                <w:lang w:val="fr-FR"/>
              </w:rPr>
            </w:pPr>
          </w:p>
        </w:tc>
      </w:tr>
    </w:tbl>
    <w:p w14:paraId="097882F0" w14:textId="77777777" w:rsidR="009A44F9" w:rsidRPr="004B3056" w:rsidRDefault="009A44F9" w:rsidP="009A44F9">
      <w:pPr>
        <w:spacing w:after="0" w:line="240" w:lineRule="auto"/>
        <w:jc w:val="center"/>
        <w:rPr>
          <w:rFonts w:eastAsia="Times New Roman" w:cs="Arial"/>
          <w:b/>
          <w:sz w:val="20"/>
          <w:szCs w:val="20"/>
          <w:u w:val="single"/>
          <w:lang w:val="fr-FR" w:eastAsia="fr-FR"/>
        </w:rPr>
      </w:pPr>
    </w:p>
    <w:p w14:paraId="6F43D7A0" w14:textId="77777777" w:rsidR="009A44F9" w:rsidRPr="004B3056" w:rsidRDefault="009A44F9" w:rsidP="009A44F9">
      <w:pPr>
        <w:spacing w:after="0" w:line="240" w:lineRule="auto"/>
        <w:jc w:val="center"/>
        <w:rPr>
          <w:rFonts w:eastAsia="Times New Roman" w:cs="Arial"/>
          <w:b/>
          <w:sz w:val="20"/>
          <w:szCs w:val="20"/>
          <w:lang w:val="fr-FR" w:eastAsia="fr-FR"/>
        </w:rPr>
      </w:pPr>
      <w:r w:rsidRPr="004B3056">
        <w:rPr>
          <w:rFonts w:eastAsia="Times New Roman" w:cs="Arial"/>
          <w:b/>
          <w:sz w:val="20"/>
          <w:szCs w:val="20"/>
          <w:lang w:val="fr-FR" w:eastAsia="fr-FR"/>
        </w:rPr>
        <w:t>REGION DE SIKASSO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2"/>
        <w:gridCol w:w="1770"/>
        <w:gridCol w:w="1786"/>
        <w:gridCol w:w="1474"/>
        <w:gridCol w:w="1405"/>
        <w:gridCol w:w="3100"/>
      </w:tblGrid>
      <w:tr w:rsidR="009A44F9" w:rsidRPr="004B3056" w14:paraId="1795D35E" w14:textId="77777777" w:rsidTr="00B72A95">
        <w:trPr>
          <w:cantSplit/>
          <w:trHeight w:val="638"/>
        </w:trPr>
        <w:tc>
          <w:tcPr>
            <w:tcW w:w="297" w:type="pct"/>
            <w:tcBorders>
              <w:top w:val="single" w:sz="4" w:space="0" w:color="auto"/>
              <w:left w:val="single" w:sz="4" w:space="0" w:color="auto"/>
              <w:bottom w:val="single" w:sz="4" w:space="0" w:color="auto"/>
              <w:right w:val="single" w:sz="4" w:space="0" w:color="auto"/>
            </w:tcBorders>
            <w:shd w:val="clear" w:color="auto" w:fill="DDD9C3"/>
            <w:hideMark/>
          </w:tcPr>
          <w:p w14:paraId="18B3F5EF" w14:textId="77777777" w:rsidR="009A44F9" w:rsidRPr="004B3056" w:rsidRDefault="009A44F9" w:rsidP="00B72A95">
            <w:pPr>
              <w:spacing w:after="0" w:line="276" w:lineRule="auto"/>
              <w:jc w:val="center"/>
              <w:rPr>
                <w:rFonts w:eastAsia="Times New Roman" w:cs="Arial"/>
                <w:b/>
                <w:sz w:val="20"/>
                <w:szCs w:val="20"/>
                <w:lang w:val="fr-FR"/>
              </w:rPr>
            </w:pPr>
            <w:r w:rsidRPr="004B3056">
              <w:rPr>
                <w:rFonts w:eastAsia="Times New Roman" w:cs="Arial"/>
                <w:b/>
                <w:sz w:val="20"/>
                <w:szCs w:val="20"/>
                <w:lang w:val="fr-FR"/>
              </w:rPr>
              <w:t xml:space="preserve">N° </w:t>
            </w:r>
          </w:p>
        </w:tc>
        <w:tc>
          <w:tcPr>
            <w:tcW w:w="873" w:type="pct"/>
            <w:tcBorders>
              <w:top w:val="single" w:sz="4" w:space="0" w:color="auto"/>
              <w:left w:val="single" w:sz="4" w:space="0" w:color="auto"/>
              <w:bottom w:val="single" w:sz="4" w:space="0" w:color="auto"/>
              <w:right w:val="single" w:sz="4" w:space="0" w:color="auto"/>
            </w:tcBorders>
            <w:shd w:val="clear" w:color="auto" w:fill="DDD9C3"/>
          </w:tcPr>
          <w:p w14:paraId="4AEE9F60" w14:textId="77777777" w:rsidR="009A44F9" w:rsidRPr="004B3056" w:rsidRDefault="009A44F9" w:rsidP="00B72A95">
            <w:pPr>
              <w:spacing w:after="0" w:line="276" w:lineRule="auto"/>
              <w:jc w:val="center"/>
              <w:rPr>
                <w:rFonts w:eastAsia="Times New Roman" w:cs="Arial"/>
                <w:b/>
                <w:sz w:val="20"/>
                <w:szCs w:val="20"/>
                <w:lang w:val="fr-FR"/>
              </w:rPr>
            </w:pPr>
            <w:r w:rsidRPr="004B3056">
              <w:rPr>
                <w:rFonts w:eastAsia="Times New Roman" w:cs="Arial"/>
                <w:b/>
                <w:sz w:val="20"/>
                <w:szCs w:val="20"/>
                <w:lang w:val="fr-FR"/>
              </w:rPr>
              <w:t>Désignation</w:t>
            </w:r>
          </w:p>
          <w:p w14:paraId="3F64FFA4" w14:textId="77777777" w:rsidR="009A44F9" w:rsidRPr="004B3056" w:rsidRDefault="009A44F9" w:rsidP="00B72A95">
            <w:pPr>
              <w:spacing w:after="0" w:line="276" w:lineRule="auto"/>
              <w:rPr>
                <w:rFonts w:eastAsia="Times New Roman" w:cs="Arial"/>
                <w:sz w:val="20"/>
                <w:szCs w:val="20"/>
                <w:lang w:val="fr-ML"/>
              </w:rPr>
            </w:pPr>
          </w:p>
        </w:tc>
        <w:tc>
          <w:tcPr>
            <w:tcW w:w="881" w:type="pct"/>
            <w:tcBorders>
              <w:top w:val="single" w:sz="4" w:space="0" w:color="auto"/>
              <w:left w:val="single" w:sz="4" w:space="0" w:color="auto"/>
              <w:bottom w:val="single" w:sz="4" w:space="0" w:color="auto"/>
              <w:right w:val="single" w:sz="4" w:space="0" w:color="auto"/>
            </w:tcBorders>
            <w:shd w:val="clear" w:color="auto" w:fill="DDD9C3"/>
          </w:tcPr>
          <w:p w14:paraId="20B00149" w14:textId="77777777" w:rsidR="009A44F9" w:rsidRPr="004B3056" w:rsidRDefault="009A44F9" w:rsidP="00B72A95">
            <w:pPr>
              <w:spacing w:after="0" w:line="240" w:lineRule="auto"/>
              <w:jc w:val="center"/>
              <w:outlineLvl w:val="6"/>
              <w:rPr>
                <w:rFonts w:ascii="Times New Roman" w:eastAsia="Times New Roman" w:hAnsi="Times New Roman" w:cs="Times New Roman"/>
                <w:b/>
                <w:sz w:val="20"/>
                <w:szCs w:val="20"/>
                <w:lang w:val="fr-FR"/>
              </w:rPr>
            </w:pPr>
            <w:r w:rsidRPr="004B3056">
              <w:rPr>
                <w:rFonts w:ascii="Times New Roman" w:eastAsia="Times New Roman" w:hAnsi="Times New Roman" w:cs="Times New Roman"/>
                <w:b/>
                <w:sz w:val="20"/>
                <w:szCs w:val="20"/>
                <w:lang w:val="fr-FR"/>
              </w:rPr>
              <w:t>Statut</w:t>
            </w:r>
          </w:p>
          <w:p w14:paraId="1B2E04AB" w14:textId="77777777" w:rsidR="009A44F9" w:rsidRPr="004B3056" w:rsidRDefault="009A44F9" w:rsidP="00B72A95">
            <w:pPr>
              <w:spacing w:after="0" w:line="276" w:lineRule="auto"/>
              <w:rPr>
                <w:rFonts w:eastAsia="Times New Roman" w:cs="Arial"/>
                <w:b/>
                <w:sz w:val="20"/>
                <w:szCs w:val="20"/>
                <w:lang w:val="fr-FR"/>
              </w:rPr>
            </w:pPr>
          </w:p>
        </w:tc>
        <w:tc>
          <w:tcPr>
            <w:tcW w:w="727" w:type="pct"/>
            <w:tcBorders>
              <w:top w:val="single" w:sz="4" w:space="0" w:color="auto"/>
              <w:left w:val="single" w:sz="4" w:space="0" w:color="auto"/>
              <w:bottom w:val="single" w:sz="4" w:space="0" w:color="auto"/>
              <w:right w:val="single" w:sz="4" w:space="0" w:color="auto"/>
            </w:tcBorders>
            <w:shd w:val="clear" w:color="auto" w:fill="DDD9C3"/>
            <w:hideMark/>
          </w:tcPr>
          <w:p w14:paraId="4F75E1F9" w14:textId="77777777" w:rsidR="009A44F9" w:rsidRPr="004B3056" w:rsidRDefault="009A44F9" w:rsidP="00B72A95">
            <w:pPr>
              <w:spacing w:after="0" w:line="276" w:lineRule="auto"/>
              <w:ind w:hanging="40"/>
              <w:jc w:val="center"/>
              <w:rPr>
                <w:rFonts w:eastAsia="Times New Roman" w:cs="Arial"/>
                <w:b/>
                <w:sz w:val="20"/>
                <w:szCs w:val="20"/>
                <w:lang w:val="fr-FR"/>
              </w:rPr>
            </w:pPr>
            <w:r w:rsidRPr="004B3056">
              <w:rPr>
                <w:rFonts w:eastAsia="Times New Roman" w:cs="Arial"/>
                <w:b/>
                <w:sz w:val="20"/>
                <w:szCs w:val="20"/>
                <w:lang w:val="fr-FR"/>
              </w:rPr>
              <w:t>Localisation</w:t>
            </w:r>
          </w:p>
        </w:tc>
        <w:tc>
          <w:tcPr>
            <w:tcW w:w="693" w:type="pct"/>
            <w:tcBorders>
              <w:top w:val="single" w:sz="4" w:space="0" w:color="auto"/>
              <w:left w:val="single" w:sz="4" w:space="0" w:color="auto"/>
              <w:bottom w:val="single" w:sz="4" w:space="0" w:color="auto"/>
              <w:right w:val="single" w:sz="4" w:space="0" w:color="auto"/>
            </w:tcBorders>
            <w:shd w:val="clear" w:color="auto" w:fill="DDD9C3"/>
            <w:hideMark/>
          </w:tcPr>
          <w:p w14:paraId="786ADCBA" w14:textId="77777777" w:rsidR="009A44F9" w:rsidRPr="004B3056" w:rsidRDefault="009A44F9" w:rsidP="00B72A95">
            <w:pPr>
              <w:spacing w:after="0" w:line="276" w:lineRule="auto"/>
              <w:jc w:val="center"/>
              <w:rPr>
                <w:rFonts w:eastAsia="Times New Roman" w:cs="Arial"/>
                <w:b/>
                <w:sz w:val="20"/>
                <w:szCs w:val="20"/>
                <w:lang w:val="fr-FR"/>
              </w:rPr>
            </w:pPr>
            <w:r w:rsidRPr="004B3056">
              <w:rPr>
                <w:rFonts w:eastAsia="Times New Roman" w:cs="Arial"/>
                <w:b/>
                <w:sz w:val="20"/>
                <w:szCs w:val="20"/>
                <w:lang w:val="fr-FR"/>
              </w:rPr>
              <w:t>Superficie</w:t>
            </w:r>
          </w:p>
          <w:p w14:paraId="36A2D284" w14:textId="77777777" w:rsidR="009A44F9" w:rsidRPr="004B3056" w:rsidRDefault="009A44F9" w:rsidP="00B72A95">
            <w:pPr>
              <w:spacing w:after="0" w:line="276" w:lineRule="auto"/>
              <w:jc w:val="center"/>
              <w:rPr>
                <w:rFonts w:eastAsia="Times New Roman" w:cs="Arial"/>
                <w:b/>
                <w:sz w:val="20"/>
                <w:szCs w:val="20"/>
                <w:lang w:val="fr-FR"/>
              </w:rPr>
            </w:pPr>
            <w:r w:rsidRPr="004B3056">
              <w:rPr>
                <w:rFonts w:eastAsia="Times New Roman" w:cs="Arial"/>
                <w:b/>
                <w:sz w:val="20"/>
                <w:szCs w:val="20"/>
                <w:lang w:val="fr-FR"/>
              </w:rPr>
              <w:t>(ha)</w:t>
            </w:r>
          </w:p>
        </w:tc>
        <w:tc>
          <w:tcPr>
            <w:tcW w:w="1529" w:type="pct"/>
            <w:tcBorders>
              <w:top w:val="single" w:sz="4" w:space="0" w:color="auto"/>
              <w:left w:val="single" w:sz="4" w:space="0" w:color="auto"/>
              <w:bottom w:val="single" w:sz="4" w:space="0" w:color="auto"/>
              <w:right w:val="single" w:sz="4" w:space="0" w:color="auto"/>
            </w:tcBorders>
            <w:shd w:val="clear" w:color="auto" w:fill="DDD9C3"/>
            <w:hideMark/>
          </w:tcPr>
          <w:p w14:paraId="1F72F10A" w14:textId="77777777" w:rsidR="009A44F9" w:rsidRPr="004B3056" w:rsidRDefault="009A44F9" w:rsidP="00B72A95">
            <w:pPr>
              <w:spacing w:after="0" w:line="276" w:lineRule="auto"/>
              <w:jc w:val="center"/>
              <w:rPr>
                <w:rFonts w:eastAsia="Times New Roman" w:cs="Arial"/>
                <w:b/>
                <w:sz w:val="20"/>
                <w:szCs w:val="20"/>
                <w:lang w:val="fr-FR"/>
              </w:rPr>
            </w:pPr>
            <w:r w:rsidRPr="004B3056">
              <w:rPr>
                <w:rFonts w:eastAsia="Times New Roman" w:cs="Arial"/>
                <w:b/>
                <w:sz w:val="20"/>
                <w:szCs w:val="20"/>
                <w:lang w:val="fr-FR"/>
              </w:rPr>
              <w:t>Référence</w:t>
            </w:r>
          </w:p>
        </w:tc>
      </w:tr>
      <w:tr w:rsidR="009A44F9" w:rsidRPr="004B3056" w14:paraId="678A7D24" w14:textId="77777777" w:rsidTr="00B72A95">
        <w:trPr>
          <w:cantSplit/>
        </w:trPr>
        <w:tc>
          <w:tcPr>
            <w:tcW w:w="297" w:type="pct"/>
            <w:tcBorders>
              <w:top w:val="single" w:sz="4" w:space="0" w:color="auto"/>
              <w:left w:val="single" w:sz="4" w:space="0" w:color="auto"/>
              <w:bottom w:val="single" w:sz="4" w:space="0" w:color="auto"/>
              <w:right w:val="single" w:sz="4" w:space="0" w:color="auto"/>
            </w:tcBorders>
            <w:hideMark/>
          </w:tcPr>
          <w:p w14:paraId="69DA829B" w14:textId="77777777" w:rsidR="009A44F9" w:rsidRPr="004B3056" w:rsidRDefault="009A44F9" w:rsidP="00B72A95">
            <w:pPr>
              <w:spacing w:after="0" w:line="240" w:lineRule="auto"/>
              <w:jc w:val="center"/>
              <w:rPr>
                <w:rFonts w:eastAsia="Times New Roman" w:cs="Arial"/>
                <w:b/>
                <w:sz w:val="20"/>
                <w:szCs w:val="20"/>
                <w:lang w:val="fr-ML"/>
              </w:rPr>
            </w:pPr>
            <w:r w:rsidRPr="004B3056">
              <w:rPr>
                <w:rFonts w:eastAsia="Times New Roman" w:cs="Arial"/>
                <w:b/>
                <w:sz w:val="20"/>
                <w:szCs w:val="20"/>
                <w:lang w:val="fr-ML"/>
              </w:rPr>
              <w:t>1</w:t>
            </w:r>
          </w:p>
        </w:tc>
        <w:tc>
          <w:tcPr>
            <w:tcW w:w="873" w:type="pct"/>
            <w:tcBorders>
              <w:top w:val="single" w:sz="4" w:space="0" w:color="auto"/>
              <w:left w:val="single" w:sz="4" w:space="0" w:color="auto"/>
              <w:bottom w:val="single" w:sz="4" w:space="0" w:color="auto"/>
              <w:right w:val="single" w:sz="4" w:space="0" w:color="auto"/>
            </w:tcBorders>
            <w:hideMark/>
          </w:tcPr>
          <w:p w14:paraId="7ED15CC1" w14:textId="77777777" w:rsidR="009A44F9" w:rsidRPr="004B3056" w:rsidRDefault="009A44F9" w:rsidP="00B72A95">
            <w:pPr>
              <w:spacing w:after="0" w:line="240" w:lineRule="auto"/>
              <w:rPr>
                <w:rFonts w:eastAsia="Times New Roman" w:cs="Arial"/>
                <w:sz w:val="20"/>
                <w:szCs w:val="20"/>
                <w:lang w:val="fr-FR"/>
              </w:rPr>
            </w:pPr>
            <w:r w:rsidRPr="004B3056">
              <w:rPr>
                <w:rFonts w:eastAsia="Times New Roman" w:cs="Arial"/>
                <w:sz w:val="20"/>
                <w:szCs w:val="20"/>
                <w:lang w:val="fr-FR"/>
              </w:rPr>
              <w:t>Siankadougou</w:t>
            </w:r>
          </w:p>
        </w:tc>
        <w:tc>
          <w:tcPr>
            <w:tcW w:w="881" w:type="pct"/>
            <w:tcBorders>
              <w:top w:val="single" w:sz="4" w:space="0" w:color="auto"/>
              <w:left w:val="single" w:sz="4" w:space="0" w:color="auto"/>
              <w:bottom w:val="single" w:sz="4" w:space="0" w:color="auto"/>
              <w:right w:val="single" w:sz="4" w:space="0" w:color="auto"/>
            </w:tcBorders>
            <w:hideMark/>
          </w:tcPr>
          <w:p w14:paraId="40E06042" w14:textId="77777777" w:rsidR="009A44F9" w:rsidRPr="004B3056" w:rsidRDefault="009A44F9" w:rsidP="00B72A95">
            <w:pPr>
              <w:spacing w:after="0" w:line="240" w:lineRule="auto"/>
              <w:rPr>
                <w:rFonts w:eastAsia="Times New Roman" w:cs="Arial"/>
                <w:sz w:val="20"/>
                <w:szCs w:val="20"/>
                <w:lang w:val="fr-FR"/>
              </w:rPr>
            </w:pPr>
            <w:r w:rsidRPr="004B3056">
              <w:rPr>
                <w:rFonts w:eastAsia="Times New Roman" w:cs="Arial"/>
                <w:sz w:val="20"/>
                <w:szCs w:val="20"/>
                <w:lang w:val="fr-FR"/>
              </w:rPr>
              <w:t>Réserve Partielle Faune</w:t>
            </w:r>
          </w:p>
        </w:tc>
        <w:tc>
          <w:tcPr>
            <w:tcW w:w="727" w:type="pct"/>
            <w:tcBorders>
              <w:top w:val="single" w:sz="4" w:space="0" w:color="auto"/>
              <w:left w:val="single" w:sz="4" w:space="0" w:color="auto"/>
              <w:bottom w:val="single" w:sz="4" w:space="0" w:color="auto"/>
              <w:right w:val="single" w:sz="4" w:space="0" w:color="auto"/>
            </w:tcBorders>
            <w:hideMark/>
          </w:tcPr>
          <w:p w14:paraId="7AD99F76" w14:textId="77777777" w:rsidR="009A44F9" w:rsidRPr="004B3056" w:rsidRDefault="009A44F9" w:rsidP="00B72A95">
            <w:pPr>
              <w:spacing w:after="0" w:line="240" w:lineRule="auto"/>
              <w:jc w:val="left"/>
              <w:rPr>
                <w:rFonts w:eastAsia="Times New Roman" w:cs="Arial"/>
                <w:sz w:val="20"/>
                <w:szCs w:val="20"/>
                <w:lang w:val="fr-FR"/>
              </w:rPr>
            </w:pPr>
            <w:r w:rsidRPr="004B3056">
              <w:rPr>
                <w:rFonts w:eastAsia="Times New Roman" w:cs="Arial"/>
                <w:sz w:val="20"/>
                <w:szCs w:val="20"/>
                <w:lang w:val="fr-FR"/>
              </w:rPr>
              <w:t>Bougouni</w:t>
            </w:r>
          </w:p>
        </w:tc>
        <w:tc>
          <w:tcPr>
            <w:tcW w:w="693" w:type="pct"/>
            <w:tcBorders>
              <w:top w:val="single" w:sz="4" w:space="0" w:color="auto"/>
              <w:left w:val="single" w:sz="4" w:space="0" w:color="auto"/>
              <w:bottom w:val="single" w:sz="4" w:space="0" w:color="auto"/>
              <w:right w:val="single" w:sz="4" w:space="0" w:color="auto"/>
            </w:tcBorders>
            <w:hideMark/>
          </w:tcPr>
          <w:p w14:paraId="09C769C2" w14:textId="77777777" w:rsidR="009A44F9" w:rsidRPr="004B3056" w:rsidRDefault="009A44F9" w:rsidP="00B72A95">
            <w:pPr>
              <w:spacing w:after="0" w:line="240" w:lineRule="auto"/>
              <w:jc w:val="right"/>
              <w:rPr>
                <w:rFonts w:eastAsia="Times New Roman" w:cs="Arial"/>
                <w:sz w:val="20"/>
                <w:szCs w:val="20"/>
                <w:lang w:val="fr-FR"/>
              </w:rPr>
            </w:pPr>
            <w:r w:rsidRPr="004B3056">
              <w:rPr>
                <w:rFonts w:eastAsia="Times New Roman" w:cs="Arial"/>
                <w:sz w:val="20"/>
                <w:szCs w:val="20"/>
                <w:lang w:val="fr-FR"/>
              </w:rPr>
              <w:t>6.000</w:t>
            </w:r>
          </w:p>
        </w:tc>
        <w:tc>
          <w:tcPr>
            <w:tcW w:w="1529" w:type="pct"/>
            <w:tcBorders>
              <w:top w:val="single" w:sz="4" w:space="0" w:color="auto"/>
              <w:left w:val="single" w:sz="4" w:space="0" w:color="auto"/>
              <w:bottom w:val="single" w:sz="4" w:space="0" w:color="auto"/>
              <w:right w:val="single" w:sz="4" w:space="0" w:color="auto"/>
            </w:tcBorders>
            <w:hideMark/>
          </w:tcPr>
          <w:p w14:paraId="4230DC91" w14:textId="77777777" w:rsidR="009A44F9" w:rsidRPr="004B3056" w:rsidRDefault="009A44F9" w:rsidP="00393CA8">
            <w:pPr>
              <w:numPr>
                <w:ilvl w:val="0"/>
                <w:numId w:val="39"/>
              </w:numPr>
              <w:spacing w:after="0" w:line="240" w:lineRule="auto"/>
              <w:ind w:left="0" w:firstLine="0"/>
              <w:jc w:val="left"/>
              <w:rPr>
                <w:rFonts w:eastAsia="Times New Roman" w:cs="Arial"/>
                <w:bCs/>
                <w:sz w:val="20"/>
                <w:szCs w:val="20"/>
                <w:lang w:val="fr-ML"/>
              </w:rPr>
            </w:pPr>
            <w:r w:rsidRPr="004B3056">
              <w:rPr>
                <w:rFonts w:eastAsia="Times New Roman" w:cs="Arial"/>
                <w:bCs/>
                <w:sz w:val="20"/>
                <w:szCs w:val="20"/>
                <w:lang w:val="fr-ML"/>
              </w:rPr>
              <w:t>Arrt Général 8530/SEF                                                                                                                                                                                                                                                                                                                                                                                                                                                                                                                                                                                                                                                                                                                                                                                                                                                                                                                                                                                                             du 30/11/1954</w:t>
            </w:r>
          </w:p>
        </w:tc>
      </w:tr>
      <w:tr w:rsidR="009A44F9" w:rsidRPr="004B3056" w14:paraId="407CC6A4" w14:textId="77777777" w:rsidTr="00B72A95">
        <w:trPr>
          <w:cantSplit/>
        </w:trPr>
        <w:tc>
          <w:tcPr>
            <w:tcW w:w="297" w:type="pct"/>
            <w:tcBorders>
              <w:top w:val="single" w:sz="4" w:space="0" w:color="auto"/>
              <w:left w:val="single" w:sz="4" w:space="0" w:color="auto"/>
              <w:bottom w:val="single" w:sz="4" w:space="0" w:color="auto"/>
              <w:right w:val="single" w:sz="4" w:space="0" w:color="auto"/>
            </w:tcBorders>
            <w:hideMark/>
          </w:tcPr>
          <w:p w14:paraId="46EFBF72" w14:textId="77777777" w:rsidR="009A44F9" w:rsidRPr="004B3056" w:rsidRDefault="009A44F9" w:rsidP="00B72A95">
            <w:pPr>
              <w:spacing w:after="0" w:line="240" w:lineRule="auto"/>
              <w:jc w:val="center"/>
              <w:rPr>
                <w:rFonts w:eastAsia="Times New Roman" w:cs="Arial"/>
                <w:b/>
                <w:sz w:val="20"/>
                <w:szCs w:val="20"/>
                <w:lang w:val="fr-ML"/>
              </w:rPr>
            </w:pPr>
            <w:r w:rsidRPr="004B3056">
              <w:rPr>
                <w:rFonts w:eastAsia="Times New Roman" w:cs="Arial"/>
                <w:b/>
                <w:sz w:val="20"/>
                <w:szCs w:val="20"/>
                <w:lang w:val="fr-ML"/>
              </w:rPr>
              <w:t>2</w:t>
            </w:r>
          </w:p>
          <w:p w14:paraId="76904B6E" w14:textId="77777777" w:rsidR="009A44F9" w:rsidRPr="004B3056" w:rsidRDefault="009A44F9" w:rsidP="00B72A95">
            <w:pPr>
              <w:spacing w:after="0" w:line="240" w:lineRule="auto"/>
              <w:jc w:val="center"/>
              <w:rPr>
                <w:rFonts w:eastAsia="Times New Roman" w:cs="Arial"/>
                <w:b/>
                <w:sz w:val="20"/>
                <w:szCs w:val="20"/>
                <w:lang w:val="fr-ML"/>
              </w:rPr>
            </w:pPr>
          </w:p>
        </w:tc>
        <w:tc>
          <w:tcPr>
            <w:tcW w:w="873" w:type="pct"/>
            <w:tcBorders>
              <w:top w:val="single" w:sz="4" w:space="0" w:color="auto"/>
              <w:left w:val="single" w:sz="4" w:space="0" w:color="auto"/>
              <w:bottom w:val="single" w:sz="4" w:space="0" w:color="auto"/>
              <w:right w:val="single" w:sz="4" w:space="0" w:color="auto"/>
            </w:tcBorders>
            <w:hideMark/>
          </w:tcPr>
          <w:p w14:paraId="18AAC50E" w14:textId="77777777" w:rsidR="009A44F9" w:rsidRPr="004B3056" w:rsidRDefault="009A44F9" w:rsidP="00B72A95">
            <w:pPr>
              <w:spacing w:after="0" w:line="240" w:lineRule="auto"/>
              <w:rPr>
                <w:rFonts w:eastAsia="Times New Roman" w:cs="Arial"/>
                <w:sz w:val="20"/>
                <w:szCs w:val="20"/>
                <w:lang w:val="fr-FR"/>
              </w:rPr>
            </w:pPr>
            <w:r w:rsidRPr="004B3056">
              <w:rPr>
                <w:rFonts w:eastAsia="Times New Roman" w:cs="Arial"/>
                <w:bCs/>
                <w:sz w:val="20"/>
                <w:szCs w:val="20"/>
                <w:lang w:val="fr-FR"/>
              </w:rPr>
              <w:t>Banifing Baoulé</w:t>
            </w:r>
          </w:p>
        </w:tc>
        <w:tc>
          <w:tcPr>
            <w:tcW w:w="881" w:type="pct"/>
            <w:tcBorders>
              <w:top w:val="single" w:sz="4" w:space="0" w:color="auto"/>
              <w:left w:val="single" w:sz="4" w:space="0" w:color="auto"/>
              <w:bottom w:val="single" w:sz="4" w:space="0" w:color="auto"/>
              <w:right w:val="single" w:sz="4" w:space="0" w:color="auto"/>
            </w:tcBorders>
            <w:hideMark/>
          </w:tcPr>
          <w:p w14:paraId="6A567AEE" w14:textId="77777777" w:rsidR="009A44F9" w:rsidRPr="004B3056" w:rsidRDefault="009A44F9" w:rsidP="00B72A95">
            <w:pPr>
              <w:spacing w:after="0" w:line="240" w:lineRule="auto"/>
              <w:rPr>
                <w:rFonts w:eastAsia="Times New Roman" w:cs="Arial"/>
                <w:sz w:val="20"/>
                <w:szCs w:val="20"/>
                <w:lang w:val="fr-FR"/>
              </w:rPr>
            </w:pPr>
            <w:r w:rsidRPr="004B3056">
              <w:rPr>
                <w:rFonts w:eastAsia="Times New Roman" w:cs="Arial"/>
                <w:sz w:val="20"/>
                <w:szCs w:val="20"/>
                <w:lang w:val="fr-FR"/>
              </w:rPr>
              <w:t>Réserve Partielle Faune</w:t>
            </w:r>
          </w:p>
        </w:tc>
        <w:tc>
          <w:tcPr>
            <w:tcW w:w="727" w:type="pct"/>
            <w:tcBorders>
              <w:top w:val="single" w:sz="4" w:space="0" w:color="auto"/>
              <w:left w:val="single" w:sz="4" w:space="0" w:color="auto"/>
              <w:bottom w:val="single" w:sz="4" w:space="0" w:color="auto"/>
              <w:right w:val="single" w:sz="4" w:space="0" w:color="auto"/>
            </w:tcBorders>
            <w:hideMark/>
          </w:tcPr>
          <w:p w14:paraId="12B6FC4B" w14:textId="77777777" w:rsidR="009A44F9" w:rsidRPr="004B3056" w:rsidRDefault="009A44F9" w:rsidP="00B72A95">
            <w:pPr>
              <w:spacing w:after="0" w:line="240" w:lineRule="auto"/>
              <w:jc w:val="left"/>
              <w:rPr>
                <w:rFonts w:eastAsia="Times New Roman" w:cs="Arial"/>
                <w:sz w:val="20"/>
                <w:szCs w:val="20"/>
                <w:lang w:val="fr-FR"/>
              </w:rPr>
            </w:pPr>
            <w:r w:rsidRPr="004B3056">
              <w:rPr>
                <w:rFonts w:eastAsia="Times New Roman" w:cs="Arial"/>
                <w:sz w:val="20"/>
                <w:szCs w:val="20"/>
                <w:lang w:val="fr-FR"/>
              </w:rPr>
              <w:t>Bougouni</w:t>
            </w:r>
          </w:p>
        </w:tc>
        <w:tc>
          <w:tcPr>
            <w:tcW w:w="693" w:type="pct"/>
            <w:tcBorders>
              <w:top w:val="single" w:sz="4" w:space="0" w:color="auto"/>
              <w:left w:val="single" w:sz="4" w:space="0" w:color="auto"/>
              <w:bottom w:val="single" w:sz="4" w:space="0" w:color="auto"/>
              <w:right w:val="single" w:sz="4" w:space="0" w:color="auto"/>
            </w:tcBorders>
            <w:hideMark/>
          </w:tcPr>
          <w:p w14:paraId="10F97814" w14:textId="77777777" w:rsidR="009A44F9" w:rsidRPr="004B3056" w:rsidRDefault="009A44F9" w:rsidP="00B72A95">
            <w:pPr>
              <w:spacing w:after="0" w:line="240" w:lineRule="auto"/>
              <w:jc w:val="right"/>
              <w:rPr>
                <w:rFonts w:eastAsia="Times New Roman" w:cs="Arial"/>
                <w:bCs/>
                <w:sz w:val="20"/>
                <w:szCs w:val="20"/>
                <w:lang w:val="fr-FR"/>
              </w:rPr>
            </w:pPr>
            <w:r w:rsidRPr="004B3056">
              <w:rPr>
                <w:rFonts w:eastAsia="Times New Roman" w:cs="Arial"/>
                <w:bCs/>
                <w:sz w:val="20"/>
                <w:szCs w:val="20"/>
                <w:lang w:val="fr-FR"/>
              </w:rPr>
              <w:t>13 000</w:t>
            </w:r>
          </w:p>
        </w:tc>
        <w:tc>
          <w:tcPr>
            <w:tcW w:w="1529" w:type="pct"/>
            <w:tcBorders>
              <w:top w:val="single" w:sz="4" w:space="0" w:color="auto"/>
              <w:left w:val="single" w:sz="4" w:space="0" w:color="auto"/>
              <w:bottom w:val="single" w:sz="4" w:space="0" w:color="auto"/>
              <w:right w:val="single" w:sz="4" w:space="0" w:color="auto"/>
            </w:tcBorders>
            <w:hideMark/>
          </w:tcPr>
          <w:p w14:paraId="4D805EE6" w14:textId="77777777" w:rsidR="009A44F9" w:rsidRPr="004B3056" w:rsidRDefault="009A44F9" w:rsidP="00B72A95">
            <w:pPr>
              <w:spacing w:after="0" w:line="240" w:lineRule="auto"/>
              <w:jc w:val="left"/>
              <w:rPr>
                <w:rFonts w:eastAsia="Times New Roman" w:cs="Arial"/>
                <w:bCs/>
                <w:sz w:val="20"/>
                <w:szCs w:val="20"/>
                <w:lang w:val="fr-FR"/>
              </w:rPr>
            </w:pPr>
            <w:r w:rsidRPr="004B3056">
              <w:rPr>
                <w:rFonts w:eastAsia="Times New Roman" w:cs="Arial"/>
                <w:bCs/>
                <w:sz w:val="20"/>
                <w:szCs w:val="20"/>
                <w:lang w:val="fr-FR"/>
              </w:rPr>
              <w:t>Arrt N°582/SEF du</w:t>
            </w:r>
          </w:p>
          <w:p w14:paraId="50C569E8" w14:textId="77777777" w:rsidR="009A44F9" w:rsidRPr="004B3056" w:rsidRDefault="009A44F9" w:rsidP="00B72A95">
            <w:pPr>
              <w:spacing w:after="0" w:line="240" w:lineRule="auto"/>
              <w:jc w:val="left"/>
              <w:rPr>
                <w:rFonts w:eastAsia="Times New Roman" w:cs="Arial"/>
                <w:bCs/>
                <w:sz w:val="20"/>
                <w:szCs w:val="20"/>
                <w:lang w:val="fr-FR"/>
              </w:rPr>
            </w:pPr>
            <w:r w:rsidRPr="004B3056">
              <w:rPr>
                <w:rFonts w:eastAsia="Times New Roman" w:cs="Arial"/>
                <w:bCs/>
                <w:sz w:val="20"/>
                <w:szCs w:val="20"/>
                <w:lang w:val="fr-FR"/>
              </w:rPr>
              <w:t xml:space="preserve"> 02/12/1954</w:t>
            </w:r>
          </w:p>
        </w:tc>
      </w:tr>
      <w:tr w:rsidR="009A44F9" w:rsidRPr="004B3056" w14:paraId="48C951DF" w14:textId="77777777" w:rsidTr="00B72A95">
        <w:trPr>
          <w:cantSplit/>
        </w:trPr>
        <w:tc>
          <w:tcPr>
            <w:tcW w:w="297" w:type="pct"/>
            <w:tcBorders>
              <w:top w:val="single" w:sz="4" w:space="0" w:color="auto"/>
              <w:left w:val="single" w:sz="4" w:space="0" w:color="auto"/>
              <w:bottom w:val="single" w:sz="4" w:space="0" w:color="auto"/>
              <w:right w:val="single" w:sz="4" w:space="0" w:color="auto"/>
            </w:tcBorders>
            <w:hideMark/>
          </w:tcPr>
          <w:p w14:paraId="0DDD67DC" w14:textId="77777777" w:rsidR="009A44F9" w:rsidRPr="004B3056" w:rsidRDefault="009A44F9" w:rsidP="00B72A95">
            <w:pPr>
              <w:spacing w:after="0" w:line="240" w:lineRule="auto"/>
              <w:jc w:val="center"/>
              <w:rPr>
                <w:rFonts w:eastAsia="Times New Roman" w:cs="Arial"/>
                <w:b/>
                <w:sz w:val="20"/>
                <w:szCs w:val="20"/>
                <w:lang w:val="fr-ML"/>
              </w:rPr>
            </w:pPr>
            <w:r w:rsidRPr="004B3056">
              <w:rPr>
                <w:rFonts w:eastAsia="Times New Roman" w:cs="Arial"/>
                <w:b/>
                <w:sz w:val="20"/>
                <w:szCs w:val="20"/>
                <w:lang w:val="fr-ML"/>
              </w:rPr>
              <w:t>3</w:t>
            </w:r>
          </w:p>
        </w:tc>
        <w:tc>
          <w:tcPr>
            <w:tcW w:w="873" w:type="pct"/>
            <w:tcBorders>
              <w:top w:val="single" w:sz="4" w:space="0" w:color="auto"/>
              <w:left w:val="single" w:sz="4" w:space="0" w:color="auto"/>
              <w:bottom w:val="single" w:sz="4" w:space="0" w:color="auto"/>
              <w:right w:val="single" w:sz="4" w:space="0" w:color="auto"/>
            </w:tcBorders>
            <w:hideMark/>
          </w:tcPr>
          <w:p w14:paraId="01E61414" w14:textId="77777777" w:rsidR="009A44F9" w:rsidRPr="004B3056" w:rsidRDefault="009A44F9" w:rsidP="00B72A95">
            <w:pPr>
              <w:spacing w:after="0" w:line="240" w:lineRule="auto"/>
              <w:rPr>
                <w:rFonts w:eastAsia="Times New Roman" w:cs="Arial"/>
                <w:bCs/>
                <w:sz w:val="20"/>
                <w:szCs w:val="20"/>
                <w:lang w:val="fr-FR"/>
              </w:rPr>
            </w:pPr>
            <w:r w:rsidRPr="004B3056">
              <w:rPr>
                <w:rFonts w:eastAsia="Times New Roman" w:cs="Arial"/>
                <w:bCs/>
                <w:sz w:val="20"/>
                <w:szCs w:val="20"/>
                <w:lang w:val="fr-ML"/>
              </w:rPr>
              <w:t>Niénendougou</w:t>
            </w:r>
          </w:p>
        </w:tc>
        <w:tc>
          <w:tcPr>
            <w:tcW w:w="881" w:type="pct"/>
            <w:tcBorders>
              <w:top w:val="single" w:sz="4" w:space="0" w:color="auto"/>
              <w:left w:val="single" w:sz="4" w:space="0" w:color="auto"/>
              <w:bottom w:val="single" w:sz="4" w:space="0" w:color="auto"/>
              <w:right w:val="single" w:sz="4" w:space="0" w:color="auto"/>
            </w:tcBorders>
            <w:hideMark/>
          </w:tcPr>
          <w:p w14:paraId="729CFCBC" w14:textId="77777777" w:rsidR="009A44F9" w:rsidRPr="004B3056" w:rsidRDefault="009A44F9" w:rsidP="00B72A95">
            <w:pPr>
              <w:spacing w:after="0" w:line="240" w:lineRule="auto"/>
              <w:jc w:val="center"/>
              <w:rPr>
                <w:rFonts w:eastAsia="Times New Roman" w:cs="Arial"/>
                <w:bCs/>
                <w:sz w:val="20"/>
                <w:szCs w:val="20"/>
                <w:lang w:val="fr-FR"/>
              </w:rPr>
            </w:pPr>
            <w:r w:rsidRPr="004B3056">
              <w:rPr>
                <w:rFonts w:eastAsia="Times New Roman" w:cs="Arial"/>
                <w:bCs/>
                <w:sz w:val="20"/>
                <w:szCs w:val="20"/>
                <w:lang w:val="fr-FR"/>
              </w:rPr>
              <w:t>Réserve faune</w:t>
            </w:r>
          </w:p>
        </w:tc>
        <w:tc>
          <w:tcPr>
            <w:tcW w:w="727" w:type="pct"/>
            <w:tcBorders>
              <w:top w:val="single" w:sz="4" w:space="0" w:color="auto"/>
              <w:left w:val="single" w:sz="4" w:space="0" w:color="auto"/>
              <w:bottom w:val="single" w:sz="4" w:space="0" w:color="auto"/>
              <w:right w:val="single" w:sz="4" w:space="0" w:color="auto"/>
            </w:tcBorders>
            <w:hideMark/>
          </w:tcPr>
          <w:p w14:paraId="0B989E5B" w14:textId="77777777" w:rsidR="009A44F9" w:rsidRPr="004B3056" w:rsidRDefault="009A44F9" w:rsidP="00B72A95">
            <w:pPr>
              <w:spacing w:after="0" w:line="240" w:lineRule="auto"/>
              <w:jc w:val="left"/>
              <w:rPr>
                <w:rFonts w:eastAsia="Times New Roman" w:cs="Arial"/>
                <w:bCs/>
                <w:sz w:val="20"/>
                <w:szCs w:val="20"/>
                <w:lang w:val="fr-FR"/>
              </w:rPr>
            </w:pPr>
            <w:r w:rsidRPr="004B3056">
              <w:rPr>
                <w:rFonts w:eastAsia="Times New Roman" w:cs="Arial"/>
                <w:bCs/>
                <w:sz w:val="20"/>
                <w:szCs w:val="20"/>
                <w:lang w:val="fr-FR"/>
              </w:rPr>
              <w:t>Bougouni</w:t>
            </w:r>
          </w:p>
        </w:tc>
        <w:tc>
          <w:tcPr>
            <w:tcW w:w="693" w:type="pct"/>
            <w:tcBorders>
              <w:top w:val="single" w:sz="4" w:space="0" w:color="auto"/>
              <w:left w:val="single" w:sz="4" w:space="0" w:color="auto"/>
              <w:bottom w:val="single" w:sz="4" w:space="0" w:color="auto"/>
              <w:right w:val="single" w:sz="4" w:space="0" w:color="auto"/>
            </w:tcBorders>
            <w:hideMark/>
          </w:tcPr>
          <w:p w14:paraId="78FFBC62" w14:textId="77777777" w:rsidR="009A44F9" w:rsidRPr="004B3056" w:rsidRDefault="009A44F9" w:rsidP="00B72A95">
            <w:pPr>
              <w:spacing w:after="0" w:line="240" w:lineRule="auto"/>
              <w:jc w:val="right"/>
              <w:rPr>
                <w:rFonts w:eastAsia="Times New Roman" w:cs="Arial"/>
                <w:bCs/>
                <w:sz w:val="20"/>
                <w:szCs w:val="20"/>
                <w:lang w:val="fr-FR"/>
              </w:rPr>
            </w:pPr>
            <w:r w:rsidRPr="004B3056">
              <w:rPr>
                <w:rFonts w:eastAsia="Times New Roman" w:cs="Arial"/>
                <w:bCs/>
                <w:sz w:val="20"/>
                <w:szCs w:val="20"/>
                <w:lang w:val="fr-FR"/>
              </w:rPr>
              <w:t>40.640</w:t>
            </w:r>
          </w:p>
        </w:tc>
        <w:tc>
          <w:tcPr>
            <w:tcW w:w="1529" w:type="pct"/>
            <w:tcBorders>
              <w:top w:val="single" w:sz="4" w:space="0" w:color="auto"/>
              <w:left w:val="single" w:sz="4" w:space="0" w:color="auto"/>
              <w:bottom w:val="single" w:sz="4" w:space="0" w:color="auto"/>
              <w:right w:val="single" w:sz="4" w:space="0" w:color="auto"/>
            </w:tcBorders>
            <w:hideMark/>
          </w:tcPr>
          <w:p w14:paraId="05EAE5B4" w14:textId="77777777" w:rsidR="009A44F9" w:rsidRPr="004B3056" w:rsidRDefault="009A44F9" w:rsidP="00B72A95">
            <w:pPr>
              <w:spacing w:after="0" w:line="240" w:lineRule="auto"/>
              <w:jc w:val="left"/>
              <w:rPr>
                <w:rFonts w:eastAsia="Times New Roman" w:cs="Arial"/>
                <w:bCs/>
                <w:sz w:val="20"/>
                <w:szCs w:val="20"/>
                <w:lang w:val="fr-ML"/>
              </w:rPr>
            </w:pPr>
            <w:r w:rsidRPr="004B3056">
              <w:rPr>
                <w:rFonts w:eastAsia="Times New Roman" w:cs="Arial"/>
                <w:bCs/>
                <w:sz w:val="20"/>
                <w:szCs w:val="20"/>
                <w:lang w:val="fr-ML"/>
              </w:rPr>
              <w:t xml:space="preserve">Décret N°099/PG- RM </w:t>
            </w:r>
          </w:p>
          <w:p w14:paraId="1F7AE5A9" w14:textId="77777777" w:rsidR="009A44F9" w:rsidRPr="004B3056" w:rsidRDefault="009A44F9" w:rsidP="00B72A95">
            <w:pPr>
              <w:spacing w:after="0" w:line="240" w:lineRule="auto"/>
              <w:jc w:val="left"/>
              <w:rPr>
                <w:rFonts w:eastAsia="Times New Roman" w:cs="Arial"/>
                <w:bCs/>
                <w:sz w:val="20"/>
                <w:szCs w:val="20"/>
                <w:lang w:val="fr-ML"/>
              </w:rPr>
            </w:pPr>
            <w:r w:rsidRPr="004B3056">
              <w:rPr>
                <w:rFonts w:eastAsia="Times New Roman" w:cs="Arial"/>
                <w:bCs/>
                <w:sz w:val="20"/>
                <w:szCs w:val="20"/>
                <w:lang w:val="fr-ML"/>
              </w:rPr>
              <w:t>du 23/02/2001</w:t>
            </w:r>
          </w:p>
        </w:tc>
      </w:tr>
      <w:tr w:rsidR="009A44F9" w:rsidRPr="004B3056" w14:paraId="2BFBCBCC" w14:textId="77777777" w:rsidTr="00B72A95">
        <w:trPr>
          <w:cantSplit/>
        </w:trPr>
        <w:tc>
          <w:tcPr>
            <w:tcW w:w="297" w:type="pct"/>
            <w:tcBorders>
              <w:top w:val="single" w:sz="4" w:space="0" w:color="auto"/>
              <w:left w:val="single" w:sz="4" w:space="0" w:color="auto"/>
              <w:bottom w:val="single" w:sz="4" w:space="0" w:color="auto"/>
              <w:right w:val="single" w:sz="4" w:space="0" w:color="auto"/>
            </w:tcBorders>
            <w:hideMark/>
          </w:tcPr>
          <w:p w14:paraId="6E56AACE" w14:textId="77777777" w:rsidR="009A44F9" w:rsidRPr="004B3056" w:rsidRDefault="009A44F9" w:rsidP="00B72A95">
            <w:pPr>
              <w:spacing w:after="0" w:line="240" w:lineRule="auto"/>
              <w:jc w:val="center"/>
              <w:rPr>
                <w:rFonts w:eastAsia="Times New Roman" w:cs="Arial"/>
                <w:b/>
                <w:sz w:val="20"/>
                <w:szCs w:val="20"/>
                <w:lang w:val="fr-ML"/>
              </w:rPr>
            </w:pPr>
            <w:r w:rsidRPr="004B3056">
              <w:rPr>
                <w:rFonts w:eastAsia="Times New Roman" w:cs="Arial"/>
                <w:b/>
                <w:sz w:val="20"/>
                <w:szCs w:val="20"/>
                <w:lang w:val="fr-ML"/>
              </w:rPr>
              <w:lastRenderedPageBreak/>
              <w:t>4</w:t>
            </w:r>
          </w:p>
        </w:tc>
        <w:tc>
          <w:tcPr>
            <w:tcW w:w="873" w:type="pct"/>
            <w:tcBorders>
              <w:top w:val="single" w:sz="4" w:space="0" w:color="auto"/>
              <w:left w:val="single" w:sz="4" w:space="0" w:color="auto"/>
              <w:bottom w:val="single" w:sz="4" w:space="0" w:color="auto"/>
              <w:right w:val="single" w:sz="4" w:space="0" w:color="auto"/>
            </w:tcBorders>
            <w:hideMark/>
          </w:tcPr>
          <w:p w14:paraId="0DE39607" w14:textId="77777777" w:rsidR="009A44F9" w:rsidRPr="004B3056" w:rsidRDefault="009A44F9" w:rsidP="00B72A95">
            <w:pPr>
              <w:spacing w:after="0" w:line="240" w:lineRule="auto"/>
              <w:jc w:val="left"/>
              <w:rPr>
                <w:rFonts w:eastAsia="Times New Roman" w:cs="Arial"/>
                <w:bCs/>
                <w:sz w:val="20"/>
                <w:szCs w:val="20"/>
                <w:lang w:val="fr-FR"/>
              </w:rPr>
            </w:pPr>
            <w:r w:rsidRPr="004B3056">
              <w:rPr>
                <w:rFonts w:eastAsia="Times New Roman" w:cs="Arial"/>
                <w:bCs/>
                <w:sz w:val="20"/>
                <w:szCs w:val="20"/>
                <w:lang w:val="fr-FR"/>
              </w:rPr>
              <w:t>Djangoumerila</w:t>
            </w:r>
          </w:p>
        </w:tc>
        <w:tc>
          <w:tcPr>
            <w:tcW w:w="881" w:type="pct"/>
            <w:tcBorders>
              <w:top w:val="single" w:sz="4" w:space="0" w:color="auto"/>
              <w:left w:val="single" w:sz="4" w:space="0" w:color="auto"/>
              <w:bottom w:val="single" w:sz="4" w:space="0" w:color="auto"/>
              <w:right w:val="single" w:sz="4" w:space="0" w:color="auto"/>
            </w:tcBorders>
            <w:hideMark/>
          </w:tcPr>
          <w:p w14:paraId="6EFF4150" w14:textId="77777777" w:rsidR="009A44F9" w:rsidRPr="004B3056" w:rsidRDefault="009A44F9" w:rsidP="00B72A95">
            <w:pPr>
              <w:spacing w:after="0" w:line="240" w:lineRule="auto"/>
              <w:jc w:val="left"/>
              <w:rPr>
                <w:rFonts w:eastAsia="Times New Roman" w:cs="Arial"/>
                <w:sz w:val="20"/>
                <w:szCs w:val="20"/>
                <w:lang w:val="fr-FR" w:eastAsia="fr-FR"/>
              </w:rPr>
            </w:pPr>
            <w:r w:rsidRPr="004B3056">
              <w:rPr>
                <w:rFonts w:eastAsia="Times New Roman" w:cs="Arial"/>
                <w:bCs/>
                <w:sz w:val="20"/>
                <w:szCs w:val="20"/>
                <w:lang w:val="fr-FR"/>
              </w:rPr>
              <w:t>Réserve de faune</w:t>
            </w:r>
          </w:p>
        </w:tc>
        <w:tc>
          <w:tcPr>
            <w:tcW w:w="727" w:type="pct"/>
            <w:tcBorders>
              <w:top w:val="single" w:sz="4" w:space="0" w:color="auto"/>
              <w:left w:val="single" w:sz="4" w:space="0" w:color="auto"/>
              <w:bottom w:val="single" w:sz="4" w:space="0" w:color="auto"/>
              <w:right w:val="single" w:sz="4" w:space="0" w:color="auto"/>
            </w:tcBorders>
            <w:hideMark/>
          </w:tcPr>
          <w:p w14:paraId="517991CC" w14:textId="77777777" w:rsidR="009A44F9" w:rsidRPr="004B3056" w:rsidRDefault="009A44F9" w:rsidP="00B72A95">
            <w:pPr>
              <w:spacing w:after="0" w:line="240" w:lineRule="auto"/>
              <w:jc w:val="left"/>
              <w:rPr>
                <w:rFonts w:eastAsia="Times New Roman" w:cs="Arial"/>
                <w:bCs/>
                <w:sz w:val="20"/>
                <w:szCs w:val="20"/>
                <w:lang w:val="fr-FR"/>
              </w:rPr>
            </w:pPr>
            <w:r w:rsidRPr="004B3056">
              <w:rPr>
                <w:rFonts w:eastAsia="Times New Roman" w:cs="Arial"/>
                <w:bCs/>
                <w:sz w:val="20"/>
                <w:szCs w:val="20"/>
                <w:lang w:val="fr-FR"/>
              </w:rPr>
              <w:t>Yanfolila</w:t>
            </w:r>
          </w:p>
        </w:tc>
        <w:tc>
          <w:tcPr>
            <w:tcW w:w="693" w:type="pct"/>
            <w:tcBorders>
              <w:top w:val="single" w:sz="4" w:space="0" w:color="auto"/>
              <w:left w:val="single" w:sz="4" w:space="0" w:color="auto"/>
              <w:bottom w:val="single" w:sz="4" w:space="0" w:color="auto"/>
              <w:right w:val="single" w:sz="4" w:space="0" w:color="auto"/>
            </w:tcBorders>
            <w:hideMark/>
          </w:tcPr>
          <w:p w14:paraId="3FDB2324" w14:textId="77777777" w:rsidR="009A44F9" w:rsidRPr="004B3056" w:rsidRDefault="009A44F9" w:rsidP="00B72A95">
            <w:pPr>
              <w:spacing w:after="0" w:line="240" w:lineRule="auto"/>
              <w:jc w:val="right"/>
              <w:rPr>
                <w:rFonts w:eastAsia="Times New Roman" w:cs="Arial"/>
                <w:bCs/>
                <w:sz w:val="20"/>
                <w:szCs w:val="20"/>
                <w:lang w:val="fr-FR"/>
              </w:rPr>
            </w:pPr>
            <w:r w:rsidRPr="004B3056">
              <w:rPr>
                <w:rFonts w:eastAsia="Times New Roman" w:cs="Arial"/>
                <w:bCs/>
                <w:sz w:val="20"/>
                <w:szCs w:val="20"/>
                <w:lang w:val="fr-FR"/>
              </w:rPr>
              <w:t>57.674</w:t>
            </w:r>
          </w:p>
        </w:tc>
        <w:tc>
          <w:tcPr>
            <w:tcW w:w="1529" w:type="pct"/>
            <w:tcBorders>
              <w:top w:val="single" w:sz="4" w:space="0" w:color="auto"/>
              <w:left w:val="single" w:sz="4" w:space="0" w:color="auto"/>
              <w:bottom w:val="single" w:sz="4" w:space="0" w:color="auto"/>
              <w:right w:val="single" w:sz="4" w:space="0" w:color="auto"/>
            </w:tcBorders>
            <w:hideMark/>
          </w:tcPr>
          <w:p w14:paraId="54DFE25C" w14:textId="77777777" w:rsidR="009A44F9" w:rsidRPr="004B3056" w:rsidRDefault="009A44F9" w:rsidP="00B72A95">
            <w:pPr>
              <w:spacing w:after="0" w:line="240" w:lineRule="auto"/>
              <w:jc w:val="left"/>
              <w:rPr>
                <w:rFonts w:eastAsia="Times New Roman" w:cs="Arial"/>
                <w:bCs/>
                <w:sz w:val="20"/>
                <w:szCs w:val="20"/>
                <w:lang w:val="fr-FR"/>
              </w:rPr>
            </w:pPr>
            <w:r w:rsidRPr="004B3056">
              <w:rPr>
                <w:rFonts w:eastAsia="Times New Roman" w:cs="Arial"/>
                <w:bCs/>
                <w:sz w:val="20"/>
                <w:szCs w:val="20"/>
                <w:lang w:val="fr-FR"/>
              </w:rPr>
              <w:t>Décret N°2012-289/P-RM du 13/6/2012</w:t>
            </w:r>
          </w:p>
        </w:tc>
      </w:tr>
      <w:tr w:rsidR="009A44F9" w:rsidRPr="004B3056" w14:paraId="6C140B6D" w14:textId="77777777" w:rsidTr="00B72A95">
        <w:trPr>
          <w:cantSplit/>
        </w:trPr>
        <w:tc>
          <w:tcPr>
            <w:tcW w:w="297" w:type="pct"/>
            <w:tcBorders>
              <w:top w:val="single" w:sz="4" w:space="0" w:color="auto"/>
              <w:left w:val="single" w:sz="4" w:space="0" w:color="auto"/>
              <w:bottom w:val="single" w:sz="4" w:space="0" w:color="auto"/>
              <w:right w:val="single" w:sz="4" w:space="0" w:color="auto"/>
            </w:tcBorders>
          </w:tcPr>
          <w:p w14:paraId="75C62BEB" w14:textId="77777777" w:rsidR="009A44F9" w:rsidRPr="004B3056" w:rsidRDefault="009A44F9" w:rsidP="00B72A95">
            <w:pPr>
              <w:spacing w:after="0" w:line="240" w:lineRule="auto"/>
              <w:jc w:val="center"/>
              <w:rPr>
                <w:rFonts w:eastAsia="Times New Roman" w:cs="Arial"/>
                <w:b/>
                <w:sz w:val="20"/>
                <w:szCs w:val="20"/>
                <w:lang w:val="fr-ML"/>
              </w:rPr>
            </w:pPr>
            <w:r w:rsidRPr="004B3056">
              <w:rPr>
                <w:rFonts w:eastAsia="Times New Roman" w:cs="Arial"/>
                <w:b/>
                <w:sz w:val="20"/>
                <w:szCs w:val="20"/>
                <w:lang w:val="fr-ML"/>
              </w:rPr>
              <w:t>5</w:t>
            </w:r>
          </w:p>
        </w:tc>
        <w:tc>
          <w:tcPr>
            <w:tcW w:w="873" w:type="pct"/>
            <w:tcBorders>
              <w:top w:val="single" w:sz="4" w:space="0" w:color="auto"/>
              <w:left w:val="single" w:sz="4" w:space="0" w:color="auto"/>
              <w:bottom w:val="single" w:sz="4" w:space="0" w:color="auto"/>
              <w:right w:val="single" w:sz="4" w:space="0" w:color="auto"/>
            </w:tcBorders>
            <w:hideMark/>
          </w:tcPr>
          <w:p w14:paraId="4E8FDC44" w14:textId="77777777" w:rsidR="009A44F9" w:rsidRPr="004B3056" w:rsidRDefault="009A44F9" w:rsidP="00B72A95">
            <w:pPr>
              <w:spacing w:after="0" w:line="240" w:lineRule="auto"/>
              <w:jc w:val="left"/>
              <w:rPr>
                <w:rFonts w:eastAsia="Times New Roman" w:cs="Arial"/>
                <w:bCs/>
                <w:sz w:val="20"/>
                <w:szCs w:val="20"/>
                <w:lang w:val="fr-FR"/>
              </w:rPr>
            </w:pPr>
            <w:r w:rsidRPr="004B3056">
              <w:rPr>
                <w:rFonts w:eastAsia="Times New Roman" w:cs="Arial"/>
                <w:bCs/>
                <w:sz w:val="20"/>
                <w:szCs w:val="20"/>
                <w:lang w:val="fr-FR"/>
              </w:rPr>
              <w:t>Djinetoumanina</w:t>
            </w:r>
          </w:p>
        </w:tc>
        <w:tc>
          <w:tcPr>
            <w:tcW w:w="881" w:type="pct"/>
            <w:tcBorders>
              <w:top w:val="single" w:sz="4" w:space="0" w:color="auto"/>
              <w:left w:val="single" w:sz="4" w:space="0" w:color="auto"/>
              <w:bottom w:val="single" w:sz="4" w:space="0" w:color="auto"/>
              <w:right w:val="single" w:sz="4" w:space="0" w:color="auto"/>
            </w:tcBorders>
          </w:tcPr>
          <w:p w14:paraId="00020D53" w14:textId="77777777" w:rsidR="009A44F9" w:rsidRPr="004B3056" w:rsidRDefault="009A44F9" w:rsidP="00B72A95">
            <w:pPr>
              <w:spacing w:after="0" w:line="240" w:lineRule="auto"/>
              <w:jc w:val="left"/>
              <w:rPr>
                <w:rFonts w:eastAsia="Times New Roman" w:cs="Arial"/>
                <w:sz w:val="20"/>
                <w:szCs w:val="20"/>
                <w:lang w:val="fr-FR" w:eastAsia="fr-FR"/>
              </w:rPr>
            </w:pPr>
            <w:r w:rsidRPr="004B3056">
              <w:rPr>
                <w:rFonts w:eastAsia="Times New Roman" w:cs="Arial"/>
                <w:bCs/>
                <w:sz w:val="20"/>
                <w:szCs w:val="20"/>
                <w:lang w:val="fr-FR"/>
              </w:rPr>
              <w:t>Réserve de faune</w:t>
            </w:r>
          </w:p>
        </w:tc>
        <w:tc>
          <w:tcPr>
            <w:tcW w:w="727" w:type="pct"/>
            <w:tcBorders>
              <w:top w:val="single" w:sz="4" w:space="0" w:color="auto"/>
              <w:left w:val="single" w:sz="4" w:space="0" w:color="auto"/>
              <w:bottom w:val="single" w:sz="4" w:space="0" w:color="auto"/>
              <w:right w:val="single" w:sz="4" w:space="0" w:color="auto"/>
            </w:tcBorders>
          </w:tcPr>
          <w:p w14:paraId="69C5DCDA" w14:textId="77777777" w:rsidR="009A44F9" w:rsidRPr="004B3056" w:rsidRDefault="009A44F9" w:rsidP="00B72A95">
            <w:pPr>
              <w:spacing w:after="0" w:line="240" w:lineRule="auto"/>
              <w:jc w:val="left"/>
              <w:rPr>
                <w:rFonts w:eastAsia="Times New Roman" w:cs="Arial"/>
                <w:bCs/>
                <w:sz w:val="20"/>
                <w:szCs w:val="20"/>
                <w:lang w:val="fr-FR"/>
              </w:rPr>
            </w:pPr>
            <w:r w:rsidRPr="004B3056">
              <w:rPr>
                <w:rFonts w:eastAsia="Times New Roman" w:cs="Arial"/>
                <w:bCs/>
                <w:sz w:val="20"/>
                <w:szCs w:val="20"/>
                <w:lang w:val="fr-FR"/>
              </w:rPr>
              <w:t>Yanfolila</w:t>
            </w:r>
          </w:p>
        </w:tc>
        <w:tc>
          <w:tcPr>
            <w:tcW w:w="693" w:type="pct"/>
            <w:tcBorders>
              <w:top w:val="single" w:sz="4" w:space="0" w:color="auto"/>
              <w:left w:val="single" w:sz="4" w:space="0" w:color="auto"/>
              <w:bottom w:val="single" w:sz="4" w:space="0" w:color="auto"/>
              <w:right w:val="single" w:sz="4" w:space="0" w:color="auto"/>
            </w:tcBorders>
            <w:hideMark/>
          </w:tcPr>
          <w:p w14:paraId="66B67DC6" w14:textId="77777777" w:rsidR="009A44F9" w:rsidRPr="004B3056" w:rsidRDefault="009A44F9" w:rsidP="00B72A95">
            <w:pPr>
              <w:spacing w:after="0" w:line="240" w:lineRule="auto"/>
              <w:jc w:val="right"/>
              <w:rPr>
                <w:rFonts w:eastAsia="Times New Roman" w:cs="Arial"/>
                <w:bCs/>
                <w:sz w:val="20"/>
                <w:szCs w:val="20"/>
                <w:lang w:val="fr-FR"/>
              </w:rPr>
            </w:pPr>
            <w:r w:rsidRPr="004B3056">
              <w:rPr>
                <w:rFonts w:eastAsia="Times New Roman" w:cs="Arial"/>
                <w:bCs/>
                <w:sz w:val="20"/>
                <w:szCs w:val="20"/>
                <w:lang w:val="fr-FR"/>
              </w:rPr>
              <w:t>16.149</w:t>
            </w:r>
          </w:p>
        </w:tc>
        <w:tc>
          <w:tcPr>
            <w:tcW w:w="1529" w:type="pct"/>
            <w:tcBorders>
              <w:top w:val="single" w:sz="4" w:space="0" w:color="auto"/>
              <w:left w:val="single" w:sz="4" w:space="0" w:color="auto"/>
              <w:bottom w:val="single" w:sz="4" w:space="0" w:color="auto"/>
              <w:right w:val="single" w:sz="4" w:space="0" w:color="auto"/>
            </w:tcBorders>
          </w:tcPr>
          <w:p w14:paraId="0203EFD2" w14:textId="77777777" w:rsidR="009A44F9" w:rsidRPr="004B3056" w:rsidRDefault="009A44F9" w:rsidP="00B72A95">
            <w:pPr>
              <w:spacing w:after="0" w:line="240" w:lineRule="auto"/>
              <w:jc w:val="left"/>
              <w:rPr>
                <w:rFonts w:eastAsia="Times New Roman" w:cs="Arial"/>
                <w:bCs/>
                <w:sz w:val="20"/>
                <w:szCs w:val="20"/>
                <w:lang w:val="fr-FR"/>
              </w:rPr>
            </w:pPr>
            <w:r w:rsidRPr="004B3056">
              <w:rPr>
                <w:rFonts w:eastAsia="Times New Roman" w:cs="Arial"/>
                <w:bCs/>
                <w:sz w:val="20"/>
                <w:szCs w:val="20"/>
                <w:lang w:val="fr-FR"/>
              </w:rPr>
              <w:t>Décret N°2012-290/P-RM du 13/6/2012</w:t>
            </w:r>
          </w:p>
        </w:tc>
      </w:tr>
      <w:tr w:rsidR="009A44F9" w:rsidRPr="004B3056" w14:paraId="77745DA7" w14:textId="77777777" w:rsidTr="00B72A95">
        <w:trPr>
          <w:cantSplit/>
        </w:trPr>
        <w:tc>
          <w:tcPr>
            <w:tcW w:w="297" w:type="pct"/>
            <w:tcBorders>
              <w:top w:val="single" w:sz="4" w:space="0" w:color="auto"/>
              <w:left w:val="single" w:sz="4" w:space="0" w:color="auto"/>
              <w:bottom w:val="single" w:sz="4" w:space="0" w:color="auto"/>
              <w:right w:val="single" w:sz="4" w:space="0" w:color="auto"/>
            </w:tcBorders>
          </w:tcPr>
          <w:p w14:paraId="58074105" w14:textId="77777777" w:rsidR="009A44F9" w:rsidRPr="004B3056" w:rsidRDefault="009A44F9" w:rsidP="00B72A95">
            <w:pPr>
              <w:spacing w:after="0" w:line="240" w:lineRule="auto"/>
              <w:jc w:val="center"/>
              <w:rPr>
                <w:rFonts w:eastAsia="Times New Roman" w:cs="Arial"/>
                <w:b/>
                <w:sz w:val="20"/>
                <w:szCs w:val="20"/>
                <w:lang w:val="fr-ML"/>
              </w:rPr>
            </w:pPr>
            <w:r w:rsidRPr="004B3056">
              <w:rPr>
                <w:rFonts w:eastAsia="Times New Roman" w:cs="Arial"/>
                <w:b/>
                <w:sz w:val="20"/>
                <w:szCs w:val="20"/>
                <w:lang w:val="fr-ML"/>
              </w:rPr>
              <w:t>6</w:t>
            </w:r>
          </w:p>
        </w:tc>
        <w:tc>
          <w:tcPr>
            <w:tcW w:w="873" w:type="pct"/>
            <w:tcBorders>
              <w:top w:val="single" w:sz="4" w:space="0" w:color="auto"/>
              <w:left w:val="single" w:sz="4" w:space="0" w:color="auto"/>
              <w:bottom w:val="single" w:sz="4" w:space="0" w:color="auto"/>
              <w:right w:val="single" w:sz="4" w:space="0" w:color="auto"/>
            </w:tcBorders>
            <w:hideMark/>
          </w:tcPr>
          <w:p w14:paraId="2956474B" w14:textId="77777777" w:rsidR="009A44F9" w:rsidRPr="004B3056" w:rsidRDefault="009A44F9" w:rsidP="00B72A95">
            <w:pPr>
              <w:spacing w:after="0" w:line="240" w:lineRule="auto"/>
              <w:rPr>
                <w:rFonts w:eastAsia="Times New Roman" w:cs="Arial"/>
                <w:sz w:val="20"/>
                <w:szCs w:val="20"/>
                <w:lang w:val="fr-FR"/>
              </w:rPr>
            </w:pPr>
            <w:r w:rsidRPr="004B3056">
              <w:rPr>
                <w:rFonts w:eastAsia="Times New Roman" w:cs="Arial"/>
                <w:sz w:val="20"/>
                <w:szCs w:val="20"/>
                <w:lang w:val="fr-FR"/>
              </w:rPr>
              <w:t>Dialakoro</w:t>
            </w:r>
          </w:p>
        </w:tc>
        <w:tc>
          <w:tcPr>
            <w:tcW w:w="881" w:type="pct"/>
            <w:tcBorders>
              <w:top w:val="single" w:sz="4" w:space="0" w:color="auto"/>
              <w:left w:val="single" w:sz="4" w:space="0" w:color="auto"/>
              <w:bottom w:val="single" w:sz="4" w:space="0" w:color="auto"/>
              <w:right w:val="single" w:sz="4" w:space="0" w:color="auto"/>
            </w:tcBorders>
          </w:tcPr>
          <w:p w14:paraId="6DF9BFFE" w14:textId="77777777" w:rsidR="009A44F9" w:rsidRPr="004B3056" w:rsidRDefault="009A44F9" w:rsidP="00B72A95">
            <w:pPr>
              <w:spacing w:after="0" w:line="240" w:lineRule="auto"/>
              <w:jc w:val="left"/>
              <w:rPr>
                <w:rFonts w:eastAsia="Times New Roman" w:cs="Arial"/>
                <w:sz w:val="20"/>
                <w:szCs w:val="20"/>
                <w:lang w:val="fr-FR" w:eastAsia="fr-FR"/>
              </w:rPr>
            </w:pPr>
            <w:r w:rsidRPr="004B3056">
              <w:rPr>
                <w:rFonts w:eastAsia="Times New Roman" w:cs="Arial"/>
                <w:bCs/>
                <w:sz w:val="20"/>
                <w:szCs w:val="20"/>
                <w:lang w:val="fr-FR"/>
              </w:rPr>
              <w:t>Réserve de  faune</w:t>
            </w:r>
          </w:p>
        </w:tc>
        <w:tc>
          <w:tcPr>
            <w:tcW w:w="727" w:type="pct"/>
            <w:tcBorders>
              <w:top w:val="single" w:sz="4" w:space="0" w:color="auto"/>
              <w:left w:val="single" w:sz="4" w:space="0" w:color="auto"/>
              <w:bottom w:val="single" w:sz="4" w:space="0" w:color="auto"/>
              <w:right w:val="single" w:sz="4" w:space="0" w:color="auto"/>
            </w:tcBorders>
          </w:tcPr>
          <w:p w14:paraId="21475282" w14:textId="77777777" w:rsidR="009A44F9" w:rsidRPr="004B3056" w:rsidRDefault="009A44F9" w:rsidP="00B72A95">
            <w:pPr>
              <w:spacing w:after="0" w:line="240" w:lineRule="auto"/>
              <w:jc w:val="left"/>
              <w:rPr>
                <w:rFonts w:eastAsia="Times New Roman" w:cs="Arial"/>
                <w:sz w:val="20"/>
                <w:szCs w:val="20"/>
                <w:lang w:val="fr-FR"/>
              </w:rPr>
            </w:pPr>
            <w:r w:rsidRPr="004B3056">
              <w:rPr>
                <w:rFonts w:eastAsia="Times New Roman" w:cs="Arial"/>
                <w:sz w:val="20"/>
                <w:szCs w:val="20"/>
                <w:lang w:val="fr-FR"/>
              </w:rPr>
              <w:t>Bougouni</w:t>
            </w:r>
          </w:p>
        </w:tc>
        <w:tc>
          <w:tcPr>
            <w:tcW w:w="693" w:type="pct"/>
            <w:tcBorders>
              <w:top w:val="single" w:sz="4" w:space="0" w:color="auto"/>
              <w:left w:val="single" w:sz="4" w:space="0" w:color="auto"/>
              <w:bottom w:val="single" w:sz="4" w:space="0" w:color="auto"/>
              <w:right w:val="single" w:sz="4" w:space="0" w:color="auto"/>
            </w:tcBorders>
            <w:hideMark/>
          </w:tcPr>
          <w:p w14:paraId="483519F8" w14:textId="77777777" w:rsidR="009A44F9" w:rsidRPr="004B3056" w:rsidRDefault="009A44F9" w:rsidP="00B72A95">
            <w:pPr>
              <w:spacing w:after="0" w:line="240" w:lineRule="auto"/>
              <w:jc w:val="right"/>
              <w:rPr>
                <w:rFonts w:eastAsia="Times New Roman" w:cs="Arial"/>
                <w:bCs/>
                <w:sz w:val="20"/>
                <w:szCs w:val="20"/>
                <w:lang w:val="fr-FR"/>
              </w:rPr>
            </w:pPr>
            <w:r w:rsidRPr="004B3056">
              <w:rPr>
                <w:rFonts w:eastAsia="Times New Roman" w:cs="Arial"/>
                <w:bCs/>
                <w:sz w:val="20"/>
                <w:szCs w:val="20"/>
                <w:lang w:val="fr-FR"/>
              </w:rPr>
              <w:t>26.896</w:t>
            </w:r>
          </w:p>
        </w:tc>
        <w:tc>
          <w:tcPr>
            <w:tcW w:w="1529" w:type="pct"/>
            <w:tcBorders>
              <w:top w:val="single" w:sz="4" w:space="0" w:color="auto"/>
              <w:left w:val="single" w:sz="4" w:space="0" w:color="auto"/>
              <w:bottom w:val="single" w:sz="4" w:space="0" w:color="auto"/>
              <w:right w:val="single" w:sz="4" w:space="0" w:color="auto"/>
            </w:tcBorders>
          </w:tcPr>
          <w:p w14:paraId="383229A5" w14:textId="77777777" w:rsidR="009A44F9" w:rsidRPr="004B3056" w:rsidRDefault="009A44F9" w:rsidP="00B72A95">
            <w:pPr>
              <w:spacing w:after="0" w:line="240" w:lineRule="auto"/>
              <w:jc w:val="left"/>
              <w:rPr>
                <w:rFonts w:eastAsia="Times New Roman" w:cs="Arial"/>
                <w:bCs/>
                <w:sz w:val="20"/>
                <w:szCs w:val="20"/>
                <w:lang w:val="fr-FR"/>
              </w:rPr>
            </w:pPr>
            <w:r w:rsidRPr="004B3056">
              <w:rPr>
                <w:rFonts w:eastAsia="Times New Roman" w:cs="Arial"/>
                <w:bCs/>
                <w:sz w:val="20"/>
                <w:szCs w:val="20"/>
                <w:lang w:val="fr-FR"/>
              </w:rPr>
              <w:t>Décret N°2012-291/P-RM du 13/6/2012</w:t>
            </w:r>
          </w:p>
        </w:tc>
      </w:tr>
      <w:tr w:rsidR="009A44F9" w:rsidRPr="004B3056" w14:paraId="4DDFB18A" w14:textId="77777777" w:rsidTr="00B72A95">
        <w:trPr>
          <w:cantSplit/>
        </w:trPr>
        <w:tc>
          <w:tcPr>
            <w:tcW w:w="297" w:type="pct"/>
            <w:tcBorders>
              <w:top w:val="single" w:sz="4" w:space="0" w:color="auto"/>
              <w:left w:val="single" w:sz="4" w:space="0" w:color="auto"/>
              <w:bottom w:val="single" w:sz="4" w:space="0" w:color="auto"/>
              <w:right w:val="single" w:sz="4" w:space="0" w:color="auto"/>
            </w:tcBorders>
          </w:tcPr>
          <w:p w14:paraId="4639D125" w14:textId="77777777" w:rsidR="009A44F9" w:rsidRPr="004B3056" w:rsidRDefault="009A44F9" w:rsidP="00B72A95">
            <w:pPr>
              <w:spacing w:after="0" w:line="240" w:lineRule="auto"/>
              <w:jc w:val="center"/>
              <w:rPr>
                <w:rFonts w:eastAsia="Times New Roman" w:cs="Arial"/>
                <w:b/>
                <w:sz w:val="20"/>
                <w:szCs w:val="20"/>
                <w:lang w:val="fr-ML"/>
              </w:rPr>
            </w:pPr>
            <w:r w:rsidRPr="004B3056">
              <w:rPr>
                <w:rFonts w:eastAsia="Times New Roman" w:cs="Arial"/>
                <w:b/>
                <w:sz w:val="20"/>
                <w:szCs w:val="20"/>
                <w:lang w:val="fr-ML"/>
              </w:rPr>
              <w:t>7</w:t>
            </w:r>
          </w:p>
        </w:tc>
        <w:tc>
          <w:tcPr>
            <w:tcW w:w="873" w:type="pct"/>
            <w:tcBorders>
              <w:top w:val="single" w:sz="4" w:space="0" w:color="auto"/>
              <w:left w:val="single" w:sz="4" w:space="0" w:color="auto"/>
              <w:bottom w:val="single" w:sz="4" w:space="0" w:color="auto"/>
              <w:right w:val="single" w:sz="4" w:space="0" w:color="auto"/>
            </w:tcBorders>
            <w:hideMark/>
          </w:tcPr>
          <w:p w14:paraId="33194D7C" w14:textId="77777777" w:rsidR="009A44F9" w:rsidRPr="004B3056" w:rsidRDefault="009A44F9" w:rsidP="00B72A95">
            <w:pPr>
              <w:spacing w:after="0" w:line="240" w:lineRule="auto"/>
              <w:rPr>
                <w:rFonts w:eastAsia="Times New Roman" w:cs="Arial"/>
                <w:bCs/>
                <w:sz w:val="20"/>
                <w:szCs w:val="20"/>
                <w:lang w:val="fr-FR"/>
              </w:rPr>
            </w:pPr>
            <w:r w:rsidRPr="004B3056">
              <w:rPr>
                <w:rFonts w:eastAsia="Times New Roman" w:cs="Arial"/>
                <w:bCs/>
                <w:sz w:val="20"/>
                <w:szCs w:val="20"/>
                <w:lang w:val="fr-FR"/>
              </w:rPr>
              <w:t>Banzana</w:t>
            </w:r>
          </w:p>
        </w:tc>
        <w:tc>
          <w:tcPr>
            <w:tcW w:w="881" w:type="pct"/>
            <w:tcBorders>
              <w:top w:val="single" w:sz="4" w:space="0" w:color="auto"/>
              <w:left w:val="single" w:sz="4" w:space="0" w:color="auto"/>
              <w:bottom w:val="single" w:sz="4" w:space="0" w:color="auto"/>
              <w:right w:val="single" w:sz="4" w:space="0" w:color="auto"/>
            </w:tcBorders>
          </w:tcPr>
          <w:p w14:paraId="6CBE6E1A" w14:textId="77777777" w:rsidR="009A44F9" w:rsidRPr="004B3056" w:rsidRDefault="009A44F9" w:rsidP="00B72A95">
            <w:pPr>
              <w:spacing w:after="0" w:line="240" w:lineRule="auto"/>
              <w:jc w:val="center"/>
              <w:rPr>
                <w:rFonts w:eastAsia="Times New Roman" w:cs="Arial"/>
                <w:b/>
                <w:sz w:val="20"/>
                <w:szCs w:val="20"/>
                <w:lang w:val="fr-FR"/>
              </w:rPr>
            </w:pPr>
            <w:r w:rsidRPr="004B3056">
              <w:rPr>
                <w:rFonts w:eastAsia="Times New Roman" w:cs="Arial"/>
                <w:bCs/>
                <w:sz w:val="20"/>
                <w:szCs w:val="20"/>
                <w:lang w:val="fr-FR"/>
              </w:rPr>
              <w:t>Zone d’intérêt Cynégétique</w:t>
            </w:r>
          </w:p>
        </w:tc>
        <w:tc>
          <w:tcPr>
            <w:tcW w:w="727" w:type="pct"/>
            <w:tcBorders>
              <w:top w:val="single" w:sz="4" w:space="0" w:color="auto"/>
              <w:left w:val="single" w:sz="4" w:space="0" w:color="auto"/>
              <w:bottom w:val="single" w:sz="4" w:space="0" w:color="auto"/>
              <w:right w:val="single" w:sz="4" w:space="0" w:color="auto"/>
            </w:tcBorders>
          </w:tcPr>
          <w:p w14:paraId="6092D667" w14:textId="77777777" w:rsidR="009A44F9" w:rsidRPr="004B3056" w:rsidRDefault="009A44F9" w:rsidP="00B72A95">
            <w:pPr>
              <w:spacing w:after="0" w:line="240" w:lineRule="auto"/>
              <w:jc w:val="left"/>
              <w:rPr>
                <w:rFonts w:eastAsia="Times New Roman" w:cs="Arial"/>
                <w:b/>
                <w:sz w:val="20"/>
                <w:szCs w:val="20"/>
                <w:lang w:val="fr-FR"/>
              </w:rPr>
            </w:pPr>
            <w:r w:rsidRPr="004B3056">
              <w:rPr>
                <w:rFonts w:eastAsia="Times New Roman" w:cs="Arial"/>
                <w:bCs/>
                <w:sz w:val="20"/>
                <w:szCs w:val="20"/>
                <w:lang w:val="fr-FR"/>
              </w:rPr>
              <w:t>Bougouni</w:t>
            </w:r>
          </w:p>
        </w:tc>
        <w:tc>
          <w:tcPr>
            <w:tcW w:w="693" w:type="pct"/>
            <w:tcBorders>
              <w:top w:val="single" w:sz="4" w:space="0" w:color="auto"/>
              <w:left w:val="single" w:sz="4" w:space="0" w:color="auto"/>
              <w:bottom w:val="single" w:sz="4" w:space="0" w:color="auto"/>
              <w:right w:val="single" w:sz="4" w:space="0" w:color="auto"/>
            </w:tcBorders>
            <w:hideMark/>
          </w:tcPr>
          <w:p w14:paraId="7C380A1A" w14:textId="77777777" w:rsidR="009A44F9" w:rsidRPr="004B3056" w:rsidRDefault="009A44F9" w:rsidP="00B72A95">
            <w:pPr>
              <w:spacing w:after="0" w:line="240" w:lineRule="auto"/>
              <w:jc w:val="right"/>
              <w:rPr>
                <w:rFonts w:eastAsia="Times New Roman" w:cs="Arial"/>
                <w:b/>
                <w:sz w:val="20"/>
                <w:szCs w:val="20"/>
                <w:lang w:val="fr-FR"/>
              </w:rPr>
            </w:pPr>
            <w:r w:rsidRPr="004B3056">
              <w:rPr>
                <w:rFonts w:eastAsia="Times New Roman" w:cs="Arial"/>
                <w:bCs/>
                <w:sz w:val="20"/>
                <w:szCs w:val="20"/>
                <w:lang w:val="fr-FR"/>
              </w:rPr>
              <w:t>44.402</w:t>
            </w:r>
          </w:p>
        </w:tc>
        <w:tc>
          <w:tcPr>
            <w:tcW w:w="1529" w:type="pct"/>
            <w:tcBorders>
              <w:top w:val="single" w:sz="4" w:space="0" w:color="auto"/>
              <w:left w:val="single" w:sz="4" w:space="0" w:color="auto"/>
              <w:bottom w:val="single" w:sz="4" w:space="0" w:color="auto"/>
              <w:right w:val="single" w:sz="4" w:space="0" w:color="auto"/>
            </w:tcBorders>
          </w:tcPr>
          <w:p w14:paraId="0CE87BBD" w14:textId="77777777" w:rsidR="009A44F9" w:rsidRPr="004B3056" w:rsidRDefault="009A44F9" w:rsidP="00B72A95">
            <w:pPr>
              <w:spacing w:after="0" w:line="240" w:lineRule="auto"/>
              <w:jc w:val="left"/>
              <w:rPr>
                <w:rFonts w:eastAsia="Times New Roman" w:cs="Arial"/>
                <w:bCs/>
                <w:sz w:val="20"/>
                <w:szCs w:val="20"/>
                <w:lang w:val="fr-FR"/>
              </w:rPr>
            </w:pPr>
            <w:r w:rsidRPr="004B3056">
              <w:rPr>
                <w:rFonts w:eastAsia="Times New Roman" w:cs="Arial"/>
                <w:bCs/>
                <w:sz w:val="20"/>
                <w:szCs w:val="20"/>
                <w:lang w:val="fr-ML"/>
              </w:rPr>
              <w:t>Arrt N°04 -2765/ MEA- SG du 30/12/2004</w:t>
            </w:r>
          </w:p>
        </w:tc>
      </w:tr>
      <w:tr w:rsidR="009A44F9" w:rsidRPr="004B3056" w14:paraId="75260131" w14:textId="77777777" w:rsidTr="00B72A95">
        <w:trPr>
          <w:cantSplit/>
        </w:trPr>
        <w:tc>
          <w:tcPr>
            <w:tcW w:w="1170" w:type="pct"/>
            <w:gridSpan w:val="2"/>
            <w:tcBorders>
              <w:top w:val="single" w:sz="4" w:space="0" w:color="auto"/>
              <w:left w:val="single" w:sz="4" w:space="0" w:color="auto"/>
              <w:bottom w:val="single" w:sz="4" w:space="0" w:color="auto"/>
              <w:right w:val="single" w:sz="4" w:space="0" w:color="auto"/>
            </w:tcBorders>
            <w:shd w:val="clear" w:color="auto" w:fill="FBD4B4"/>
          </w:tcPr>
          <w:p w14:paraId="19AAD799" w14:textId="77777777" w:rsidR="009A44F9" w:rsidRPr="004B3056" w:rsidRDefault="009A44F9" w:rsidP="00B72A95">
            <w:pPr>
              <w:spacing w:after="0" w:line="276" w:lineRule="auto"/>
              <w:rPr>
                <w:rFonts w:eastAsia="Times New Roman" w:cs="Arial"/>
                <w:b/>
                <w:sz w:val="20"/>
                <w:szCs w:val="20"/>
                <w:lang w:val="fr-FR"/>
              </w:rPr>
            </w:pPr>
            <w:r w:rsidRPr="004B3056">
              <w:rPr>
                <w:rFonts w:eastAsia="Times New Roman" w:cs="Arial"/>
                <w:b/>
                <w:sz w:val="20"/>
                <w:szCs w:val="20"/>
                <w:lang w:val="fr-FR"/>
              </w:rPr>
              <w:t>TOTAL</w:t>
            </w:r>
          </w:p>
        </w:tc>
        <w:tc>
          <w:tcPr>
            <w:tcW w:w="881" w:type="pct"/>
            <w:tcBorders>
              <w:top w:val="single" w:sz="4" w:space="0" w:color="auto"/>
              <w:left w:val="single" w:sz="4" w:space="0" w:color="auto"/>
              <w:bottom w:val="single" w:sz="4" w:space="0" w:color="auto"/>
              <w:right w:val="single" w:sz="4" w:space="0" w:color="auto"/>
            </w:tcBorders>
            <w:shd w:val="clear" w:color="auto" w:fill="FBD4B4"/>
          </w:tcPr>
          <w:p w14:paraId="4A1DC19A" w14:textId="77777777" w:rsidR="009A44F9" w:rsidRPr="004B3056" w:rsidRDefault="009A44F9" w:rsidP="00B72A95">
            <w:pPr>
              <w:spacing w:after="0" w:line="276" w:lineRule="auto"/>
              <w:jc w:val="center"/>
              <w:rPr>
                <w:rFonts w:eastAsia="Times New Roman" w:cs="Arial"/>
                <w:b/>
                <w:sz w:val="20"/>
                <w:szCs w:val="20"/>
                <w:lang w:val="fr-FR"/>
              </w:rPr>
            </w:pPr>
          </w:p>
        </w:tc>
        <w:tc>
          <w:tcPr>
            <w:tcW w:w="727" w:type="pct"/>
            <w:tcBorders>
              <w:top w:val="single" w:sz="4" w:space="0" w:color="auto"/>
              <w:left w:val="single" w:sz="4" w:space="0" w:color="auto"/>
              <w:bottom w:val="single" w:sz="4" w:space="0" w:color="auto"/>
              <w:right w:val="single" w:sz="4" w:space="0" w:color="auto"/>
            </w:tcBorders>
            <w:shd w:val="clear" w:color="auto" w:fill="FBD4B4"/>
          </w:tcPr>
          <w:p w14:paraId="7299138C" w14:textId="77777777" w:rsidR="009A44F9" w:rsidRPr="004B3056" w:rsidRDefault="009A44F9" w:rsidP="00B72A95">
            <w:pPr>
              <w:spacing w:after="0" w:line="276" w:lineRule="auto"/>
              <w:jc w:val="right"/>
              <w:rPr>
                <w:rFonts w:eastAsia="Times New Roman" w:cs="Arial"/>
                <w:b/>
                <w:sz w:val="20"/>
                <w:szCs w:val="20"/>
                <w:lang w:val="fr-FR"/>
              </w:rPr>
            </w:pPr>
          </w:p>
        </w:tc>
        <w:tc>
          <w:tcPr>
            <w:tcW w:w="693" w:type="pct"/>
            <w:tcBorders>
              <w:top w:val="single" w:sz="4" w:space="0" w:color="auto"/>
              <w:left w:val="single" w:sz="4" w:space="0" w:color="auto"/>
              <w:bottom w:val="single" w:sz="4" w:space="0" w:color="auto"/>
              <w:right w:val="single" w:sz="4" w:space="0" w:color="auto"/>
            </w:tcBorders>
            <w:shd w:val="clear" w:color="auto" w:fill="FBD4B4"/>
            <w:hideMark/>
          </w:tcPr>
          <w:p w14:paraId="758FE38F" w14:textId="77777777" w:rsidR="009A44F9" w:rsidRPr="004B3056" w:rsidRDefault="009A44F9" w:rsidP="00B72A95">
            <w:pPr>
              <w:spacing w:after="0" w:line="276" w:lineRule="auto"/>
              <w:jc w:val="right"/>
              <w:rPr>
                <w:rFonts w:eastAsia="Times New Roman" w:cs="Arial"/>
                <w:b/>
                <w:sz w:val="20"/>
                <w:szCs w:val="20"/>
                <w:lang w:val="fr-FR"/>
              </w:rPr>
            </w:pPr>
            <w:r w:rsidRPr="004B3056">
              <w:rPr>
                <w:rFonts w:eastAsia="Times New Roman" w:cs="Arial"/>
                <w:b/>
                <w:sz w:val="20"/>
                <w:szCs w:val="20"/>
                <w:lang w:val="fr-FR"/>
              </w:rPr>
              <w:t>204 761</w:t>
            </w:r>
          </w:p>
        </w:tc>
        <w:tc>
          <w:tcPr>
            <w:tcW w:w="1529" w:type="pct"/>
            <w:tcBorders>
              <w:top w:val="single" w:sz="4" w:space="0" w:color="auto"/>
              <w:left w:val="single" w:sz="4" w:space="0" w:color="auto"/>
              <w:bottom w:val="single" w:sz="4" w:space="0" w:color="auto"/>
              <w:right w:val="single" w:sz="4" w:space="0" w:color="auto"/>
            </w:tcBorders>
            <w:shd w:val="clear" w:color="auto" w:fill="FBD4B4"/>
          </w:tcPr>
          <w:p w14:paraId="2C19CEF9" w14:textId="77777777" w:rsidR="009A44F9" w:rsidRPr="004B3056" w:rsidRDefault="009A44F9" w:rsidP="00B72A95">
            <w:pPr>
              <w:spacing w:after="0" w:line="276" w:lineRule="auto"/>
              <w:jc w:val="left"/>
              <w:rPr>
                <w:rFonts w:eastAsia="Times New Roman" w:cs="Arial"/>
                <w:bCs/>
                <w:sz w:val="20"/>
                <w:szCs w:val="20"/>
                <w:lang w:val="fr-FR"/>
              </w:rPr>
            </w:pPr>
          </w:p>
        </w:tc>
      </w:tr>
    </w:tbl>
    <w:p w14:paraId="4E08B3BB" w14:textId="77777777" w:rsidR="009A44F9" w:rsidRPr="004B3056" w:rsidRDefault="009A44F9" w:rsidP="009A44F9">
      <w:pPr>
        <w:spacing w:after="0" w:line="240" w:lineRule="auto"/>
        <w:jc w:val="center"/>
        <w:rPr>
          <w:rFonts w:eastAsia="Times New Roman" w:cs="Arial"/>
          <w:b/>
          <w:sz w:val="20"/>
          <w:szCs w:val="20"/>
          <w:u w:val="single"/>
          <w:lang w:val="fr-FR" w:eastAsia="fr-FR"/>
        </w:rPr>
      </w:pPr>
    </w:p>
    <w:p w14:paraId="3EE3DB62" w14:textId="77777777" w:rsidR="009A44F9" w:rsidRPr="004B3056" w:rsidRDefault="009A44F9" w:rsidP="009A44F9">
      <w:pPr>
        <w:spacing w:after="0" w:line="240" w:lineRule="auto"/>
        <w:jc w:val="center"/>
        <w:rPr>
          <w:rFonts w:eastAsia="Times New Roman" w:cs="Arial"/>
          <w:b/>
          <w:sz w:val="20"/>
          <w:szCs w:val="20"/>
          <w:lang w:val="fr-FR" w:eastAsia="fr-FR"/>
        </w:rPr>
      </w:pPr>
      <w:r w:rsidRPr="004B3056">
        <w:rPr>
          <w:rFonts w:eastAsia="Times New Roman" w:cs="Arial"/>
          <w:b/>
          <w:sz w:val="20"/>
          <w:szCs w:val="20"/>
          <w:lang w:val="fr-FR" w:eastAsia="fr-FR"/>
        </w:rPr>
        <w:t>REGION DE MOPTI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2"/>
        <w:gridCol w:w="1608"/>
        <w:gridCol w:w="2007"/>
        <w:gridCol w:w="1608"/>
        <w:gridCol w:w="1405"/>
        <w:gridCol w:w="2907"/>
      </w:tblGrid>
      <w:tr w:rsidR="009A44F9" w:rsidRPr="004B3056" w14:paraId="453E0B1D" w14:textId="77777777" w:rsidTr="00B72A95">
        <w:trPr>
          <w:cantSplit/>
          <w:trHeight w:val="638"/>
        </w:trPr>
        <w:tc>
          <w:tcPr>
            <w:tcW w:w="297" w:type="pct"/>
            <w:tcBorders>
              <w:top w:val="single" w:sz="4" w:space="0" w:color="auto"/>
              <w:left w:val="single" w:sz="4" w:space="0" w:color="auto"/>
              <w:bottom w:val="single" w:sz="4" w:space="0" w:color="auto"/>
              <w:right w:val="single" w:sz="4" w:space="0" w:color="auto"/>
            </w:tcBorders>
            <w:shd w:val="clear" w:color="auto" w:fill="DDD9C3"/>
            <w:hideMark/>
          </w:tcPr>
          <w:p w14:paraId="46641F42" w14:textId="77777777" w:rsidR="009A44F9" w:rsidRPr="004B3056" w:rsidRDefault="009A44F9" w:rsidP="00B72A95">
            <w:pPr>
              <w:spacing w:after="0" w:line="276" w:lineRule="auto"/>
              <w:jc w:val="center"/>
              <w:rPr>
                <w:rFonts w:eastAsia="Times New Roman" w:cs="Arial"/>
                <w:b/>
                <w:sz w:val="20"/>
                <w:szCs w:val="20"/>
                <w:lang w:val="fr-FR"/>
              </w:rPr>
            </w:pPr>
            <w:r w:rsidRPr="004B3056">
              <w:rPr>
                <w:rFonts w:eastAsia="Times New Roman" w:cs="Arial"/>
                <w:b/>
                <w:sz w:val="20"/>
                <w:szCs w:val="20"/>
                <w:lang w:val="fr-FR"/>
              </w:rPr>
              <w:t xml:space="preserve">N° </w:t>
            </w:r>
          </w:p>
        </w:tc>
        <w:tc>
          <w:tcPr>
            <w:tcW w:w="793" w:type="pct"/>
            <w:tcBorders>
              <w:top w:val="single" w:sz="4" w:space="0" w:color="auto"/>
              <w:left w:val="single" w:sz="4" w:space="0" w:color="auto"/>
              <w:bottom w:val="single" w:sz="4" w:space="0" w:color="auto"/>
              <w:right w:val="single" w:sz="4" w:space="0" w:color="auto"/>
            </w:tcBorders>
            <w:shd w:val="clear" w:color="auto" w:fill="DDD9C3"/>
          </w:tcPr>
          <w:p w14:paraId="0A100CF5" w14:textId="77777777" w:rsidR="009A44F9" w:rsidRPr="004B3056" w:rsidRDefault="009A44F9" w:rsidP="00B72A95">
            <w:pPr>
              <w:spacing w:after="0" w:line="276" w:lineRule="auto"/>
              <w:jc w:val="center"/>
              <w:rPr>
                <w:rFonts w:eastAsia="Times New Roman" w:cs="Arial"/>
                <w:b/>
                <w:sz w:val="20"/>
                <w:szCs w:val="20"/>
                <w:lang w:val="fr-FR"/>
              </w:rPr>
            </w:pPr>
            <w:r w:rsidRPr="004B3056">
              <w:rPr>
                <w:rFonts w:eastAsia="Times New Roman" w:cs="Arial"/>
                <w:b/>
                <w:sz w:val="20"/>
                <w:szCs w:val="20"/>
                <w:lang w:val="fr-FR"/>
              </w:rPr>
              <w:t>Désignation</w:t>
            </w:r>
          </w:p>
          <w:p w14:paraId="24CDCEA6" w14:textId="77777777" w:rsidR="009A44F9" w:rsidRPr="004B3056" w:rsidRDefault="009A44F9" w:rsidP="00B72A95">
            <w:pPr>
              <w:spacing w:after="0" w:line="276" w:lineRule="auto"/>
              <w:rPr>
                <w:rFonts w:eastAsia="Times New Roman" w:cs="Arial"/>
                <w:sz w:val="20"/>
                <w:szCs w:val="20"/>
                <w:lang w:val="fr-ML"/>
              </w:rPr>
            </w:pPr>
          </w:p>
        </w:tc>
        <w:tc>
          <w:tcPr>
            <w:tcW w:w="990" w:type="pct"/>
            <w:tcBorders>
              <w:top w:val="single" w:sz="4" w:space="0" w:color="auto"/>
              <w:left w:val="single" w:sz="4" w:space="0" w:color="auto"/>
              <w:bottom w:val="single" w:sz="4" w:space="0" w:color="auto"/>
              <w:right w:val="single" w:sz="4" w:space="0" w:color="auto"/>
            </w:tcBorders>
            <w:shd w:val="clear" w:color="auto" w:fill="DDD9C3"/>
          </w:tcPr>
          <w:p w14:paraId="067D8043" w14:textId="77777777" w:rsidR="009A44F9" w:rsidRPr="004B3056" w:rsidRDefault="009A44F9" w:rsidP="00B72A95">
            <w:pPr>
              <w:spacing w:after="0" w:line="240" w:lineRule="auto"/>
              <w:jc w:val="center"/>
              <w:outlineLvl w:val="6"/>
              <w:rPr>
                <w:rFonts w:ascii="Times New Roman" w:eastAsia="Times New Roman" w:hAnsi="Times New Roman" w:cs="Times New Roman"/>
                <w:b/>
                <w:sz w:val="20"/>
                <w:szCs w:val="20"/>
                <w:lang w:val="fr-FR"/>
              </w:rPr>
            </w:pPr>
            <w:r w:rsidRPr="004B3056">
              <w:rPr>
                <w:rFonts w:ascii="Times New Roman" w:eastAsia="Times New Roman" w:hAnsi="Times New Roman" w:cs="Times New Roman"/>
                <w:b/>
                <w:sz w:val="20"/>
                <w:szCs w:val="20"/>
                <w:lang w:val="fr-FR"/>
              </w:rPr>
              <w:t>Statut</w:t>
            </w:r>
          </w:p>
          <w:p w14:paraId="17AE4888" w14:textId="77777777" w:rsidR="009A44F9" w:rsidRPr="004B3056" w:rsidRDefault="009A44F9" w:rsidP="00B72A95">
            <w:pPr>
              <w:spacing w:after="0" w:line="276" w:lineRule="auto"/>
              <w:rPr>
                <w:rFonts w:eastAsia="Times New Roman" w:cs="Arial"/>
                <w:b/>
                <w:sz w:val="20"/>
                <w:szCs w:val="20"/>
                <w:lang w:val="fr-FR"/>
              </w:rPr>
            </w:pPr>
          </w:p>
        </w:tc>
        <w:tc>
          <w:tcPr>
            <w:tcW w:w="793" w:type="pct"/>
            <w:tcBorders>
              <w:top w:val="single" w:sz="4" w:space="0" w:color="auto"/>
              <w:left w:val="single" w:sz="4" w:space="0" w:color="auto"/>
              <w:bottom w:val="single" w:sz="4" w:space="0" w:color="auto"/>
              <w:right w:val="single" w:sz="4" w:space="0" w:color="auto"/>
            </w:tcBorders>
            <w:shd w:val="clear" w:color="auto" w:fill="DDD9C3"/>
            <w:hideMark/>
          </w:tcPr>
          <w:p w14:paraId="14215A1B" w14:textId="77777777" w:rsidR="009A44F9" w:rsidRPr="004B3056" w:rsidRDefault="009A44F9" w:rsidP="00B72A95">
            <w:pPr>
              <w:spacing w:after="0" w:line="276" w:lineRule="auto"/>
              <w:jc w:val="center"/>
              <w:rPr>
                <w:rFonts w:eastAsia="Times New Roman" w:cs="Arial"/>
                <w:b/>
                <w:sz w:val="20"/>
                <w:szCs w:val="20"/>
                <w:lang w:val="fr-FR"/>
              </w:rPr>
            </w:pPr>
            <w:r w:rsidRPr="004B3056">
              <w:rPr>
                <w:rFonts w:eastAsia="Times New Roman" w:cs="Arial"/>
                <w:b/>
                <w:sz w:val="20"/>
                <w:szCs w:val="20"/>
                <w:lang w:val="fr-FR"/>
              </w:rPr>
              <w:t>Localisation</w:t>
            </w:r>
          </w:p>
        </w:tc>
        <w:tc>
          <w:tcPr>
            <w:tcW w:w="693" w:type="pct"/>
            <w:tcBorders>
              <w:top w:val="single" w:sz="4" w:space="0" w:color="auto"/>
              <w:left w:val="single" w:sz="4" w:space="0" w:color="auto"/>
              <w:bottom w:val="single" w:sz="4" w:space="0" w:color="auto"/>
              <w:right w:val="single" w:sz="4" w:space="0" w:color="auto"/>
            </w:tcBorders>
            <w:shd w:val="clear" w:color="auto" w:fill="DDD9C3"/>
            <w:hideMark/>
          </w:tcPr>
          <w:p w14:paraId="5E8A8956" w14:textId="77777777" w:rsidR="009A44F9" w:rsidRPr="004B3056" w:rsidRDefault="009A44F9" w:rsidP="00B72A95">
            <w:pPr>
              <w:spacing w:after="0" w:line="276" w:lineRule="auto"/>
              <w:jc w:val="center"/>
              <w:rPr>
                <w:rFonts w:eastAsia="Times New Roman" w:cs="Arial"/>
                <w:b/>
                <w:sz w:val="20"/>
                <w:szCs w:val="20"/>
                <w:lang w:val="fr-FR"/>
              </w:rPr>
            </w:pPr>
            <w:r w:rsidRPr="004B3056">
              <w:rPr>
                <w:rFonts w:eastAsia="Times New Roman" w:cs="Arial"/>
                <w:b/>
                <w:sz w:val="20"/>
                <w:szCs w:val="20"/>
                <w:lang w:val="fr-FR"/>
              </w:rPr>
              <w:t>Superficie</w:t>
            </w:r>
          </w:p>
          <w:p w14:paraId="03C385AF" w14:textId="77777777" w:rsidR="009A44F9" w:rsidRPr="004B3056" w:rsidRDefault="009A44F9" w:rsidP="00B72A95">
            <w:pPr>
              <w:spacing w:after="0" w:line="276" w:lineRule="auto"/>
              <w:jc w:val="center"/>
              <w:rPr>
                <w:rFonts w:eastAsia="Times New Roman" w:cs="Arial"/>
                <w:b/>
                <w:sz w:val="20"/>
                <w:szCs w:val="20"/>
                <w:lang w:val="fr-FR"/>
              </w:rPr>
            </w:pPr>
            <w:r w:rsidRPr="004B3056">
              <w:rPr>
                <w:rFonts w:eastAsia="Times New Roman" w:cs="Arial"/>
                <w:b/>
                <w:sz w:val="20"/>
                <w:szCs w:val="20"/>
                <w:lang w:val="fr-FR"/>
              </w:rPr>
              <w:t>(ha)</w:t>
            </w:r>
          </w:p>
        </w:tc>
        <w:tc>
          <w:tcPr>
            <w:tcW w:w="1434" w:type="pct"/>
            <w:tcBorders>
              <w:top w:val="single" w:sz="4" w:space="0" w:color="auto"/>
              <w:left w:val="single" w:sz="4" w:space="0" w:color="auto"/>
              <w:bottom w:val="single" w:sz="4" w:space="0" w:color="auto"/>
              <w:right w:val="single" w:sz="4" w:space="0" w:color="auto"/>
            </w:tcBorders>
            <w:shd w:val="clear" w:color="auto" w:fill="DDD9C3"/>
            <w:hideMark/>
          </w:tcPr>
          <w:p w14:paraId="7EEC2B17" w14:textId="77777777" w:rsidR="009A44F9" w:rsidRPr="004B3056" w:rsidRDefault="009A44F9" w:rsidP="00B72A95">
            <w:pPr>
              <w:spacing w:after="0" w:line="276" w:lineRule="auto"/>
              <w:jc w:val="center"/>
              <w:rPr>
                <w:rFonts w:eastAsia="Times New Roman" w:cs="Arial"/>
                <w:b/>
                <w:sz w:val="20"/>
                <w:szCs w:val="20"/>
                <w:lang w:val="fr-FR"/>
              </w:rPr>
            </w:pPr>
            <w:r w:rsidRPr="004B3056">
              <w:rPr>
                <w:rFonts w:eastAsia="Times New Roman" w:cs="Arial"/>
                <w:b/>
                <w:sz w:val="20"/>
                <w:szCs w:val="20"/>
                <w:lang w:val="fr-FR"/>
              </w:rPr>
              <w:t>Référence</w:t>
            </w:r>
          </w:p>
        </w:tc>
      </w:tr>
      <w:tr w:rsidR="009A44F9" w:rsidRPr="004B3056" w14:paraId="27C5046A" w14:textId="77777777" w:rsidTr="00B72A95">
        <w:trPr>
          <w:cantSplit/>
        </w:trPr>
        <w:tc>
          <w:tcPr>
            <w:tcW w:w="297" w:type="pct"/>
            <w:tcBorders>
              <w:top w:val="single" w:sz="4" w:space="0" w:color="auto"/>
              <w:left w:val="single" w:sz="4" w:space="0" w:color="auto"/>
              <w:bottom w:val="single" w:sz="4" w:space="0" w:color="auto"/>
              <w:right w:val="single" w:sz="4" w:space="0" w:color="auto"/>
            </w:tcBorders>
            <w:hideMark/>
          </w:tcPr>
          <w:p w14:paraId="783D37D1" w14:textId="77777777" w:rsidR="009A44F9" w:rsidRPr="004B3056" w:rsidRDefault="009A44F9" w:rsidP="00B72A95">
            <w:pPr>
              <w:spacing w:after="0" w:line="276" w:lineRule="auto"/>
              <w:jc w:val="center"/>
              <w:rPr>
                <w:rFonts w:eastAsia="Times New Roman" w:cs="Arial"/>
                <w:b/>
                <w:sz w:val="20"/>
                <w:szCs w:val="20"/>
                <w:lang w:val="fr-ML"/>
              </w:rPr>
            </w:pPr>
            <w:r w:rsidRPr="004B3056">
              <w:rPr>
                <w:rFonts w:eastAsia="Times New Roman" w:cs="Arial"/>
                <w:b/>
                <w:sz w:val="20"/>
                <w:szCs w:val="20"/>
                <w:lang w:val="fr-ML"/>
              </w:rPr>
              <w:t>1</w:t>
            </w:r>
          </w:p>
        </w:tc>
        <w:tc>
          <w:tcPr>
            <w:tcW w:w="793" w:type="pct"/>
            <w:tcBorders>
              <w:top w:val="single" w:sz="4" w:space="0" w:color="auto"/>
              <w:left w:val="single" w:sz="4" w:space="0" w:color="auto"/>
              <w:bottom w:val="single" w:sz="4" w:space="0" w:color="auto"/>
              <w:right w:val="single" w:sz="4" w:space="0" w:color="auto"/>
            </w:tcBorders>
            <w:hideMark/>
          </w:tcPr>
          <w:p w14:paraId="5F93366C" w14:textId="77777777" w:rsidR="009A44F9" w:rsidRPr="004B3056" w:rsidRDefault="009A44F9" w:rsidP="00B72A95">
            <w:pPr>
              <w:spacing w:after="0" w:line="276" w:lineRule="auto"/>
              <w:rPr>
                <w:rFonts w:eastAsia="Times New Roman" w:cs="Arial"/>
                <w:bCs/>
                <w:sz w:val="20"/>
                <w:szCs w:val="20"/>
                <w:lang w:val="fr-ML"/>
              </w:rPr>
            </w:pPr>
            <w:r w:rsidRPr="004B3056">
              <w:rPr>
                <w:rFonts w:eastAsia="Times New Roman" w:cs="Arial"/>
                <w:sz w:val="20"/>
                <w:szCs w:val="20"/>
                <w:lang w:val="fr-ML"/>
              </w:rPr>
              <w:t>Gourma</w:t>
            </w:r>
          </w:p>
        </w:tc>
        <w:tc>
          <w:tcPr>
            <w:tcW w:w="990" w:type="pct"/>
            <w:tcBorders>
              <w:top w:val="single" w:sz="4" w:space="0" w:color="auto"/>
              <w:left w:val="single" w:sz="4" w:space="0" w:color="auto"/>
              <w:bottom w:val="single" w:sz="4" w:space="0" w:color="auto"/>
              <w:right w:val="single" w:sz="4" w:space="0" w:color="auto"/>
            </w:tcBorders>
            <w:hideMark/>
          </w:tcPr>
          <w:p w14:paraId="2D9BC3D9" w14:textId="77777777" w:rsidR="009A44F9" w:rsidRPr="004B3056" w:rsidRDefault="009A44F9" w:rsidP="00B72A95">
            <w:pPr>
              <w:spacing w:after="0" w:line="276" w:lineRule="auto"/>
              <w:rPr>
                <w:rFonts w:eastAsia="Times New Roman" w:cs="Arial"/>
                <w:sz w:val="20"/>
                <w:szCs w:val="20"/>
                <w:lang w:val="fr-FR"/>
              </w:rPr>
            </w:pPr>
            <w:r w:rsidRPr="004B3056">
              <w:rPr>
                <w:rFonts w:eastAsia="Times New Roman" w:cs="Arial"/>
                <w:sz w:val="20"/>
                <w:szCs w:val="20"/>
                <w:lang w:val="fr-FR"/>
              </w:rPr>
              <w:t>Réserve Partielle</w:t>
            </w:r>
          </w:p>
          <w:p w14:paraId="4BB523EA" w14:textId="77777777" w:rsidR="009A44F9" w:rsidRPr="004B3056" w:rsidRDefault="009A44F9" w:rsidP="00B72A95">
            <w:pPr>
              <w:spacing w:after="0" w:line="276" w:lineRule="auto"/>
              <w:rPr>
                <w:rFonts w:eastAsia="Times New Roman" w:cs="Arial"/>
                <w:sz w:val="20"/>
                <w:szCs w:val="20"/>
                <w:lang w:val="fr-FR"/>
              </w:rPr>
            </w:pPr>
            <w:r w:rsidRPr="004B3056">
              <w:rPr>
                <w:rFonts w:eastAsia="Times New Roman" w:cs="Arial"/>
                <w:sz w:val="20"/>
                <w:szCs w:val="20"/>
                <w:lang w:val="fr-FR"/>
              </w:rPr>
              <w:t>des Eléphants</w:t>
            </w:r>
          </w:p>
        </w:tc>
        <w:tc>
          <w:tcPr>
            <w:tcW w:w="793" w:type="pct"/>
            <w:tcBorders>
              <w:top w:val="single" w:sz="4" w:space="0" w:color="auto"/>
              <w:left w:val="single" w:sz="4" w:space="0" w:color="auto"/>
              <w:bottom w:val="single" w:sz="4" w:space="0" w:color="auto"/>
              <w:right w:val="single" w:sz="4" w:space="0" w:color="auto"/>
            </w:tcBorders>
            <w:hideMark/>
          </w:tcPr>
          <w:p w14:paraId="7F2F97CE" w14:textId="77777777" w:rsidR="009A44F9" w:rsidRPr="004B3056" w:rsidRDefault="009A44F9" w:rsidP="00B72A95">
            <w:pPr>
              <w:spacing w:after="0" w:line="276" w:lineRule="auto"/>
              <w:jc w:val="right"/>
              <w:rPr>
                <w:rFonts w:eastAsia="Times New Roman" w:cs="Arial"/>
                <w:sz w:val="20"/>
                <w:szCs w:val="20"/>
                <w:lang w:val="fr-FR"/>
              </w:rPr>
            </w:pPr>
            <w:r w:rsidRPr="004B3056">
              <w:rPr>
                <w:rFonts w:eastAsia="Times New Roman" w:cs="Arial"/>
                <w:sz w:val="20"/>
                <w:szCs w:val="20"/>
                <w:lang w:val="fr-FR"/>
              </w:rPr>
              <w:t>Douentza</w:t>
            </w:r>
          </w:p>
          <w:p w14:paraId="5FDFA4D5" w14:textId="77777777" w:rsidR="009A44F9" w:rsidRPr="004B3056" w:rsidRDefault="009A44F9" w:rsidP="00B72A95">
            <w:pPr>
              <w:spacing w:after="0" w:line="276" w:lineRule="auto"/>
              <w:jc w:val="right"/>
              <w:rPr>
                <w:rFonts w:eastAsia="Times New Roman" w:cs="Arial"/>
                <w:sz w:val="20"/>
                <w:szCs w:val="20"/>
                <w:lang w:val="fr-FR"/>
              </w:rPr>
            </w:pPr>
            <w:r w:rsidRPr="004B3056">
              <w:rPr>
                <w:rFonts w:eastAsia="Times New Roman" w:cs="Arial"/>
                <w:sz w:val="20"/>
                <w:szCs w:val="20"/>
                <w:lang w:val="fr-FR"/>
              </w:rPr>
              <w:t>Rharous</w:t>
            </w:r>
          </w:p>
        </w:tc>
        <w:tc>
          <w:tcPr>
            <w:tcW w:w="693" w:type="pct"/>
            <w:tcBorders>
              <w:top w:val="single" w:sz="4" w:space="0" w:color="auto"/>
              <w:left w:val="single" w:sz="4" w:space="0" w:color="auto"/>
              <w:bottom w:val="single" w:sz="4" w:space="0" w:color="auto"/>
              <w:right w:val="single" w:sz="4" w:space="0" w:color="auto"/>
            </w:tcBorders>
            <w:hideMark/>
          </w:tcPr>
          <w:p w14:paraId="21C367E8" w14:textId="77777777" w:rsidR="009A44F9" w:rsidRPr="004B3056" w:rsidRDefault="009A44F9" w:rsidP="00B72A95">
            <w:pPr>
              <w:spacing w:after="0" w:line="276" w:lineRule="auto"/>
              <w:jc w:val="right"/>
              <w:rPr>
                <w:rFonts w:eastAsia="Times New Roman" w:cs="Arial"/>
                <w:sz w:val="20"/>
                <w:szCs w:val="20"/>
                <w:lang w:val="fr-FR"/>
              </w:rPr>
            </w:pPr>
            <w:r w:rsidRPr="004B3056">
              <w:rPr>
                <w:rFonts w:eastAsia="Times New Roman" w:cs="Arial"/>
                <w:sz w:val="20"/>
                <w:szCs w:val="20"/>
                <w:lang w:val="fr-FR"/>
              </w:rPr>
              <w:t>1.250.000</w:t>
            </w:r>
          </w:p>
        </w:tc>
        <w:tc>
          <w:tcPr>
            <w:tcW w:w="1434" w:type="pct"/>
            <w:tcBorders>
              <w:top w:val="single" w:sz="4" w:space="0" w:color="auto"/>
              <w:left w:val="single" w:sz="4" w:space="0" w:color="auto"/>
              <w:bottom w:val="single" w:sz="4" w:space="0" w:color="auto"/>
              <w:right w:val="single" w:sz="4" w:space="0" w:color="auto"/>
            </w:tcBorders>
            <w:hideMark/>
          </w:tcPr>
          <w:p w14:paraId="6075F1AB" w14:textId="77777777" w:rsidR="009A44F9" w:rsidRPr="004B3056" w:rsidRDefault="009A44F9" w:rsidP="00B72A95">
            <w:pPr>
              <w:spacing w:after="0" w:line="276" w:lineRule="auto"/>
              <w:jc w:val="left"/>
              <w:rPr>
                <w:rFonts w:eastAsia="Times New Roman" w:cs="Arial"/>
                <w:bCs/>
                <w:sz w:val="20"/>
                <w:szCs w:val="20"/>
                <w:lang w:val="fr-FR"/>
              </w:rPr>
            </w:pPr>
            <w:r w:rsidRPr="004B3056">
              <w:rPr>
                <w:rFonts w:eastAsia="Times New Roman" w:cs="Arial"/>
                <w:bCs/>
                <w:sz w:val="20"/>
                <w:szCs w:val="20"/>
                <w:lang w:val="fr-FR"/>
              </w:rPr>
              <w:t xml:space="preserve">Loi N°59-53/AL- RS du 30/12/1959 </w:t>
            </w:r>
          </w:p>
        </w:tc>
      </w:tr>
      <w:tr w:rsidR="009A44F9" w:rsidRPr="004B3056" w14:paraId="70C51104" w14:textId="77777777" w:rsidTr="00B72A95">
        <w:trPr>
          <w:cantSplit/>
        </w:trPr>
        <w:tc>
          <w:tcPr>
            <w:tcW w:w="1090" w:type="pct"/>
            <w:gridSpan w:val="2"/>
            <w:tcBorders>
              <w:top w:val="single" w:sz="4" w:space="0" w:color="auto"/>
              <w:left w:val="single" w:sz="4" w:space="0" w:color="auto"/>
              <w:bottom w:val="single" w:sz="4" w:space="0" w:color="auto"/>
              <w:right w:val="single" w:sz="4" w:space="0" w:color="auto"/>
            </w:tcBorders>
            <w:shd w:val="clear" w:color="auto" w:fill="FBD4B4"/>
          </w:tcPr>
          <w:p w14:paraId="4C472170" w14:textId="77777777" w:rsidR="009A44F9" w:rsidRPr="004B3056" w:rsidRDefault="009A44F9" w:rsidP="00B72A95">
            <w:pPr>
              <w:keepNext/>
              <w:spacing w:after="0" w:line="276" w:lineRule="auto"/>
              <w:jc w:val="center"/>
              <w:outlineLvl w:val="5"/>
              <w:rPr>
                <w:rFonts w:eastAsia="Times New Roman" w:cs="Arial"/>
                <w:b/>
                <w:bCs/>
                <w:sz w:val="20"/>
                <w:szCs w:val="20"/>
                <w:u w:val="single"/>
                <w:lang w:val="en-GB"/>
              </w:rPr>
            </w:pPr>
            <w:r w:rsidRPr="004B3056">
              <w:rPr>
                <w:rFonts w:eastAsia="Times New Roman" w:cs="Arial"/>
                <w:b/>
                <w:bCs/>
                <w:sz w:val="20"/>
                <w:szCs w:val="20"/>
                <w:u w:val="single"/>
                <w:lang w:val="en-GB"/>
              </w:rPr>
              <w:t>TOTAL</w:t>
            </w:r>
          </w:p>
        </w:tc>
        <w:tc>
          <w:tcPr>
            <w:tcW w:w="990" w:type="pct"/>
            <w:tcBorders>
              <w:top w:val="single" w:sz="4" w:space="0" w:color="auto"/>
              <w:left w:val="single" w:sz="4" w:space="0" w:color="auto"/>
              <w:bottom w:val="single" w:sz="4" w:space="0" w:color="auto"/>
              <w:right w:val="single" w:sz="4" w:space="0" w:color="auto"/>
            </w:tcBorders>
            <w:shd w:val="clear" w:color="auto" w:fill="FBD4B4"/>
          </w:tcPr>
          <w:p w14:paraId="5FDA91BD" w14:textId="77777777" w:rsidR="009A44F9" w:rsidRPr="004B3056" w:rsidRDefault="009A44F9" w:rsidP="00B72A95">
            <w:pPr>
              <w:spacing w:after="0" w:line="276" w:lineRule="auto"/>
              <w:jc w:val="center"/>
              <w:rPr>
                <w:rFonts w:eastAsia="Times New Roman" w:cs="Arial"/>
                <w:bCs/>
                <w:sz w:val="20"/>
                <w:szCs w:val="20"/>
                <w:lang w:val="fr-FR"/>
              </w:rPr>
            </w:pPr>
          </w:p>
        </w:tc>
        <w:tc>
          <w:tcPr>
            <w:tcW w:w="793" w:type="pct"/>
            <w:tcBorders>
              <w:top w:val="single" w:sz="4" w:space="0" w:color="auto"/>
              <w:left w:val="single" w:sz="4" w:space="0" w:color="auto"/>
              <w:bottom w:val="single" w:sz="4" w:space="0" w:color="auto"/>
              <w:right w:val="single" w:sz="4" w:space="0" w:color="auto"/>
            </w:tcBorders>
            <w:shd w:val="clear" w:color="auto" w:fill="FBD4B4"/>
          </w:tcPr>
          <w:p w14:paraId="5F15E782" w14:textId="77777777" w:rsidR="009A44F9" w:rsidRPr="004B3056" w:rsidRDefault="009A44F9" w:rsidP="00B72A95">
            <w:pPr>
              <w:spacing w:after="0" w:line="276" w:lineRule="auto"/>
              <w:jc w:val="right"/>
              <w:rPr>
                <w:rFonts w:eastAsia="Times New Roman" w:cs="Arial"/>
                <w:sz w:val="20"/>
                <w:szCs w:val="20"/>
                <w:lang w:val="fr-FR"/>
              </w:rPr>
            </w:pPr>
          </w:p>
        </w:tc>
        <w:tc>
          <w:tcPr>
            <w:tcW w:w="693" w:type="pct"/>
            <w:tcBorders>
              <w:top w:val="single" w:sz="4" w:space="0" w:color="auto"/>
              <w:left w:val="single" w:sz="4" w:space="0" w:color="auto"/>
              <w:bottom w:val="single" w:sz="4" w:space="0" w:color="auto"/>
              <w:right w:val="single" w:sz="4" w:space="0" w:color="auto"/>
            </w:tcBorders>
            <w:shd w:val="clear" w:color="auto" w:fill="FBD4B4"/>
            <w:hideMark/>
          </w:tcPr>
          <w:p w14:paraId="665F5CFC" w14:textId="77777777" w:rsidR="009A44F9" w:rsidRPr="004B3056" w:rsidRDefault="009A44F9" w:rsidP="00B72A95">
            <w:pPr>
              <w:spacing w:after="0" w:line="276" w:lineRule="auto"/>
              <w:jc w:val="right"/>
              <w:rPr>
                <w:rFonts w:eastAsia="Times New Roman" w:cs="Arial"/>
                <w:b/>
                <w:sz w:val="20"/>
                <w:szCs w:val="20"/>
                <w:lang w:val="fr-FR"/>
              </w:rPr>
            </w:pPr>
            <w:r w:rsidRPr="004B3056">
              <w:rPr>
                <w:rFonts w:eastAsia="Times New Roman" w:cs="Arial"/>
                <w:b/>
                <w:sz w:val="20"/>
                <w:szCs w:val="20"/>
                <w:lang w:val="fr-FR"/>
              </w:rPr>
              <w:t>1 250 000</w:t>
            </w:r>
          </w:p>
        </w:tc>
        <w:tc>
          <w:tcPr>
            <w:tcW w:w="1434" w:type="pct"/>
            <w:tcBorders>
              <w:top w:val="single" w:sz="4" w:space="0" w:color="auto"/>
              <w:left w:val="single" w:sz="4" w:space="0" w:color="auto"/>
              <w:bottom w:val="single" w:sz="4" w:space="0" w:color="auto"/>
              <w:right w:val="single" w:sz="4" w:space="0" w:color="auto"/>
            </w:tcBorders>
            <w:shd w:val="clear" w:color="auto" w:fill="FBD4B4"/>
          </w:tcPr>
          <w:p w14:paraId="737F2BED" w14:textId="77777777" w:rsidR="009A44F9" w:rsidRPr="004B3056" w:rsidRDefault="009A44F9" w:rsidP="00B72A95">
            <w:pPr>
              <w:spacing w:after="0" w:line="276" w:lineRule="auto"/>
              <w:jc w:val="left"/>
              <w:rPr>
                <w:rFonts w:eastAsia="Times New Roman" w:cs="Arial"/>
                <w:bCs/>
                <w:sz w:val="20"/>
                <w:szCs w:val="20"/>
                <w:lang w:val="fr-FR"/>
              </w:rPr>
            </w:pPr>
          </w:p>
        </w:tc>
      </w:tr>
    </w:tbl>
    <w:p w14:paraId="532AB246" w14:textId="77777777" w:rsidR="009A44F9" w:rsidRPr="004B3056" w:rsidRDefault="009A44F9" w:rsidP="009A44F9">
      <w:pPr>
        <w:spacing w:after="0" w:line="240" w:lineRule="auto"/>
        <w:jc w:val="center"/>
        <w:rPr>
          <w:rFonts w:eastAsia="Times New Roman" w:cs="Arial"/>
          <w:b/>
          <w:sz w:val="20"/>
          <w:szCs w:val="20"/>
          <w:u w:val="single"/>
          <w:lang w:val="fr-FR" w:eastAsia="fr-FR"/>
        </w:rPr>
      </w:pPr>
    </w:p>
    <w:p w14:paraId="28060FF5" w14:textId="77777777" w:rsidR="009A44F9" w:rsidRPr="004B3056" w:rsidRDefault="009A44F9" w:rsidP="009A44F9">
      <w:pPr>
        <w:spacing w:after="0" w:line="240" w:lineRule="auto"/>
        <w:jc w:val="center"/>
        <w:rPr>
          <w:rFonts w:eastAsia="Times New Roman" w:cs="Arial"/>
          <w:b/>
          <w:sz w:val="20"/>
          <w:szCs w:val="20"/>
          <w:lang w:val="fr-FR" w:eastAsia="fr-FR"/>
        </w:rPr>
      </w:pPr>
      <w:r w:rsidRPr="004B3056">
        <w:rPr>
          <w:rFonts w:eastAsia="Times New Roman" w:cs="Arial"/>
          <w:b/>
          <w:sz w:val="20"/>
          <w:szCs w:val="20"/>
          <w:lang w:val="fr-FR" w:eastAsia="fr-FR"/>
        </w:rPr>
        <w:t>REGION DE TOMBOUCTOU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8"/>
        <w:gridCol w:w="1656"/>
        <w:gridCol w:w="1837"/>
        <w:gridCol w:w="1654"/>
        <w:gridCol w:w="1444"/>
        <w:gridCol w:w="2928"/>
      </w:tblGrid>
      <w:tr w:rsidR="009A44F9" w:rsidRPr="004B3056" w14:paraId="11967458" w14:textId="77777777" w:rsidTr="00B72A95">
        <w:trPr>
          <w:cantSplit/>
          <w:trHeight w:val="638"/>
        </w:trPr>
        <w:tc>
          <w:tcPr>
            <w:tcW w:w="305" w:type="pct"/>
            <w:tcBorders>
              <w:top w:val="single" w:sz="4" w:space="0" w:color="auto"/>
              <w:left w:val="single" w:sz="4" w:space="0" w:color="auto"/>
              <w:bottom w:val="single" w:sz="4" w:space="0" w:color="auto"/>
              <w:right w:val="single" w:sz="4" w:space="0" w:color="auto"/>
            </w:tcBorders>
            <w:shd w:val="clear" w:color="auto" w:fill="DDD9C3"/>
            <w:hideMark/>
          </w:tcPr>
          <w:p w14:paraId="0B9EEC65" w14:textId="77777777" w:rsidR="009A44F9" w:rsidRPr="004B3056" w:rsidRDefault="009A44F9" w:rsidP="00B72A95">
            <w:pPr>
              <w:spacing w:after="0" w:line="276" w:lineRule="auto"/>
              <w:jc w:val="center"/>
              <w:rPr>
                <w:rFonts w:eastAsia="Times New Roman" w:cs="Arial"/>
                <w:b/>
                <w:sz w:val="20"/>
                <w:szCs w:val="20"/>
                <w:lang w:val="fr-FR"/>
              </w:rPr>
            </w:pPr>
            <w:r w:rsidRPr="004B3056">
              <w:rPr>
                <w:rFonts w:eastAsia="Times New Roman" w:cs="Arial"/>
                <w:b/>
                <w:sz w:val="20"/>
                <w:szCs w:val="20"/>
                <w:lang w:val="fr-FR"/>
              </w:rPr>
              <w:t xml:space="preserve">N° </w:t>
            </w:r>
          </w:p>
        </w:tc>
        <w:tc>
          <w:tcPr>
            <w:tcW w:w="816" w:type="pct"/>
            <w:tcBorders>
              <w:top w:val="single" w:sz="4" w:space="0" w:color="auto"/>
              <w:left w:val="single" w:sz="4" w:space="0" w:color="auto"/>
              <w:bottom w:val="single" w:sz="4" w:space="0" w:color="auto"/>
              <w:right w:val="single" w:sz="4" w:space="0" w:color="auto"/>
            </w:tcBorders>
            <w:shd w:val="clear" w:color="auto" w:fill="DDD9C3"/>
          </w:tcPr>
          <w:p w14:paraId="6ADF8F9E" w14:textId="77777777" w:rsidR="009A44F9" w:rsidRPr="004B3056" w:rsidRDefault="009A44F9" w:rsidP="00B72A95">
            <w:pPr>
              <w:spacing w:after="0" w:line="276" w:lineRule="auto"/>
              <w:jc w:val="center"/>
              <w:rPr>
                <w:rFonts w:eastAsia="Times New Roman" w:cs="Arial"/>
                <w:b/>
                <w:sz w:val="20"/>
                <w:szCs w:val="20"/>
                <w:lang w:val="fr-FR"/>
              </w:rPr>
            </w:pPr>
            <w:r w:rsidRPr="004B3056">
              <w:rPr>
                <w:rFonts w:eastAsia="Times New Roman" w:cs="Arial"/>
                <w:b/>
                <w:sz w:val="20"/>
                <w:szCs w:val="20"/>
                <w:lang w:val="fr-FR"/>
              </w:rPr>
              <w:t>Désignation</w:t>
            </w:r>
          </w:p>
          <w:p w14:paraId="1D9591B1" w14:textId="77777777" w:rsidR="009A44F9" w:rsidRPr="004B3056" w:rsidRDefault="009A44F9" w:rsidP="00B72A95">
            <w:pPr>
              <w:spacing w:after="0" w:line="276" w:lineRule="auto"/>
              <w:rPr>
                <w:rFonts w:eastAsia="Times New Roman" w:cs="Arial"/>
                <w:sz w:val="20"/>
                <w:szCs w:val="20"/>
                <w:lang w:val="fr-ML"/>
              </w:rPr>
            </w:pPr>
          </w:p>
        </w:tc>
        <w:tc>
          <w:tcPr>
            <w:tcW w:w="906" w:type="pct"/>
            <w:tcBorders>
              <w:top w:val="single" w:sz="4" w:space="0" w:color="auto"/>
              <w:left w:val="single" w:sz="4" w:space="0" w:color="auto"/>
              <w:bottom w:val="single" w:sz="4" w:space="0" w:color="auto"/>
              <w:right w:val="single" w:sz="4" w:space="0" w:color="auto"/>
            </w:tcBorders>
            <w:shd w:val="clear" w:color="auto" w:fill="DDD9C3"/>
          </w:tcPr>
          <w:p w14:paraId="0E02FF5B" w14:textId="77777777" w:rsidR="009A44F9" w:rsidRPr="004B3056" w:rsidRDefault="009A44F9" w:rsidP="00B72A95">
            <w:pPr>
              <w:spacing w:after="0" w:line="240" w:lineRule="auto"/>
              <w:jc w:val="center"/>
              <w:outlineLvl w:val="6"/>
              <w:rPr>
                <w:rFonts w:ascii="Times New Roman" w:eastAsia="Times New Roman" w:hAnsi="Times New Roman" w:cs="Times New Roman"/>
                <w:b/>
                <w:sz w:val="20"/>
                <w:szCs w:val="20"/>
                <w:lang w:val="fr-FR"/>
              </w:rPr>
            </w:pPr>
            <w:r w:rsidRPr="004B3056">
              <w:rPr>
                <w:rFonts w:ascii="Times New Roman" w:eastAsia="Times New Roman" w:hAnsi="Times New Roman" w:cs="Times New Roman"/>
                <w:b/>
                <w:sz w:val="20"/>
                <w:szCs w:val="20"/>
                <w:lang w:val="fr-FR"/>
              </w:rPr>
              <w:t>Statut</w:t>
            </w:r>
          </w:p>
          <w:p w14:paraId="240B078C" w14:textId="77777777" w:rsidR="009A44F9" w:rsidRPr="004B3056" w:rsidRDefault="009A44F9" w:rsidP="00B72A95">
            <w:pPr>
              <w:spacing w:after="0" w:line="276" w:lineRule="auto"/>
              <w:rPr>
                <w:rFonts w:eastAsia="Times New Roman" w:cs="Arial"/>
                <w:b/>
                <w:sz w:val="20"/>
                <w:szCs w:val="20"/>
                <w:lang w:val="fr-FR"/>
              </w:rPr>
            </w:pPr>
          </w:p>
        </w:tc>
        <w:tc>
          <w:tcPr>
            <w:tcW w:w="816" w:type="pct"/>
            <w:tcBorders>
              <w:top w:val="single" w:sz="4" w:space="0" w:color="auto"/>
              <w:left w:val="single" w:sz="4" w:space="0" w:color="auto"/>
              <w:bottom w:val="single" w:sz="4" w:space="0" w:color="auto"/>
              <w:right w:val="single" w:sz="4" w:space="0" w:color="auto"/>
            </w:tcBorders>
            <w:shd w:val="clear" w:color="auto" w:fill="DDD9C3"/>
            <w:hideMark/>
          </w:tcPr>
          <w:p w14:paraId="562D5642" w14:textId="77777777" w:rsidR="009A44F9" w:rsidRPr="004B3056" w:rsidRDefault="009A44F9" w:rsidP="00B72A95">
            <w:pPr>
              <w:spacing w:after="0" w:line="276" w:lineRule="auto"/>
              <w:jc w:val="center"/>
              <w:rPr>
                <w:rFonts w:eastAsia="Times New Roman" w:cs="Arial"/>
                <w:b/>
                <w:sz w:val="20"/>
                <w:szCs w:val="20"/>
                <w:lang w:val="fr-FR"/>
              </w:rPr>
            </w:pPr>
            <w:r w:rsidRPr="004B3056">
              <w:rPr>
                <w:rFonts w:eastAsia="Times New Roman" w:cs="Arial"/>
                <w:b/>
                <w:sz w:val="20"/>
                <w:szCs w:val="20"/>
                <w:lang w:val="fr-FR"/>
              </w:rPr>
              <w:t>Localisation</w:t>
            </w:r>
          </w:p>
        </w:tc>
        <w:tc>
          <w:tcPr>
            <w:tcW w:w="712" w:type="pct"/>
            <w:tcBorders>
              <w:top w:val="single" w:sz="4" w:space="0" w:color="auto"/>
              <w:left w:val="single" w:sz="4" w:space="0" w:color="auto"/>
              <w:bottom w:val="single" w:sz="4" w:space="0" w:color="auto"/>
              <w:right w:val="single" w:sz="4" w:space="0" w:color="auto"/>
            </w:tcBorders>
            <w:shd w:val="clear" w:color="auto" w:fill="DDD9C3"/>
            <w:hideMark/>
          </w:tcPr>
          <w:p w14:paraId="2452F7FF" w14:textId="77777777" w:rsidR="009A44F9" w:rsidRPr="004B3056" w:rsidRDefault="009A44F9" w:rsidP="00B72A95">
            <w:pPr>
              <w:spacing w:after="0" w:line="276" w:lineRule="auto"/>
              <w:jc w:val="center"/>
              <w:rPr>
                <w:rFonts w:eastAsia="Times New Roman" w:cs="Arial"/>
                <w:b/>
                <w:sz w:val="20"/>
                <w:szCs w:val="20"/>
                <w:lang w:val="fr-FR"/>
              </w:rPr>
            </w:pPr>
            <w:r w:rsidRPr="004B3056">
              <w:rPr>
                <w:rFonts w:eastAsia="Times New Roman" w:cs="Arial"/>
                <w:b/>
                <w:sz w:val="20"/>
                <w:szCs w:val="20"/>
                <w:lang w:val="fr-FR"/>
              </w:rPr>
              <w:t>Superficie</w:t>
            </w:r>
          </w:p>
          <w:p w14:paraId="1E00B932" w14:textId="77777777" w:rsidR="009A44F9" w:rsidRPr="004B3056" w:rsidRDefault="009A44F9" w:rsidP="00B72A95">
            <w:pPr>
              <w:spacing w:after="0" w:line="276" w:lineRule="auto"/>
              <w:jc w:val="center"/>
              <w:rPr>
                <w:rFonts w:eastAsia="Times New Roman" w:cs="Arial"/>
                <w:b/>
                <w:sz w:val="20"/>
                <w:szCs w:val="20"/>
                <w:lang w:val="fr-FR"/>
              </w:rPr>
            </w:pPr>
            <w:r w:rsidRPr="004B3056">
              <w:rPr>
                <w:rFonts w:eastAsia="Times New Roman" w:cs="Arial"/>
                <w:b/>
                <w:sz w:val="20"/>
                <w:szCs w:val="20"/>
                <w:lang w:val="fr-FR"/>
              </w:rPr>
              <w:t>(ha)</w:t>
            </w:r>
          </w:p>
        </w:tc>
        <w:tc>
          <w:tcPr>
            <w:tcW w:w="1444" w:type="pct"/>
            <w:tcBorders>
              <w:top w:val="single" w:sz="4" w:space="0" w:color="auto"/>
              <w:left w:val="single" w:sz="4" w:space="0" w:color="auto"/>
              <w:bottom w:val="single" w:sz="4" w:space="0" w:color="auto"/>
              <w:right w:val="single" w:sz="4" w:space="0" w:color="auto"/>
            </w:tcBorders>
            <w:shd w:val="clear" w:color="auto" w:fill="DDD9C3"/>
            <w:hideMark/>
          </w:tcPr>
          <w:p w14:paraId="1CCD788D" w14:textId="77777777" w:rsidR="009A44F9" w:rsidRPr="004B3056" w:rsidRDefault="009A44F9" w:rsidP="00B72A95">
            <w:pPr>
              <w:spacing w:after="0" w:line="276" w:lineRule="auto"/>
              <w:jc w:val="center"/>
              <w:rPr>
                <w:rFonts w:eastAsia="Times New Roman" w:cs="Arial"/>
                <w:b/>
                <w:sz w:val="20"/>
                <w:szCs w:val="20"/>
                <w:lang w:val="fr-FR"/>
              </w:rPr>
            </w:pPr>
            <w:r w:rsidRPr="004B3056">
              <w:rPr>
                <w:rFonts w:eastAsia="Times New Roman" w:cs="Arial"/>
                <w:b/>
                <w:sz w:val="20"/>
                <w:szCs w:val="20"/>
                <w:lang w:val="fr-FR"/>
              </w:rPr>
              <w:t>Référence</w:t>
            </w:r>
          </w:p>
        </w:tc>
      </w:tr>
      <w:tr w:rsidR="009A44F9" w:rsidRPr="004B3056" w14:paraId="11D7A524" w14:textId="77777777" w:rsidTr="00B72A95">
        <w:trPr>
          <w:cantSplit/>
        </w:trPr>
        <w:tc>
          <w:tcPr>
            <w:tcW w:w="305" w:type="pct"/>
            <w:tcBorders>
              <w:top w:val="single" w:sz="4" w:space="0" w:color="auto"/>
              <w:left w:val="single" w:sz="4" w:space="0" w:color="auto"/>
              <w:bottom w:val="single" w:sz="4" w:space="0" w:color="auto"/>
              <w:right w:val="single" w:sz="4" w:space="0" w:color="auto"/>
            </w:tcBorders>
            <w:hideMark/>
          </w:tcPr>
          <w:p w14:paraId="53FA1382" w14:textId="77777777" w:rsidR="009A44F9" w:rsidRPr="004B3056" w:rsidRDefault="009A44F9" w:rsidP="00B72A95">
            <w:pPr>
              <w:spacing w:after="0" w:line="276" w:lineRule="auto"/>
              <w:jc w:val="center"/>
              <w:rPr>
                <w:rFonts w:eastAsia="Times New Roman" w:cs="Arial"/>
                <w:b/>
                <w:sz w:val="20"/>
                <w:szCs w:val="20"/>
                <w:lang w:val="en-GB"/>
              </w:rPr>
            </w:pPr>
            <w:r w:rsidRPr="004B3056">
              <w:rPr>
                <w:rFonts w:eastAsia="Times New Roman" w:cs="Arial"/>
                <w:b/>
                <w:sz w:val="20"/>
                <w:szCs w:val="20"/>
                <w:lang w:val="en-GB"/>
              </w:rPr>
              <w:t>1</w:t>
            </w:r>
          </w:p>
        </w:tc>
        <w:tc>
          <w:tcPr>
            <w:tcW w:w="816" w:type="pct"/>
            <w:tcBorders>
              <w:top w:val="single" w:sz="4" w:space="0" w:color="auto"/>
              <w:left w:val="single" w:sz="4" w:space="0" w:color="auto"/>
              <w:bottom w:val="single" w:sz="4" w:space="0" w:color="auto"/>
              <w:right w:val="single" w:sz="4" w:space="0" w:color="auto"/>
            </w:tcBorders>
          </w:tcPr>
          <w:p w14:paraId="3BCB3D44" w14:textId="77777777" w:rsidR="009A44F9" w:rsidRPr="004B3056" w:rsidRDefault="009A44F9" w:rsidP="00B72A95">
            <w:pPr>
              <w:spacing w:after="0" w:line="276" w:lineRule="auto"/>
              <w:rPr>
                <w:rFonts w:eastAsia="Times New Roman" w:cs="Arial"/>
                <w:bCs/>
                <w:sz w:val="20"/>
                <w:szCs w:val="20"/>
                <w:lang w:val="fr-ML"/>
              </w:rPr>
            </w:pPr>
            <w:r w:rsidRPr="004B3056">
              <w:rPr>
                <w:rFonts w:eastAsia="Times New Roman" w:cs="Arial"/>
                <w:bCs/>
                <w:sz w:val="20"/>
                <w:szCs w:val="20"/>
                <w:lang w:val="fr-ML"/>
              </w:rPr>
              <w:t>Azaouad Nord – Ouest dite Salam</w:t>
            </w:r>
          </w:p>
        </w:tc>
        <w:tc>
          <w:tcPr>
            <w:tcW w:w="906" w:type="pct"/>
            <w:tcBorders>
              <w:top w:val="single" w:sz="4" w:space="0" w:color="auto"/>
              <w:left w:val="single" w:sz="4" w:space="0" w:color="auto"/>
              <w:bottom w:val="single" w:sz="4" w:space="0" w:color="auto"/>
              <w:right w:val="single" w:sz="4" w:space="0" w:color="auto"/>
            </w:tcBorders>
          </w:tcPr>
          <w:p w14:paraId="7EFA27C6" w14:textId="77777777" w:rsidR="009A44F9" w:rsidRPr="004B3056" w:rsidRDefault="009A44F9" w:rsidP="00B72A95">
            <w:pPr>
              <w:spacing w:after="0" w:line="276" w:lineRule="auto"/>
              <w:jc w:val="right"/>
              <w:rPr>
                <w:rFonts w:eastAsia="Times New Roman" w:cs="Arial"/>
                <w:bCs/>
                <w:sz w:val="20"/>
                <w:szCs w:val="20"/>
                <w:lang w:val="fr-FR"/>
              </w:rPr>
            </w:pPr>
            <w:r w:rsidRPr="004B3056">
              <w:rPr>
                <w:rFonts w:eastAsia="Times New Roman" w:cs="Arial"/>
                <w:bCs/>
                <w:sz w:val="20"/>
                <w:szCs w:val="20"/>
                <w:lang w:val="fr-FR"/>
              </w:rPr>
              <w:t>Zone d’intérêt Cynégétique</w:t>
            </w:r>
          </w:p>
        </w:tc>
        <w:tc>
          <w:tcPr>
            <w:tcW w:w="816" w:type="pct"/>
            <w:tcBorders>
              <w:top w:val="single" w:sz="4" w:space="0" w:color="auto"/>
              <w:left w:val="single" w:sz="4" w:space="0" w:color="auto"/>
              <w:bottom w:val="single" w:sz="4" w:space="0" w:color="auto"/>
              <w:right w:val="single" w:sz="4" w:space="0" w:color="auto"/>
            </w:tcBorders>
          </w:tcPr>
          <w:p w14:paraId="5DD4E178" w14:textId="77777777" w:rsidR="009A44F9" w:rsidRPr="004B3056" w:rsidRDefault="009A44F9" w:rsidP="00B72A95">
            <w:pPr>
              <w:spacing w:after="0" w:line="276" w:lineRule="auto"/>
              <w:jc w:val="right"/>
              <w:rPr>
                <w:rFonts w:eastAsia="Times New Roman" w:cs="Arial"/>
                <w:bCs/>
                <w:sz w:val="20"/>
                <w:szCs w:val="20"/>
                <w:lang w:val="fr-FR"/>
              </w:rPr>
            </w:pPr>
            <w:r w:rsidRPr="004B3056">
              <w:rPr>
                <w:rFonts w:eastAsia="Times New Roman" w:cs="Arial"/>
                <w:bCs/>
                <w:sz w:val="20"/>
                <w:szCs w:val="20"/>
                <w:lang w:val="fr-FR"/>
              </w:rPr>
              <w:t>Tombouctou</w:t>
            </w:r>
          </w:p>
        </w:tc>
        <w:tc>
          <w:tcPr>
            <w:tcW w:w="712" w:type="pct"/>
            <w:tcBorders>
              <w:top w:val="single" w:sz="4" w:space="0" w:color="auto"/>
              <w:left w:val="single" w:sz="4" w:space="0" w:color="auto"/>
              <w:bottom w:val="single" w:sz="4" w:space="0" w:color="auto"/>
              <w:right w:val="single" w:sz="4" w:space="0" w:color="auto"/>
            </w:tcBorders>
          </w:tcPr>
          <w:p w14:paraId="4ADAB340" w14:textId="77777777" w:rsidR="009A44F9" w:rsidRPr="004B3056" w:rsidRDefault="009A44F9" w:rsidP="00B72A95">
            <w:pPr>
              <w:spacing w:after="0" w:line="276" w:lineRule="auto"/>
              <w:jc w:val="right"/>
              <w:rPr>
                <w:rFonts w:eastAsia="Times New Roman" w:cs="Arial"/>
                <w:bCs/>
                <w:sz w:val="20"/>
                <w:szCs w:val="20"/>
                <w:lang w:val="fr-FR"/>
              </w:rPr>
            </w:pPr>
            <w:r w:rsidRPr="004B3056">
              <w:rPr>
                <w:rFonts w:eastAsia="Times New Roman" w:cs="Arial"/>
                <w:bCs/>
                <w:sz w:val="20"/>
                <w:szCs w:val="20"/>
                <w:lang w:val="fr-FR"/>
              </w:rPr>
              <w:t>1.216.000</w:t>
            </w:r>
          </w:p>
        </w:tc>
        <w:tc>
          <w:tcPr>
            <w:tcW w:w="1444" w:type="pct"/>
            <w:tcBorders>
              <w:top w:val="single" w:sz="4" w:space="0" w:color="auto"/>
              <w:left w:val="single" w:sz="4" w:space="0" w:color="auto"/>
              <w:bottom w:val="single" w:sz="4" w:space="0" w:color="auto"/>
              <w:right w:val="single" w:sz="4" w:space="0" w:color="auto"/>
            </w:tcBorders>
          </w:tcPr>
          <w:p w14:paraId="431B855A" w14:textId="77777777" w:rsidR="009A44F9" w:rsidRPr="004B3056" w:rsidRDefault="009A44F9" w:rsidP="00B72A95">
            <w:pPr>
              <w:spacing w:after="0" w:line="276" w:lineRule="auto"/>
              <w:jc w:val="left"/>
              <w:rPr>
                <w:rFonts w:eastAsia="Times New Roman" w:cs="Arial"/>
                <w:bCs/>
                <w:sz w:val="20"/>
                <w:szCs w:val="20"/>
                <w:lang w:val="fr-ML"/>
              </w:rPr>
            </w:pPr>
            <w:r w:rsidRPr="004B3056">
              <w:rPr>
                <w:rFonts w:eastAsia="Times New Roman" w:cs="Arial"/>
                <w:bCs/>
                <w:sz w:val="20"/>
                <w:szCs w:val="20"/>
                <w:lang w:val="fr-ML"/>
              </w:rPr>
              <w:t>Arrt N°06 -2762/ MEA- SG du 19/01/2006</w:t>
            </w:r>
          </w:p>
        </w:tc>
      </w:tr>
      <w:tr w:rsidR="009A44F9" w:rsidRPr="004B3056" w14:paraId="30DE951B" w14:textId="77777777" w:rsidTr="00B72A95">
        <w:trPr>
          <w:cantSplit/>
          <w:trHeight w:val="90"/>
        </w:trPr>
        <w:tc>
          <w:tcPr>
            <w:tcW w:w="305" w:type="pct"/>
            <w:tcBorders>
              <w:top w:val="single" w:sz="4" w:space="0" w:color="auto"/>
              <w:left w:val="single" w:sz="4" w:space="0" w:color="auto"/>
              <w:bottom w:val="single" w:sz="4" w:space="0" w:color="auto"/>
              <w:right w:val="single" w:sz="4" w:space="0" w:color="auto"/>
            </w:tcBorders>
            <w:hideMark/>
          </w:tcPr>
          <w:p w14:paraId="18E70895" w14:textId="77777777" w:rsidR="009A44F9" w:rsidRPr="004B3056" w:rsidRDefault="009A44F9" w:rsidP="00B72A95">
            <w:pPr>
              <w:spacing w:after="0" w:line="276" w:lineRule="auto"/>
              <w:jc w:val="center"/>
              <w:rPr>
                <w:rFonts w:eastAsia="Times New Roman" w:cs="Arial"/>
                <w:b/>
                <w:sz w:val="20"/>
                <w:szCs w:val="20"/>
                <w:lang w:val="fr-FR"/>
              </w:rPr>
            </w:pPr>
            <w:r w:rsidRPr="004B3056">
              <w:rPr>
                <w:rFonts w:eastAsia="Times New Roman" w:cs="Arial"/>
                <w:b/>
                <w:sz w:val="20"/>
                <w:szCs w:val="20"/>
                <w:lang w:val="fr-FR"/>
              </w:rPr>
              <w:t>2</w:t>
            </w:r>
          </w:p>
        </w:tc>
        <w:tc>
          <w:tcPr>
            <w:tcW w:w="816" w:type="pct"/>
            <w:tcBorders>
              <w:top w:val="single" w:sz="4" w:space="0" w:color="auto"/>
              <w:left w:val="single" w:sz="4" w:space="0" w:color="auto"/>
              <w:bottom w:val="single" w:sz="4" w:space="0" w:color="auto"/>
              <w:right w:val="single" w:sz="4" w:space="0" w:color="auto"/>
            </w:tcBorders>
          </w:tcPr>
          <w:p w14:paraId="7240FFF0" w14:textId="77777777" w:rsidR="009A44F9" w:rsidRPr="004B3056" w:rsidRDefault="009A44F9" w:rsidP="00B72A95">
            <w:pPr>
              <w:spacing w:after="0" w:line="276" w:lineRule="auto"/>
              <w:rPr>
                <w:rFonts w:eastAsia="Times New Roman" w:cs="Arial"/>
                <w:bCs/>
                <w:sz w:val="20"/>
                <w:szCs w:val="20"/>
                <w:lang w:val="fr-ML"/>
              </w:rPr>
            </w:pPr>
            <w:r w:rsidRPr="004B3056">
              <w:rPr>
                <w:rFonts w:eastAsia="Times New Roman" w:cs="Arial"/>
                <w:bCs/>
                <w:sz w:val="20"/>
                <w:szCs w:val="20"/>
                <w:lang w:val="fr-ML"/>
              </w:rPr>
              <w:t>Azaouad Nord- Ouest 3</w:t>
            </w:r>
          </w:p>
        </w:tc>
        <w:tc>
          <w:tcPr>
            <w:tcW w:w="906" w:type="pct"/>
            <w:tcBorders>
              <w:top w:val="single" w:sz="4" w:space="0" w:color="auto"/>
              <w:left w:val="single" w:sz="4" w:space="0" w:color="auto"/>
              <w:bottom w:val="single" w:sz="4" w:space="0" w:color="auto"/>
              <w:right w:val="single" w:sz="4" w:space="0" w:color="auto"/>
            </w:tcBorders>
          </w:tcPr>
          <w:p w14:paraId="42A782CA" w14:textId="77777777" w:rsidR="009A44F9" w:rsidRPr="004B3056" w:rsidRDefault="009A44F9" w:rsidP="00B72A95">
            <w:pPr>
              <w:spacing w:after="0" w:line="276" w:lineRule="auto"/>
              <w:jc w:val="right"/>
              <w:rPr>
                <w:rFonts w:eastAsia="Times New Roman" w:cs="Arial"/>
                <w:bCs/>
                <w:sz w:val="20"/>
                <w:szCs w:val="20"/>
                <w:lang w:val="fr-FR"/>
              </w:rPr>
            </w:pPr>
            <w:r w:rsidRPr="004B3056">
              <w:rPr>
                <w:rFonts w:eastAsia="Times New Roman" w:cs="Arial"/>
                <w:bCs/>
                <w:sz w:val="20"/>
                <w:szCs w:val="20"/>
                <w:lang w:val="fr-FR"/>
              </w:rPr>
              <w:t>Zone d’intérêt Cynégétique</w:t>
            </w:r>
          </w:p>
        </w:tc>
        <w:tc>
          <w:tcPr>
            <w:tcW w:w="816" w:type="pct"/>
            <w:tcBorders>
              <w:top w:val="single" w:sz="4" w:space="0" w:color="auto"/>
              <w:left w:val="single" w:sz="4" w:space="0" w:color="auto"/>
              <w:bottom w:val="single" w:sz="4" w:space="0" w:color="auto"/>
              <w:right w:val="single" w:sz="4" w:space="0" w:color="auto"/>
            </w:tcBorders>
          </w:tcPr>
          <w:p w14:paraId="2F5148BD" w14:textId="77777777" w:rsidR="009A44F9" w:rsidRPr="004B3056" w:rsidRDefault="009A44F9" w:rsidP="00B72A95">
            <w:pPr>
              <w:spacing w:after="0" w:line="276" w:lineRule="auto"/>
              <w:jc w:val="right"/>
              <w:rPr>
                <w:rFonts w:eastAsia="Times New Roman" w:cs="Arial"/>
                <w:bCs/>
                <w:sz w:val="20"/>
                <w:szCs w:val="20"/>
                <w:lang w:val="fr-FR"/>
              </w:rPr>
            </w:pPr>
            <w:r w:rsidRPr="004B3056">
              <w:rPr>
                <w:rFonts w:eastAsia="Times New Roman" w:cs="Arial"/>
                <w:bCs/>
                <w:sz w:val="20"/>
                <w:szCs w:val="20"/>
                <w:lang w:val="fr-FR"/>
              </w:rPr>
              <w:t>Tombouctou</w:t>
            </w:r>
          </w:p>
        </w:tc>
        <w:tc>
          <w:tcPr>
            <w:tcW w:w="712" w:type="pct"/>
            <w:tcBorders>
              <w:top w:val="single" w:sz="4" w:space="0" w:color="auto"/>
              <w:left w:val="single" w:sz="4" w:space="0" w:color="auto"/>
              <w:bottom w:val="single" w:sz="4" w:space="0" w:color="auto"/>
              <w:right w:val="single" w:sz="4" w:space="0" w:color="auto"/>
            </w:tcBorders>
          </w:tcPr>
          <w:p w14:paraId="5C604DD4" w14:textId="77777777" w:rsidR="009A44F9" w:rsidRPr="004B3056" w:rsidRDefault="009A44F9" w:rsidP="00B72A95">
            <w:pPr>
              <w:spacing w:after="0" w:line="276" w:lineRule="auto"/>
              <w:jc w:val="right"/>
              <w:rPr>
                <w:rFonts w:eastAsia="Times New Roman" w:cs="Arial"/>
                <w:bCs/>
                <w:sz w:val="20"/>
                <w:szCs w:val="20"/>
                <w:lang w:val="fr-FR"/>
              </w:rPr>
            </w:pPr>
            <w:r w:rsidRPr="004B3056">
              <w:rPr>
                <w:rFonts w:eastAsia="Times New Roman" w:cs="Arial"/>
                <w:bCs/>
                <w:sz w:val="20"/>
                <w:szCs w:val="20"/>
                <w:lang w:val="fr-FR"/>
              </w:rPr>
              <w:t>815.735</w:t>
            </w:r>
          </w:p>
        </w:tc>
        <w:tc>
          <w:tcPr>
            <w:tcW w:w="1444" w:type="pct"/>
            <w:tcBorders>
              <w:top w:val="single" w:sz="4" w:space="0" w:color="auto"/>
              <w:left w:val="single" w:sz="4" w:space="0" w:color="auto"/>
              <w:bottom w:val="single" w:sz="4" w:space="0" w:color="auto"/>
              <w:right w:val="single" w:sz="4" w:space="0" w:color="auto"/>
            </w:tcBorders>
          </w:tcPr>
          <w:p w14:paraId="7596AFAE" w14:textId="77777777" w:rsidR="009A44F9" w:rsidRPr="004B3056" w:rsidRDefault="009A44F9" w:rsidP="00B72A95">
            <w:pPr>
              <w:spacing w:after="0" w:line="276" w:lineRule="auto"/>
              <w:jc w:val="left"/>
              <w:rPr>
                <w:rFonts w:eastAsia="Times New Roman" w:cs="Arial"/>
                <w:bCs/>
                <w:sz w:val="20"/>
                <w:szCs w:val="20"/>
                <w:lang w:val="fr-ML"/>
              </w:rPr>
            </w:pPr>
            <w:r w:rsidRPr="004B3056">
              <w:rPr>
                <w:rFonts w:eastAsia="Times New Roman" w:cs="Arial"/>
                <w:bCs/>
                <w:sz w:val="20"/>
                <w:szCs w:val="20"/>
                <w:lang w:val="fr-ML"/>
              </w:rPr>
              <w:t>Arrt N°08 -2991/ MEA- SG du 27/10/2008</w:t>
            </w:r>
          </w:p>
        </w:tc>
      </w:tr>
      <w:tr w:rsidR="009A44F9" w:rsidRPr="004B3056" w14:paraId="362004EB" w14:textId="77777777" w:rsidTr="00B72A95">
        <w:trPr>
          <w:cantSplit/>
          <w:trHeight w:val="90"/>
        </w:trPr>
        <w:tc>
          <w:tcPr>
            <w:tcW w:w="1122" w:type="pct"/>
            <w:gridSpan w:val="2"/>
            <w:tcBorders>
              <w:top w:val="single" w:sz="4" w:space="0" w:color="auto"/>
              <w:left w:val="single" w:sz="4" w:space="0" w:color="auto"/>
              <w:bottom w:val="single" w:sz="4" w:space="0" w:color="auto"/>
              <w:right w:val="single" w:sz="4" w:space="0" w:color="auto"/>
            </w:tcBorders>
            <w:shd w:val="clear" w:color="auto" w:fill="FBD4B4"/>
          </w:tcPr>
          <w:p w14:paraId="660B000D" w14:textId="77777777" w:rsidR="009A44F9" w:rsidRPr="004B3056" w:rsidRDefault="009A44F9" w:rsidP="00B72A95">
            <w:pPr>
              <w:keepNext/>
              <w:spacing w:after="0" w:line="276" w:lineRule="auto"/>
              <w:jc w:val="center"/>
              <w:outlineLvl w:val="5"/>
              <w:rPr>
                <w:rFonts w:eastAsia="Times New Roman" w:cs="Arial"/>
                <w:b/>
                <w:bCs/>
                <w:sz w:val="20"/>
                <w:szCs w:val="20"/>
                <w:u w:val="single"/>
                <w:lang w:val="fr-ML"/>
              </w:rPr>
            </w:pPr>
            <w:r w:rsidRPr="004B3056">
              <w:rPr>
                <w:rFonts w:eastAsia="Times New Roman" w:cs="Arial"/>
                <w:b/>
                <w:bCs/>
                <w:sz w:val="20"/>
                <w:szCs w:val="20"/>
                <w:u w:val="single"/>
                <w:lang w:val="en-GB"/>
              </w:rPr>
              <w:t>TOTAL</w:t>
            </w:r>
          </w:p>
        </w:tc>
        <w:tc>
          <w:tcPr>
            <w:tcW w:w="906" w:type="pct"/>
            <w:tcBorders>
              <w:top w:val="single" w:sz="4" w:space="0" w:color="auto"/>
              <w:left w:val="single" w:sz="4" w:space="0" w:color="auto"/>
              <w:bottom w:val="single" w:sz="4" w:space="0" w:color="auto"/>
              <w:right w:val="single" w:sz="4" w:space="0" w:color="auto"/>
            </w:tcBorders>
            <w:shd w:val="clear" w:color="auto" w:fill="FBD4B4"/>
          </w:tcPr>
          <w:p w14:paraId="4F0DEB5B" w14:textId="77777777" w:rsidR="009A44F9" w:rsidRPr="004B3056" w:rsidRDefault="009A44F9" w:rsidP="00B72A95">
            <w:pPr>
              <w:spacing w:after="0" w:line="276" w:lineRule="auto"/>
              <w:jc w:val="center"/>
              <w:rPr>
                <w:rFonts w:eastAsia="Times New Roman" w:cs="Arial"/>
                <w:bCs/>
                <w:sz w:val="20"/>
                <w:szCs w:val="20"/>
                <w:lang w:val="fr-FR"/>
              </w:rPr>
            </w:pPr>
          </w:p>
        </w:tc>
        <w:tc>
          <w:tcPr>
            <w:tcW w:w="816" w:type="pct"/>
            <w:tcBorders>
              <w:top w:val="single" w:sz="4" w:space="0" w:color="auto"/>
              <w:left w:val="single" w:sz="4" w:space="0" w:color="auto"/>
              <w:bottom w:val="single" w:sz="4" w:space="0" w:color="auto"/>
              <w:right w:val="single" w:sz="4" w:space="0" w:color="auto"/>
            </w:tcBorders>
            <w:shd w:val="clear" w:color="auto" w:fill="FBD4B4"/>
          </w:tcPr>
          <w:p w14:paraId="640AECD4" w14:textId="77777777" w:rsidR="009A44F9" w:rsidRPr="004B3056" w:rsidRDefault="009A44F9" w:rsidP="00B72A95">
            <w:pPr>
              <w:spacing w:after="0" w:line="276" w:lineRule="auto"/>
              <w:jc w:val="right"/>
              <w:rPr>
                <w:rFonts w:eastAsia="Times New Roman" w:cs="Arial"/>
                <w:bCs/>
                <w:sz w:val="20"/>
                <w:szCs w:val="20"/>
                <w:lang w:val="fr-FR"/>
              </w:rPr>
            </w:pPr>
          </w:p>
        </w:tc>
        <w:tc>
          <w:tcPr>
            <w:tcW w:w="712" w:type="pct"/>
            <w:tcBorders>
              <w:top w:val="single" w:sz="4" w:space="0" w:color="auto"/>
              <w:left w:val="single" w:sz="4" w:space="0" w:color="auto"/>
              <w:bottom w:val="single" w:sz="4" w:space="0" w:color="auto"/>
              <w:right w:val="single" w:sz="4" w:space="0" w:color="auto"/>
            </w:tcBorders>
            <w:shd w:val="clear" w:color="auto" w:fill="FBD4B4"/>
            <w:hideMark/>
          </w:tcPr>
          <w:p w14:paraId="122C7B01" w14:textId="77777777" w:rsidR="009A44F9" w:rsidRPr="004B3056" w:rsidRDefault="009A44F9" w:rsidP="00B72A95">
            <w:pPr>
              <w:spacing w:after="0" w:line="276" w:lineRule="auto"/>
              <w:jc w:val="right"/>
              <w:rPr>
                <w:rFonts w:eastAsia="Times New Roman" w:cs="Arial"/>
                <w:b/>
                <w:sz w:val="20"/>
                <w:szCs w:val="20"/>
                <w:lang w:val="fr-FR"/>
              </w:rPr>
            </w:pPr>
            <w:r w:rsidRPr="004B3056">
              <w:rPr>
                <w:rFonts w:eastAsia="Times New Roman" w:cs="Arial"/>
                <w:b/>
                <w:sz w:val="20"/>
                <w:szCs w:val="20"/>
                <w:lang w:val="fr-FR"/>
              </w:rPr>
              <w:t>2 031 735</w:t>
            </w:r>
          </w:p>
        </w:tc>
        <w:tc>
          <w:tcPr>
            <w:tcW w:w="1444" w:type="pct"/>
            <w:tcBorders>
              <w:top w:val="single" w:sz="4" w:space="0" w:color="auto"/>
              <w:left w:val="single" w:sz="4" w:space="0" w:color="auto"/>
              <w:bottom w:val="single" w:sz="4" w:space="0" w:color="auto"/>
              <w:right w:val="single" w:sz="4" w:space="0" w:color="auto"/>
            </w:tcBorders>
            <w:shd w:val="clear" w:color="auto" w:fill="FBD4B4"/>
            <w:hideMark/>
          </w:tcPr>
          <w:p w14:paraId="4F777DC0" w14:textId="77777777" w:rsidR="009A44F9" w:rsidRPr="004B3056" w:rsidRDefault="009A44F9" w:rsidP="00B72A95">
            <w:pPr>
              <w:spacing w:after="0" w:line="276" w:lineRule="auto"/>
              <w:jc w:val="left"/>
              <w:rPr>
                <w:rFonts w:eastAsia="Times New Roman" w:cs="Arial"/>
                <w:bCs/>
                <w:sz w:val="20"/>
                <w:szCs w:val="20"/>
                <w:lang w:val="fr-ML"/>
              </w:rPr>
            </w:pPr>
          </w:p>
        </w:tc>
      </w:tr>
    </w:tbl>
    <w:p w14:paraId="056980DE" w14:textId="77777777" w:rsidR="009A44F9" w:rsidRPr="004B3056" w:rsidRDefault="009A44F9" w:rsidP="009A44F9">
      <w:pPr>
        <w:spacing w:after="0" w:line="240" w:lineRule="auto"/>
        <w:jc w:val="center"/>
        <w:rPr>
          <w:rFonts w:eastAsia="Times New Roman" w:cs="Arial"/>
          <w:b/>
          <w:sz w:val="20"/>
          <w:szCs w:val="20"/>
          <w:u w:val="single"/>
          <w:lang w:val="fr-FR" w:eastAsia="fr-FR"/>
        </w:rPr>
      </w:pPr>
    </w:p>
    <w:p w14:paraId="3B8181CA" w14:textId="77777777" w:rsidR="009A44F9" w:rsidRPr="004B3056" w:rsidRDefault="009A44F9" w:rsidP="009A44F9">
      <w:pPr>
        <w:spacing w:after="0" w:line="240" w:lineRule="auto"/>
        <w:jc w:val="center"/>
        <w:rPr>
          <w:rFonts w:eastAsia="Times New Roman" w:cs="Arial"/>
          <w:b/>
          <w:sz w:val="20"/>
          <w:szCs w:val="20"/>
          <w:lang w:val="fr-FR" w:eastAsia="fr-FR"/>
        </w:rPr>
      </w:pPr>
      <w:r w:rsidRPr="004B3056">
        <w:rPr>
          <w:rFonts w:eastAsia="Times New Roman" w:cs="Arial"/>
          <w:b/>
          <w:sz w:val="20"/>
          <w:szCs w:val="20"/>
          <w:lang w:val="fr-FR" w:eastAsia="fr-FR"/>
        </w:rPr>
        <w:t xml:space="preserve"> REGION DE GAO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8"/>
        <w:gridCol w:w="1654"/>
        <w:gridCol w:w="2265"/>
        <w:gridCol w:w="1654"/>
        <w:gridCol w:w="1444"/>
        <w:gridCol w:w="2502"/>
      </w:tblGrid>
      <w:tr w:rsidR="009A44F9" w:rsidRPr="004B3056" w14:paraId="2ED7E3C1" w14:textId="77777777" w:rsidTr="00B72A95">
        <w:trPr>
          <w:cantSplit/>
          <w:trHeight w:val="638"/>
        </w:trPr>
        <w:tc>
          <w:tcPr>
            <w:tcW w:w="305" w:type="pct"/>
            <w:tcBorders>
              <w:top w:val="single" w:sz="4" w:space="0" w:color="auto"/>
              <w:left w:val="single" w:sz="4" w:space="0" w:color="auto"/>
              <w:bottom w:val="single" w:sz="4" w:space="0" w:color="auto"/>
              <w:right w:val="single" w:sz="4" w:space="0" w:color="auto"/>
            </w:tcBorders>
            <w:shd w:val="clear" w:color="auto" w:fill="DDD9C3"/>
            <w:hideMark/>
          </w:tcPr>
          <w:p w14:paraId="725D049C" w14:textId="77777777" w:rsidR="009A44F9" w:rsidRPr="004B3056" w:rsidRDefault="009A44F9" w:rsidP="00B72A95">
            <w:pPr>
              <w:spacing w:after="0" w:line="276" w:lineRule="auto"/>
              <w:jc w:val="center"/>
              <w:rPr>
                <w:rFonts w:eastAsia="Times New Roman" w:cs="Arial"/>
                <w:b/>
                <w:sz w:val="20"/>
                <w:szCs w:val="20"/>
                <w:lang w:val="fr-FR"/>
              </w:rPr>
            </w:pPr>
            <w:r w:rsidRPr="004B3056">
              <w:rPr>
                <w:rFonts w:eastAsia="Times New Roman" w:cs="Arial"/>
                <w:b/>
                <w:sz w:val="20"/>
                <w:szCs w:val="20"/>
                <w:lang w:val="fr-FR"/>
              </w:rPr>
              <w:t xml:space="preserve">N° </w:t>
            </w:r>
          </w:p>
        </w:tc>
        <w:tc>
          <w:tcPr>
            <w:tcW w:w="816" w:type="pct"/>
            <w:tcBorders>
              <w:top w:val="single" w:sz="4" w:space="0" w:color="auto"/>
              <w:left w:val="single" w:sz="4" w:space="0" w:color="auto"/>
              <w:bottom w:val="single" w:sz="4" w:space="0" w:color="auto"/>
              <w:right w:val="single" w:sz="4" w:space="0" w:color="auto"/>
            </w:tcBorders>
            <w:shd w:val="clear" w:color="auto" w:fill="DDD9C3"/>
          </w:tcPr>
          <w:p w14:paraId="7586D9E4" w14:textId="77777777" w:rsidR="009A44F9" w:rsidRPr="004B3056" w:rsidRDefault="009A44F9" w:rsidP="00B72A95">
            <w:pPr>
              <w:spacing w:after="0" w:line="276" w:lineRule="auto"/>
              <w:jc w:val="center"/>
              <w:rPr>
                <w:rFonts w:eastAsia="Times New Roman" w:cs="Arial"/>
                <w:b/>
                <w:sz w:val="20"/>
                <w:szCs w:val="20"/>
                <w:lang w:val="fr-FR"/>
              </w:rPr>
            </w:pPr>
            <w:r w:rsidRPr="004B3056">
              <w:rPr>
                <w:rFonts w:eastAsia="Times New Roman" w:cs="Arial"/>
                <w:b/>
                <w:sz w:val="20"/>
                <w:szCs w:val="20"/>
                <w:lang w:val="fr-FR"/>
              </w:rPr>
              <w:t>Désignation</w:t>
            </w:r>
          </w:p>
          <w:p w14:paraId="5161FE88" w14:textId="77777777" w:rsidR="009A44F9" w:rsidRPr="004B3056" w:rsidRDefault="009A44F9" w:rsidP="00B72A95">
            <w:pPr>
              <w:spacing w:after="0" w:line="276" w:lineRule="auto"/>
              <w:rPr>
                <w:rFonts w:eastAsia="Times New Roman" w:cs="Arial"/>
                <w:sz w:val="20"/>
                <w:szCs w:val="20"/>
                <w:lang w:val="fr-ML"/>
              </w:rPr>
            </w:pPr>
          </w:p>
        </w:tc>
        <w:tc>
          <w:tcPr>
            <w:tcW w:w="1117" w:type="pct"/>
            <w:tcBorders>
              <w:top w:val="single" w:sz="4" w:space="0" w:color="auto"/>
              <w:left w:val="single" w:sz="4" w:space="0" w:color="auto"/>
              <w:bottom w:val="single" w:sz="4" w:space="0" w:color="auto"/>
              <w:right w:val="single" w:sz="4" w:space="0" w:color="auto"/>
            </w:tcBorders>
            <w:shd w:val="clear" w:color="auto" w:fill="DDD9C3"/>
          </w:tcPr>
          <w:p w14:paraId="376E873E" w14:textId="77777777" w:rsidR="009A44F9" w:rsidRPr="004B3056" w:rsidRDefault="009A44F9" w:rsidP="00B72A95">
            <w:pPr>
              <w:spacing w:after="0" w:line="240" w:lineRule="auto"/>
              <w:jc w:val="center"/>
              <w:outlineLvl w:val="6"/>
              <w:rPr>
                <w:rFonts w:ascii="Times New Roman" w:eastAsia="Times New Roman" w:hAnsi="Times New Roman" w:cs="Times New Roman"/>
                <w:b/>
                <w:sz w:val="20"/>
                <w:szCs w:val="20"/>
                <w:lang w:val="fr-FR"/>
              </w:rPr>
            </w:pPr>
            <w:r w:rsidRPr="004B3056">
              <w:rPr>
                <w:rFonts w:ascii="Times New Roman" w:eastAsia="Times New Roman" w:hAnsi="Times New Roman" w:cs="Times New Roman"/>
                <w:b/>
                <w:sz w:val="20"/>
                <w:szCs w:val="20"/>
                <w:lang w:val="fr-FR"/>
              </w:rPr>
              <w:t>Statut</w:t>
            </w:r>
          </w:p>
          <w:p w14:paraId="26471537" w14:textId="77777777" w:rsidR="009A44F9" w:rsidRPr="004B3056" w:rsidRDefault="009A44F9" w:rsidP="00B72A95">
            <w:pPr>
              <w:spacing w:after="0" w:line="276" w:lineRule="auto"/>
              <w:rPr>
                <w:rFonts w:eastAsia="Times New Roman" w:cs="Arial"/>
                <w:b/>
                <w:sz w:val="20"/>
                <w:szCs w:val="20"/>
                <w:lang w:val="fr-FR"/>
              </w:rPr>
            </w:pPr>
          </w:p>
        </w:tc>
        <w:tc>
          <w:tcPr>
            <w:tcW w:w="816" w:type="pct"/>
            <w:tcBorders>
              <w:top w:val="single" w:sz="4" w:space="0" w:color="auto"/>
              <w:left w:val="single" w:sz="4" w:space="0" w:color="auto"/>
              <w:bottom w:val="single" w:sz="4" w:space="0" w:color="auto"/>
              <w:right w:val="single" w:sz="4" w:space="0" w:color="auto"/>
            </w:tcBorders>
            <w:shd w:val="clear" w:color="auto" w:fill="DDD9C3"/>
            <w:hideMark/>
          </w:tcPr>
          <w:p w14:paraId="1005A198" w14:textId="77777777" w:rsidR="009A44F9" w:rsidRPr="004B3056" w:rsidRDefault="009A44F9" w:rsidP="00B72A95">
            <w:pPr>
              <w:spacing w:after="0" w:line="276" w:lineRule="auto"/>
              <w:jc w:val="center"/>
              <w:rPr>
                <w:rFonts w:eastAsia="Times New Roman" w:cs="Arial"/>
                <w:b/>
                <w:sz w:val="20"/>
                <w:szCs w:val="20"/>
                <w:lang w:val="fr-FR"/>
              </w:rPr>
            </w:pPr>
            <w:r w:rsidRPr="004B3056">
              <w:rPr>
                <w:rFonts w:eastAsia="Times New Roman" w:cs="Arial"/>
                <w:b/>
                <w:sz w:val="20"/>
                <w:szCs w:val="20"/>
                <w:lang w:val="fr-FR"/>
              </w:rPr>
              <w:t>Localisation</w:t>
            </w:r>
          </w:p>
        </w:tc>
        <w:tc>
          <w:tcPr>
            <w:tcW w:w="712" w:type="pct"/>
            <w:tcBorders>
              <w:top w:val="single" w:sz="4" w:space="0" w:color="auto"/>
              <w:left w:val="single" w:sz="4" w:space="0" w:color="auto"/>
              <w:bottom w:val="single" w:sz="4" w:space="0" w:color="auto"/>
              <w:right w:val="single" w:sz="4" w:space="0" w:color="auto"/>
            </w:tcBorders>
            <w:shd w:val="clear" w:color="auto" w:fill="DDD9C3"/>
            <w:hideMark/>
          </w:tcPr>
          <w:p w14:paraId="43150A0D" w14:textId="77777777" w:rsidR="009A44F9" w:rsidRPr="004B3056" w:rsidRDefault="009A44F9" w:rsidP="00B72A95">
            <w:pPr>
              <w:spacing w:after="0" w:line="276" w:lineRule="auto"/>
              <w:jc w:val="center"/>
              <w:rPr>
                <w:rFonts w:eastAsia="Times New Roman" w:cs="Arial"/>
                <w:b/>
                <w:sz w:val="20"/>
                <w:szCs w:val="20"/>
                <w:lang w:val="fr-FR"/>
              </w:rPr>
            </w:pPr>
            <w:r w:rsidRPr="004B3056">
              <w:rPr>
                <w:rFonts w:eastAsia="Times New Roman" w:cs="Arial"/>
                <w:b/>
                <w:sz w:val="20"/>
                <w:szCs w:val="20"/>
                <w:lang w:val="fr-FR"/>
              </w:rPr>
              <w:t>Superficie</w:t>
            </w:r>
          </w:p>
          <w:p w14:paraId="192F79A7" w14:textId="77777777" w:rsidR="009A44F9" w:rsidRPr="004B3056" w:rsidRDefault="009A44F9" w:rsidP="00B72A95">
            <w:pPr>
              <w:spacing w:after="0" w:line="276" w:lineRule="auto"/>
              <w:jc w:val="center"/>
              <w:rPr>
                <w:rFonts w:eastAsia="Times New Roman" w:cs="Arial"/>
                <w:b/>
                <w:sz w:val="20"/>
                <w:szCs w:val="20"/>
                <w:lang w:val="fr-FR"/>
              </w:rPr>
            </w:pPr>
            <w:r w:rsidRPr="004B3056">
              <w:rPr>
                <w:rFonts w:eastAsia="Times New Roman" w:cs="Arial"/>
                <w:b/>
                <w:sz w:val="20"/>
                <w:szCs w:val="20"/>
                <w:lang w:val="fr-FR"/>
              </w:rPr>
              <w:t>(ha)</w:t>
            </w:r>
          </w:p>
        </w:tc>
        <w:tc>
          <w:tcPr>
            <w:tcW w:w="1234" w:type="pct"/>
            <w:tcBorders>
              <w:top w:val="single" w:sz="4" w:space="0" w:color="auto"/>
              <w:left w:val="single" w:sz="4" w:space="0" w:color="auto"/>
              <w:bottom w:val="single" w:sz="4" w:space="0" w:color="auto"/>
              <w:right w:val="single" w:sz="4" w:space="0" w:color="auto"/>
            </w:tcBorders>
            <w:shd w:val="clear" w:color="auto" w:fill="DDD9C3"/>
            <w:hideMark/>
          </w:tcPr>
          <w:p w14:paraId="4D5AC8D8" w14:textId="77777777" w:rsidR="009A44F9" w:rsidRPr="004B3056" w:rsidRDefault="009A44F9" w:rsidP="00B72A95">
            <w:pPr>
              <w:spacing w:after="0" w:line="276" w:lineRule="auto"/>
              <w:jc w:val="center"/>
              <w:rPr>
                <w:rFonts w:eastAsia="Times New Roman" w:cs="Arial"/>
                <w:b/>
                <w:sz w:val="20"/>
                <w:szCs w:val="20"/>
                <w:lang w:val="fr-FR"/>
              </w:rPr>
            </w:pPr>
            <w:r w:rsidRPr="004B3056">
              <w:rPr>
                <w:rFonts w:eastAsia="Times New Roman" w:cs="Arial"/>
                <w:b/>
                <w:sz w:val="20"/>
                <w:szCs w:val="20"/>
                <w:lang w:val="fr-FR"/>
              </w:rPr>
              <w:t>Référence</w:t>
            </w:r>
          </w:p>
        </w:tc>
      </w:tr>
      <w:tr w:rsidR="009A44F9" w:rsidRPr="004B3056" w14:paraId="21D9811F" w14:textId="77777777" w:rsidTr="00B72A95">
        <w:trPr>
          <w:cantSplit/>
        </w:trPr>
        <w:tc>
          <w:tcPr>
            <w:tcW w:w="305" w:type="pct"/>
            <w:tcBorders>
              <w:top w:val="single" w:sz="4" w:space="0" w:color="auto"/>
              <w:left w:val="single" w:sz="4" w:space="0" w:color="auto"/>
              <w:bottom w:val="single" w:sz="4" w:space="0" w:color="auto"/>
              <w:right w:val="single" w:sz="4" w:space="0" w:color="auto"/>
            </w:tcBorders>
            <w:hideMark/>
          </w:tcPr>
          <w:p w14:paraId="2B49426C" w14:textId="77777777" w:rsidR="009A44F9" w:rsidRPr="004B3056" w:rsidRDefault="009A44F9" w:rsidP="00B72A95">
            <w:pPr>
              <w:spacing w:after="0" w:line="276" w:lineRule="auto"/>
              <w:jc w:val="center"/>
              <w:rPr>
                <w:rFonts w:eastAsia="Times New Roman" w:cs="Arial"/>
                <w:b/>
                <w:sz w:val="20"/>
                <w:szCs w:val="20"/>
                <w:lang w:val="fr-FR"/>
              </w:rPr>
            </w:pPr>
            <w:r w:rsidRPr="004B3056">
              <w:rPr>
                <w:rFonts w:eastAsia="Times New Roman" w:cs="Arial"/>
                <w:b/>
                <w:sz w:val="20"/>
                <w:szCs w:val="20"/>
                <w:lang w:val="fr-FR"/>
              </w:rPr>
              <w:t>1</w:t>
            </w:r>
          </w:p>
        </w:tc>
        <w:tc>
          <w:tcPr>
            <w:tcW w:w="816" w:type="pct"/>
            <w:tcBorders>
              <w:top w:val="single" w:sz="4" w:space="0" w:color="auto"/>
              <w:left w:val="single" w:sz="4" w:space="0" w:color="auto"/>
              <w:bottom w:val="single" w:sz="4" w:space="0" w:color="auto"/>
              <w:right w:val="single" w:sz="4" w:space="0" w:color="auto"/>
            </w:tcBorders>
            <w:hideMark/>
          </w:tcPr>
          <w:p w14:paraId="348604DF" w14:textId="77777777" w:rsidR="009A44F9" w:rsidRPr="004B3056" w:rsidRDefault="009A44F9" w:rsidP="00B72A95">
            <w:pPr>
              <w:spacing w:after="0" w:line="276" w:lineRule="auto"/>
              <w:rPr>
                <w:rFonts w:eastAsia="Times New Roman" w:cs="Arial"/>
                <w:sz w:val="20"/>
                <w:szCs w:val="20"/>
                <w:lang w:val="fr-FR"/>
              </w:rPr>
            </w:pPr>
            <w:r w:rsidRPr="004B3056">
              <w:rPr>
                <w:rFonts w:eastAsia="Times New Roman" w:cs="Arial"/>
                <w:sz w:val="20"/>
                <w:szCs w:val="20"/>
                <w:lang w:val="fr-FR"/>
              </w:rPr>
              <w:t>Ansongo</w:t>
            </w:r>
          </w:p>
          <w:p w14:paraId="1475BE79" w14:textId="77777777" w:rsidR="009A44F9" w:rsidRPr="004B3056" w:rsidRDefault="009A44F9" w:rsidP="00B72A95">
            <w:pPr>
              <w:spacing w:after="0" w:line="276" w:lineRule="auto"/>
              <w:rPr>
                <w:rFonts w:eastAsia="Times New Roman" w:cs="Arial"/>
                <w:sz w:val="20"/>
                <w:szCs w:val="20"/>
                <w:lang w:val="fr-FR"/>
              </w:rPr>
            </w:pPr>
            <w:r w:rsidRPr="004B3056">
              <w:rPr>
                <w:rFonts w:eastAsia="Times New Roman" w:cs="Arial"/>
                <w:sz w:val="20"/>
                <w:szCs w:val="20"/>
                <w:lang w:val="fr-FR"/>
              </w:rPr>
              <w:t>Ménaka</w:t>
            </w:r>
          </w:p>
        </w:tc>
        <w:tc>
          <w:tcPr>
            <w:tcW w:w="1117" w:type="pct"/>
            <w:tcBorders>
              <w:top w:val="single" w:sz="4" w:space="0" w:color="auto"/>
              <w:left w:val="single" w:sz="4" w:space="0" w:color="auto"/>
              <w:bottom w:val="single" w:sz="4" w:space="0" w:color="auto"/>
              <w:right w:val="single" w:sz="4" w:space="0" w:color="auto"/>
            </w:tcBorders>
            <w:hideMark/>
          </w:tcPr>
          <w:p w14:paraId="0418EB2C" w14:textId="77777777" w:rsidR="009A44F9" w:rsidRPr="004B3056" w:rsidRDefault="009A44F9" w:rsidP="00B72A95">
            <w:pPr>
              <w:spacing w:after="0" w:line="276" w:lineRule="auto"/>
              <w:rPr>
                <w:rFonts w:eastAsia="Times New Roman" w:cs="Arial"/>
                <w:sz w:val="20"/>
                <w:szCs w:val="20"/>
                <w:lang w:val="fr-FR"/>
              </w:rPr>
            </w:pPr>
            <w:r w:rsidRPr="004B3056">
              <w:rPr>
                <w:rFonts w:eastAsia="Times New Roman" w:cs="Arial"/>
                <w:sz w:val="20"/>
                <w:szCs w:val="20"/>
                <w:lang w:val="fr-FR"/>
              </w:rPr>
              <w:t>Réserve Partielle des Girafes</w:t>
            </w:r>
          </w:p>
        </w:tc>
        <w:tc>
          <w:tcPr>
            <w:tcW w:w="816" w:type="pct"/>
            <w:tcBorders>
              <w:top w:val="single" w:sz="4" w:space="0" w:color="auto"/>
              <w:left w:val="single" w:sz="4" w:space="0" w:color="auto"/>
              <w:bottom w:val="single" w:sz="4" w:space="0" w:color="auto"/>
              <w:right w:val="single" w:sz="4" w:space="0" w:color="auto"/>
            </w:tcBorders>
            <w:hideMark/>
          </w:tcPr>
          <w:p w14:paraId="4B02A7D6" w14:textId="77777777" w:rsidR="009A44F9" w:rsidRPr="004B3056" w:rsidRDefault="009A44F9" w:rsidP="00B72A95">
            <w:pPr>
              <w:spacing w:after="0" w:line="276" w:lineRule="auto"/>
              <w:jc w:val="right"/>
              <w:rPr>
                <w:rFonts w:eastAsia="Times New Roman" w:cs="Arial"/>
                <w:sz w:val="20"/>
                <w:szCs w:val="20"/>
                <w:lang w:val="fr-FR"/>
              </w:rPr>
            </w:pPr>
            <w:r w:rsidRPr="004B3056">
              <w:rPr>
                <w:rFonts w:eastAsia="Times New Roman" w:cs="Arial"/>
                <w:sz w:val="20"/>
                <w:szCs w:val="20"/>
                <w:lang w:val="fr-FR"/>
              </w:rPr>
              <w:t>Ansongo</w:t>
            </w:r>
          </w:p>
          <w:p w14:paraId="3FEDA711" w14:textId="77777777" w:rsidR="009A44F9" w:rsidRPr="004B3056" w:rsidRDefault="009A44F9" w:rsidP="00B72A95">
            <w:pPr>
              <w:spacing w:after="0" w:line="276" w:lineRule="auto"/>
              <w:jc w:val="right"/>
              <w:rPr>
                <w:rFonts w:eastAsia="Times New Roman" w:cs="Arial"/>
                <w:bCs/>
                <w:sz w:val="20"/>
                <w:szCs w:val="20"/>
                <w:lang w:val="fr-FR"/>
              </w:rPr>
            </w:pPr>
            <w:r w:rsidRPr="004B3056">
              <w:rPr>
                <w:rFonts w:eastAsia="Times New Roman" w:cs="Arial"/>
                <w:sz w:val="20"/>
                <w:szCs w:val="20"/>
                <w:lang w:val="fr-FR"/>
              </w:rPr>
              <w:t>Ménaka</w:t>
            </w:r>
          </w:p>
        </w:tc>
        <w:tc>
          <w:tcPr>
            <w:tcW w:w="712" w:type="pct"/>
            <w:tcBorders>
              <w:top w:val="single" w:sz="4" w:space="0" w:color="auto"/>
              <w:left w:val="single" w:sz="4" w:space="0" w:color="auto"/>
              <w:bottom w:val="single" w:sz="4" w:space="0" w:color="auto"/>
              <w:right w:val="single" w:sz="4" w:space="0" w:color="auto"/>
            </w:tcBorders>
            <w:hideMark/>
          </w:tcPr>
          <w:p w14:paraId="1B2F075A" w14:textId="77777777" w:rsidR="009A44F9" w:rsidRPr="004B3056" w:rsidRDefault="009A44F9" w:rsidP="00B72A95">
            <w:pPr>
              <w:spacing w:after="0" w:line="276" w:lineRule="auto"/>
              <w:jc w:val="right"/>
              <w:rPr>
                <w:rFonts w:eastAsia="Times New Roman" w:cs="Arial"/>
                <w:sz w:val="20"/>
                <w:szCs w:val="20"/>
                <w:lang w:val="fr-FR"/>
              </w:rPr>
            </w:pPr>
            <w:r w:rsidRPr="004B3056">
              <w:rPr>
                <w:rFonts w:eastAsia="Times New Roman" w:cs="Arial"/>
                <w:sz w:val="20"/>
                <w:szCs w:val="20"/>
                <w:lang w:val="fr-FR"/>
              </w:rPr>
              <w:t>1.750.000</w:t>
            </w:r>
          </w:p>
        </w:tc>
        <w:tc>
          <w:tcPr>
            <w:tcW w:w="1234" w:type="pct"/>
            <w:tcBorders>
              <w:top w:val="single" w:sz="4" w:space="0" w:color="auto"/>
              <w:left w:val="single" w:sz="4" w:space="0" w:color="auto"/>
              <w:bottom w:val="single" w:sz="4" w:space="0" w:color="auto"/>
              <w:right w:val="single" w:sz="4" w:space="0" w:color="auto"/>
            </w:tcBorders>
            <w:hideMark/>
          </w:tcPr>
          <w:p w14:paraId="7639C8CE" w14:textId="77777777" w:rsidR="009A44F9" w:rsidRPr="004B3056" w:rsidRDefault="009A44F9" w:rsidP="00B72A95">
            <w:pPr>
              <w:spacing w:after="0" w:line="276" w:lineRule="auto"/>
              <w:jc w:val="left"/>
              <w:rPr>
                <w:rFonts w:eastAsia="Times New Roman" w:cs="Arial"/>
                <w:bCs/>
                <w:sz w:val="20"/>
                <w:szCs w:val="20"/>
                <w:lang w:val="fr-FR"/>
              </w:rPr>
            </w:pPr>
            <w:r w:rsidRPr="004B3056">
              <w:rPr>
                <w:rFonts w:eastAsia="Times New Roman" w:cs="Arial"/>
                <w:bCs/>
                <w:sz w:val="20"/>
                <w:szCs w:val="20"/>
                <w:lang w:val="fr-FR"/>
              </w:rPr>
              <w:t>Arrt N° 883/SEF du 17/02/1950</w:t>
            </w:r>
          </w:p>
        </w:tc>
      </w:tr>
      <w:tr w:rsidR="009A44F9" w:rsidRPr="004B3056" w14:paraId="39EA4A94" w14:textId="77777777" w:rsidTr="00B72A95">
        <w:trPr>
          <w:cantSplit/>
          <w:trHeight w:val="90"/>
        </w:trPr>
        <w:tc>
          <w:tcPr>
            <w:tcW w:w="305" w:type="pct"/>
            <w:tcBorders>
              <w:top w:val="single" w:sz="4" w:space="0" w:color="auto"/>
              <w:left w:val="single" w:sz="4" w:space="0" w:color="auto"/>
              <w:bottom w:val="single" w:sz="4" w:space="0" w:color="auto"/>
              <w:right w:val="single" w:sz="4" w:space="0" w:color="auto"/>
            </w:tcBorders>
            <w:hideMark/>
          </w:tcPr>
          <w:p w14:paraId="303B4686" w14:textId="77777777" w:rsidR="009A44F9" w:rsidRPr="004B3056" w:rsidRDefault="009A44F9" w:rsidP="00B72A95">
            <w:pPr>
              <w:spacing w:after="0" w:line="276" w:lineRule="auto"/>
              <w:jc w:val="center"/>
              <w:rPr>
                <w:rFonts w:eastAsia="Times New Roman" w:cs="Arial"/>
                <w:b/>
                <w:sz w:val="20"/>
                <w:szCs w:val="20"/>
                <w:lang w:val="fr-FR"/>
              </w:rPr>
            </w:pPr>
            <w:r w:rsidRPr="004B3056">
              <w:rPr>
                <w:rFonts w:eastAsia="Times New Roman" w:cs="Arial"/>
                <w:b/>
                <w:sz w:val="20"/>
                <w:szCs w:val="20"/>
                <w:lang w:val="fr-FR"/>
              </w:rPr>
              <w:t>2</w:t>
            </w:r>
          </w:p>
        </w:tc>
        <w:tc>
          <w:tcPr>
            <w:tcW w:w="816" w:type="pct"/>
            <w:tcBorders>
              <w:top w:val="single" w:sz="4" w:space="0" w:color="auto"/>
              <w:left w:val="single" w:sz="4" w:space="0" w:color="auto"/>
              <w:bottom w:val="single" w:sz="4" w:space="0" w:color="auto"/>
              <w:right w:val="single" w:sz="4" w:space="0" w:color="auto"/>
            </w:tcBorders>
            <w:hideMark/>
          </w:tcPr>
          <w:p w14:paraId="6D0D485C" w14:textId="77777777" w:rsidR="009A44F9" w:rsidRPr="004B3056" w:rsidRDefault="009A44F9" w:rsidP="00B72A95">
            <w:pPr>
              <w:spacing w:after="0" w:line="276" w:lineRule="auto"/>
              <w:rPr>
                <w:rFonts w:eastAsia="Times New Roman" w:cs="Arial"/>
                <w:bCs/>
                <w:sz w:val="20"/>
                <w:szCs w:val="20"/>
                <w:lang w:val="fr-FR"/>
              </w:rPr>
            </w:pPr>
            <w:r w:rsidRPr="004B3056">
              <w:rPr>
                <w:rFonts w:eastAsia="Times New Roman" w:cs="Arial"/>
                <w:bCs/>
                <w:sz w:val="20"/>
                <w:szCs w:val="20"/>
                <w:lang w:val="fr-FR"/>
              </w:rPr>
              <w:t>Tidermène  - Alata</w:t>
            </w:r>
          </w:p>
        </w:tc>
        <w:tc>
          <w:tcPr>
            <w:tcW w:w="1117" w:type="pct"/>
            <w:tcBorders>
              <w:top w:val="single" w:sz="4" w:space="0" w:color="auto"/>
              <w:left w:val="single" w:sz="4" w:space="0" w:color="auto"/>
              <w:bottom w:val="single" w:sz="4" w:space="0" w:color="auto"/>
              <w:right w:val="single" w:sz="4" w:space="0" w:color="auto"/>
            </w:tcBorders>
            <w:hideMark/>
          </w:tcPr>
          <w:p w14:paraId="319DEEC7" w14:textId="77777777" w:rsidR="009A44F9" w:rsidRPr="004B3056" w:rsidRDefault="009A44F9" w:rsidP="00B72A95">
            <w:pPr>
              <w:spacing w:after="0" w:line="276" w:lineRule="auto"/>
              <w:jc w:val="center"/>
              <w:rPr>
                <w:rFonts w:eastAsia="Times New Roman" w:cs="Arial"/>
                <w:sz w:val="20"/>
                <w:szCs w:val="20"/>
                <w:lang w:val="fr-FR"/>
              </w:rPr>
            </w:pPr>
            <w:r w:rsidRPr="004B3056">
              <w:rPr>
                <w:rFonts w:eastAsia="Times New Roman" w:cs="Arial"/>
                <w:sz w:val="20"/>
                <w:szCs w:val="20"/>
                <w:lang w:val="fr-FR"/>
              </w:rPr>
              <w:t>Zone d’intérêt Cynégétique</w:t>
            </w:r>
          </w:p>
        </w:tc>
        <w:tc>
          <w:tcPr>
            <w:tcW w:w="816" w:type="pct"/>
            <w:tcBorders>
              <w:top w:val="single" w:sz="4" w:space="0" w:color="auto"/>
              <w:left w:val="single" w:sz="4" w:space="0" w:color="auto"/>
              <w:bottom w:val="single" w:sz="4" w:space="0" w:color="auto"/>
              <w:right w:val="single" w:sz="4" w:space="0" w:color="auto"/>
            </w:tcBorders>
            <w:hideMark/>
          </w:tcPr>
          <w:p w14:paraId="12DE1DCA" w14:textId="77777777" w:rsidR="009A44F9" w:rsidRPr="004B3056" w:rsidRDefault="009A44F9" w:rsidP="00B72A95">
            <w:pPr>
              <w:spacing w:after="0" w:line="276" w:lineRule="auto"/>
              <w:jc w:val="right"/>
              <w:rPr>
                <w:rFonts w:eastAsia="Times New Roman" w:cs="Arial"/>
                <w:bCs/>
                <w:sz w:val="20"/>
                <w:szCs w:val="20"/>
                <w:lang w:val="fr-FR"/>
              </w:rPr>
            </w:pPr>
            <w:r w:rsidRPr="004B3056">
              <w:rPr>
                <w:rFonts w:eastAsia="Times New Roman" w:cs="Arial"/>
                <w:bCs/>
                <w:sz w:val="20"/>
                <w:szCs w:val="20"/>
                <w:lang w:val="fr-FR"/>
              </w:rPr>
              <w:t xml:space="preserve">Ménaka </w:t>
            </w:r>
          </w:p>
        </w:tc>
        <w:tc>
          <w:tcPr>
            <w:tcW w:w="712" w:type="pct"/>
            <w:tcBorders>
              <w:top w:val="single" w:sz="4" w:space="0" w:color="auto"/>
              <w:left w:val="single" w:sz="4" w:space="0" w:color="auto"/>
              <w:bottom w:val="single" w:sz="4" w:space="0" w:color="auto"/>
              <w:right w:val="single" w:sz="4" w:space="0" w:color="auto"/>
            </w:tcBorders>
            <w:hideMark/>
          </w:tcPr>
          <w:p w14:paraId="6E298B86" w14:textId="77777777" w:rsidR="009A44F9" w:rsidRPr="004B3056" w:rsidRDefault="009A44F9" w:rsidP="00B72A95">
            <w:pPr>
              <w:spacing w:after="0" w:line="276" w:lineRule="auto"/>
              <w:jc w:val="right"/>
              <w:rPr>
                <w:rFonts w:eastAsia="Times New Roman" w:cs="Arial"/>
                <w:bCs/>
                <w:sz w:val="20"/>
                <w:szCs w:val="20"/>
                <w:lang w:val="fr-FR"/>
              </w:rPr>
            </w:pPr>
            <w:r w:rsidRPr="004B3056">
              <w:rPr>
                <w:rFonts w:eastAsia="Times New Roman" w:cs="Arial"/>
                <w:bCs/>
                <w:sz w:val="20"/>
                <w:szCs w:val="20"/>
                <w:lang w:val="fr-FR"/>
              </w:rPr>
              <w:t>312.400</w:t>
            </w:r>
          </w:p>
        </w:tc>
        <w:tc>
          <w:tcPr>
            <w:tcW w:w="1234" w:type="pct"/>
            <w:tcBorders>
              <w:top w:val="single" w:sz="4" w:space="0" w:color="auto"/>
              <w:left w:val="single" w:sz="4" w:space="0" w:color="auto"/>
              <w:bottom w:val="single" w:sz="4" w:space="0" w:color="auto"/>
              <w:right w:val="single" w:sz="4" w:space="0" w:color="auto"/>
            </w:tcBorders>
            <w:hideMark/>
          </w:tcPr>
          <w:p w14:paraId="4ADA75E9" w14:textId="77777777" w:rsidR="009A44F9" w:rsidRPr="004B3056" w:rsidRDefault="009A44F9" w:rsidP="00B72A95">
            <w:pPr>
              <w:spacing w:after="0" w:line="276" w:lineRule="auto"/>
              <w:jc w:val="left"/>
              <w:rPr>
                <w:rFonts w:eastAsia="Times New Roman" w:cs="Arial"/>
                <w:bCs/>
                <w:sz w:val="20"/>
                <w:szCs w:val="20"/>
                <w:lang w:val="fr-ML"/>
              </w:rPr>
            </w:pPr>
            <w:r w:rsidRPr="004B3056">
              <w:rPr>
                <w:rFonts w:eastAsia="Times New Roman" w:cs="Arial"/>
                <w:bCs/>
                <w:sz w:val="20"/>
                <w:szCs w:val="20"/>
                <w:lang w:val="fr-ML"/>
              </w:rPr>
              <w:t>Arrt N°04 -1958/ MEA- SG du 04/10/2004</w:t>
            </w:r>
          </w:p>
        </w:tc>
      </w:tr>
      <w:tr w:rsidR="009A44F9" w:rsidRPr="004B3056" w14:paraId="7666CA96" w14:textId="77777777" w:rsidTr="00B72A95">
        <w:trPr>
          <w:cantSplit/>
          <w:trHeight w:val="90"/>
        </w:trPr>
        <w:tc>
          <w:tcPr>
            <w:tcW w:w="305" w:type="pct"/>
            <w:tcBorders>
              <w:top w:val="single" w:sz="4" w:space="0" w:color="auto"/>
              <w:left w:val="single" w:sz="4" w:space="0" w:color="auto"/>
              <w:bottom w:val="single" w:sz="4" w:space="0" w:color="auto"/>
              <w:right w:val="single" w:sz="4" w:space="0" w:color="auto"/>
            </w:tcBorders>
            <w:hideMark/>
          </w:tcPr>
          <w:p w14:paraId="6C3BEEEC" w14:textId="77777777" w:rsidR="009A44F9" w:rsidRPr="004B3056" w:rsidRDefault="009A44F9" w:rsidP="00B72A95">
            <w:pPr>
              <w:spacing w:after="0" w:line="276" w:lineRule="auto"/>
              <w:jc w:val="center"/>
              <w:rPr>
                <w:rFonts w:eastAsia="Times New Roman" w:cs="Arial"/>
                <w:b/>
                <w:sz w:val="20"/>
                <w:szCs w:val="20"/>
                <w:lang w:val="fr-FR"/>
              </w:rPr>
            </w:pPr>
            <w:r w:rsidRPr="004B3056">
              <w:rPr>
                <w:rFonts w:eastAsia="Times New Roman" w:cs="Arial"/>
                <w:b/>
                <w:sz w:val="20"/>
                <w:szCs w:val="20"/>
                <w:lang w:val="fr-FR"/>
              </w:rPr>
              <w:t>3</w:t>
            </w:r>
          </w:p>
        </w:tc>
        <w:tc>
          <w:tcPr>
            <w:tcW w:w="816" w:type="pct"/>
            <w:tcBorders>
              <w:top w:val="single" w:sz="4" w:space="0" w:color="auto"/>
              <w:left w:val="single" w:sz="4" w:space="0" w:color="auto"/>
              <w:bottom w:val="single" w:sz="4" w:space="0" w:color="auto"/>
              <w:right w:val="single" w:sz="4" w:space="0" w:color="auto"/>
            </w:tcBorders>
            <w:hideMark/>
          </w:tcPr>
          <w:p w14:paraId="5249C7CC" w14:textId="77777777" w:rsidR="009A44F9" w:rsidRPr="004B3056" w:rsidRDefault="009A44F9" w:rsidP="00B72A95">
            <w:pPr>
              <w:spacing w:after="0" w:line="276" w:lineRule="auto"/>
              <w:rPr>
                <w:rFonts w:eastAsia="Times New Roman" w:cs="Arial"/>
                <w:bCs/>
                <w:sz w:val="20"/>
                <w:szCs w:val="20"/>
                <w:lang w:val="fr-FR"/>
              </w:rPr>
            </w:pPr>
            <w:r w:rsidRPr="004B3056">
              <w:rPr>
                <w:rFonts w:eastAsia="Times New Roman" w:cs="Arial"/>
                <w:bCs/>
                <w:sz w:val="20"/>
                <w:szCs w:val="20"/>
                <w:lang w:val="fr-FR"/>
              </w:rPr>
              <w:t>Inékar</w:t>
            </w:r>
          </w:p>
        </w:tc>
        <w:tc>
          <w:tcPr>
            <w:tcW w:w="1117" w:type="pct"/>
            <w:tcBorders>
              <w:top w:val="single" w:sz="4" w:space="0" w:color="auto"/>
              <w:left w:val="single" w:sz="4" w:space="0" w:color="auto"/>
              <w:bottom w:val="single" w:sz="4" w:space="0" w:color="auto"/>
              <w:right w:val="single" w:sz="4" w:space="0" w:color="auto"/>
            </w:tcBorders>
            <w:hideMark/>
          </w:tcPr>
          <w:p w14:paraId="7382C4E2" w14:textId="77777777" w:rsidR="009A44F9" w:rsidRPr="004B3056" w:rsidRDefault="009A44F9" w:rsidP="00B72A95">
            <w:pPr>
              <w:spacing w:after="0" w:line="276" w:lineRule="auto"/>
              <w:jc w:val="center"/>
              <w:rPr>
                <w:rFonts w:eastAsia="Times New Roman" w:cs="Arial"/>
                <w:sz w:val="20"/>
                <w:szCs w:val="20"/>
                <w:lang w:val="fr-FR"/>
              </w:rPr>
            </w:pPr>
            <w:r w:rsidRPr="004B3056">
              <w:rPr>
                <w:rFonts w:eastAsia="Times New Roman" w:cs="Arial"/>
                <w:sz w:val="20"/>
                <w:szCs w:val="20"/>
                <w:lang w:val="fr-FR"/>
              </w:rPr>
              <w:t>Zone d’intérêt Cynégétique</w:t>
            </w:r>
          </w:p>
        </w:tc>
        <w:tc>
          <w:tcPr>
            <w:tcW w:w="816" w:type="pct"/>
            <w:tcBorders>
              <w:top w:val="single" w:sz="4" w:space="0" w:color="auto"/>
              <w:left w:val="single" w:sz="4" w:space="0" w:color="auto"/>
              <w:bottom w:val="single" w:sz="4" w:space="0" w:color="auto"/>
              <w:right w:val="single" w:sz="4" w:space="0" w:color="auto"/>
            </w:tcBorders>
            <w:hideMark/>
          </w:tcPr>
          <w:p w14:paraId="7AC801E4" w14:textId="77777777" w:rsidR="009A44F9" w:rsidRPr="004B3056" w:rsidRDefault="009A44F9" w:rsidP="00B72A95">
            <w:pPr>
              <w:spacing w:after="0" w:line="276" w:lineRule="auto"/>
              <w:jc w:val="right"/>
              <w:rPr>
                <w:rFonts w:eastAsia="Times New Roman" w:cs="Arial"/>
                <w:bCs/>
                <w:sz w:val="20"/>
                <w:szCs w:val="20"/>
                <w:lang w:val="fr-FR"/>
              </w:rPr>
            </w:pPr>
            <w:r w:rsidRPr="004B3056">
              <w:rPr>
                <w:rFonts w:eastAsia="Times New Roman" w:cs="Arial"/>
                <w:bCs/>
                <w:sz w:val="20"/>
                <w:szCs w:val="20"/>
                <w:lang w:val="fr-FR"/>
              </w:rPr>
              <w:t>Ménaka</w:t>
            </w:r>
          </w:p>
        </w:tc>
        <w:tc>
          <w:tcPr>
            <w:tcW w:w="712" w:type="pct"/>
            <w:tcBorders>
              <w:top w:val="single" w:sz="4" w:space="0" w:color="auto"/>
              <w:left w:val="single" w:sz="4" w:space="0" w:color="auto"/>
              <w:bottom w:val="single" w:sz="4" w:space="0" w:color="auto"/>
              <w:right w:val="single" w:sz="4" w:space="0" w:color="auto"/>
            </w:tcBorders>
            <w:hideMark/>
          </w:tcPr>
          <w:p w14:paraId="65FD8854" w14:textId="77777777" w:rsidR="009A44F9" w:rsidRPr="004B3056" w:rsidRDefault="009A44F9" w:rsidP="00B72A95">
            <w:pPr>
              <w:spacing w:after="0" w:line="276" w:lineRule="auto"/>
              <w:jc w:val="right"/>
              <w:rPr>
                <w:rFonts w:eastAsia="Times New Roman" w:cs="Arial"/>
                <w:bCs/>
                <w:sz w:val="20"/>
                <w:szCs w:val="20"/>
                <w:lang w:val="fr-FR"/>
              </w:rPr>
            </w:pPr>
            <w:r w:rsidRPr="004B3056">
              <w:rPr>
                <w:rFonts w:eastAsia="Times New Roman" w:cs="Arial"/>
                <w:bCs/>
                <w:sz w:val="20"/>
                <w:szCs w:val="20"/>
                <w:lang w:val="fr-FR"/>
              </w:rPr>
              <w:t>180.625</w:t>
            </w:r>
          </w:p>
        </w:tc>
        <w:tc>
          <w:tcPr>
            <w:tcW w:w="1234" w:type="pct"/>
            <w:tcBorders>
              <w:top w:val="single" w:sz="4" w:space="0" w:color="auto"/>
              <w:left w:val="single" w:sz="4" w:space="0" w:color="auto"/>
              <w:bottom w:val="single" w:sz="4" w:space="0" w:color="auto"/>
              <w:right w:val="single" w:sz="4" w:space="0" w:color="auto"/>
            </w:tcBorders>
            <w:hideMark/>
          </w:tcPr>
          <w:p w14:paraId="4A63EC23" w14:textId="77777777" w:rsidR="009A44F9" w:rsidRPr="004B3056" w:rsidRDefault="009A44F9" w:rsidP="00B72A95">
            <w:pPr>
              <w:spacing w:after="0" w:line="276" w:lineRule="auto"/>
              <w:jc w:val="left"/>
              <w:rPr>
                <w:rFonts w:eastAsia="Times New Roman" w:cs="Arial"/>
                <w:bCs/>
                <w:sz w:val="20"/>
                <w:szCs w:val="20"/>
                <w:lang w:val="fr-ML"/>
              </w:rPr>
            </w:pPr>
            <w:r w:rsidRPr="004B3056">
              <w:rPr>
                <w:rFonts w:eastAsia="Times New Roman" w:cs="Arial"/>
                <w:bCs/>
                <w:sz w:val="20"/>
                <w:szCs w:val="20"/>
                <w:lang w:val="fr-ML"/>
              </w:rPr>
              <w:t>Arrt N°04 -1959/ MEA- SG du 04/10/2004</w:t>
            </w:r>
          </w:p>
        </w:tc>
      </w:tr>
      <w:tr w:rsidR="009A44F9" w:rsidRPr="004B3056" w14:paraId="1A38DB44" w14:textId="77777777" w:rsidTr="00B72A95">
        <w:trPr>
          <w:cantSplit/>
          <w:trHeight w:val="90"/>
        </w:trPr>
        <w:tc>
          <w:tcPr>
            <w:tcW w:w="305" w:type="pct"/>
            <w:tcBorders>
              <w:top w:val="single" w:sz="4" w:space="0" w:color="auto"/>
              <w:left w:val="single" w:sz="4" w:space="0" w:color="auto"/>
              <w:bottom w:val="single" w:sz="4" w:space="0" w:color="auto"/>
              <w:right w:val="single" w:sz="4" w:space="0" w:color="auto"/>
            </w:tcBorders>
            <w:hideMark/>
          </w:tcPr>
          <w:p w14:paraId="6076CE75" w14:textId="77777777" w:rsidR="009A44F9" w:rsidRPr="004B3056" w:rsidRDefault="009A44F9" w:rsidP="00B72A95">
            <w:pPr>
              <w:spacing w:after="0" w:line="276" w:lineRule="auto"/>
              <w:jc w:val="center"/>
              <w:rPr>
                <w:rFonts w:eastAsia="Times New Roman" w:cs="Arial"/>
                <w:b/>
                <w:sz w:val="20"/>
                <w:szCs w:val="20"/>
                <w:lang w:val="fr-FR"/>
              </w:rPr>
            </w:pPr>
            <w:r w:rsidRPr="004B3056">
              <w:rPr>
                <w:rFonts w:eastAsia="Times New Roman" w:cs="Arial"/>
                <w:b/>
                <w:sz w:val="20"/>
                <w:szCs w:val="20"/>
                <w:lang w:val="fr-FR"/>
              </w:rPr>
              <w:t>4</w:t>
            </w:r>
          </w:p>
        </w:tc>
        <w:tc>
          <w:tcPr>
            <w:tcW w:w="816" w:type="pct"/>
            <w:tcBorders>
              <w:top w:val="single" w:sz="4" w:space="0" w:color="auto"/>
              <w:left w:val="single" w:sz="4" w:space="0" w:color="auto"/>
              <w:bottom w:val="single" w:sz="4" w:space="0" w:color="auto"/>
              <w:right w:val="single" w:sz="4" w:space="0" w:color="auto"/>
            </w:tcBorders>
            <w:hideMark/>
          </w:tcPr>
          <w:p w14:paraId="48DB42FC" w14:textId="77777777" w:rsidR="009A44F9" w:rsidRPr="004B3056" w:rsidRDefault="009A44F9" w:rsidP="00B72A95">
            <w:pPr>
              <w:spacing w:after="0" w:line="276" w:lineRule="auto"/>
              <w:rPr>
                <w:rFonts w:eastAsia="Times New Roman" w:cs="Arial"/>
                <w:bCs/>
                <w:sz w:val="20"/>
                <w:szCs w:val="20"/>
                <w:lang w:val="fr-FR"/>
              </w:rPr>
            </w:pPr>
            <w:r w:rsidRPr="004B3056">
              <w:rPr>
                <w:rFonts w:eastAsia="Times New Roman" w:cs="Arial"/>
                <w:bCs/>
                <w:sz w:val="20"/>
                <w:szCs w:val="20"/>
                <w:lang w:val="fr-FR"/>
              </w:rPr>
              <w:t>Tin Achchara</w:t>
            </w:r>
          </w:p>
        </w:tc>
        <w:tc>
          <w:tcPr>
            <w:tcW w:w="1117" w:type="pct"/>
            <w:tcBorders>
              <w:top w:val="single" w:sz="4" w:space="0" w:color="auto"/>
              <w:left w:val="single" w:sz="4" w:space="0" w:color="auto"/>
              <w:bottom w:val="single" w:sz="4" w:space="0" w:color="auto"/>
              <w:right w:val="single" w:sz="4" w:space="0" w:color="auto"/>
            </w:tcBorders>
            <w:hideMark/>
          </w:tcPr>
          <w:p w14:paraId="1EA58747" w14:textId="77777777" w:rsidR="009A44F9" w:rsidRPr="004B3056" w:rsidRDefault="009A44F9" w:rsidP="00B72A95">
            <w:pPr>
              <w:spacing w:after="0" w:line="276" w:lineRule="auto"/>
              <w:jc w:val="center"/>
              <w:rPr>
                <w:rFonts w:eastAsia="Times New Roman" w:cs="Arial"/>
                <w:sz w:val="20"/>
                <w:szCs w:val="20"/>
                <w:lang w:val="fr-FR"/>
              </w:rPr>
            </w:pPr>
            <w:r w:rsidRPr="004B3056">
              <w:rPr>
                <w:rFonts w:eastAsia="Times New Roman" w:cs="Arial"/>
                <w:sz w:val="20"/>
                <w:szCs w:val="20"/>
                <w:lang w:val="fr-FR"/>
              </w:rPr>
              <w:t>Zone d’intérêt Cynégétique</w:t>
            </w:r>
          </w:p>
        </w:tc>
        <w:tc>
          <w:tcPr>
            <w:tcW w:w="816" w:type="pct"/>
            <w:tcBorders>
              <w:top w:val="single" w:sz="4" w:space="0" w:color="auto"/>
              <w:left w:val="single" w:sz="4" w:space="0" w:color="auto"/>
              <w:bottom w:val="single" w:sz="4" w:space="0" w:color="auto"/>
              <w:right w:val="single" w:sz="4" w:space="0" w:color="auto"/>
            </w:tcBorders>
            <w:hideMark/>
          </w:tcPr>
          <w:p w14:paraId="4F437E71" w14:textId="77777777" w:rsidR="009A44F9" w:rsidRPr="004B3056" w:rsidRDefault="009A44F9" w:rsidP="00B72A95">
            <w:pPr>
              <w:spacing w:after="0" w:line="276" w:lineRule="auto"/>
              <w:jc w:val="right"/>
              <w:rPr>
                <w:rFonts w:eastAsia="Times New Roman" w:cs="Arial"/>
                <w:bCs/>
                <w:sz w:val="20"/>
                <w:szCs w:val="20"/>
                <w:lang w:val="fr-FR"/>
              </w:rPr>
            </w:pPr>
            <w:r w:rsidRPr="004B3056">
              <w:rPr>
                <w:rFonts w:eastAsia="Times New Roman" w:cs="Arial"/>
                <w:bCs/>
                <w:sz w:val="20"/>
                <w:szCs w:val="20"/>
                <w:lang w:val="fr-FR"/>
              </w:rPr>
              <w:t>Ménaka</w:t>
            </w:r>
          </w:p>
        </w:tc>
        <w:tc>
          <w:tcPr>
            <w:tcW w:w="712" w:type="pct"/>
            <w:tcBorders>
              <w:top w:val="single" w:sz="4" w:space="0" w:color="auto"/>
              <w:left w:val="single" w:sz="4" w:space="0" w:color="auto"/>
              <w:bottom w:val="single" w:sz="4" w:space="0" w:color="auto"/>
              <w:right w:val="single" w:sz="4" w:space="0" w:color="auto"/>
            </w:tcBorders>
            <w:hideMark/>
          </w:tcPr>
          <w:p w14:paraId="6B56921C" w14:textId="77777777" w:rsidR="009A44F9" w:rsidRPr="004B3056" w:rsidRDefault="009A44F9" w:rsidP="00B72A95">
            <w:pPr>
              <w:spacing w:after="0" w:line="276" w:lineRule="auto"/>
              <w:jc w:val="right"/>
              <w:rPr>
                <w:rFonts w:eastAsia="Times New Roman" w:cs="Arial"/>
                <w:bCs/>
                <w:sz w:val="20"/>
                <w:szCs w:val="20"/>
                <w:lang w:val="fr-FR"/>
              </w:rPr>
            </w:pPr>
            <w:r w:rsidRPr="004B3056">
              <w:rPr>
                <w:rFonts w:eastAsia="Times New Roman" w:cs="Arial"/>
                <w:bCs/>
                <w:sz w:val="20"/>
                <w:szCs w:val="20"/>
                <w:lang w:val="fr-FR"/>
              </w:rPr>
              <w:t>286.000</w:t>
            </w:r>
          </w:p>
        </w:tc>
        <w:tc>
          <w:tcPr>
            <w:tcW w:w="1234" w:type="pct"/>
            <w:tcBorders>
              <w:top w:val="single" w:sz="4" w:space="0" w:color="auto"/>
              <w:left w:val="single" w:sz="4" w:space="0" w:color="auto"/>
              <w:bottom w:val="single" w:sz="4" w:space="0" w:color="auto"/>
              <w:right w:val="single" w:sz="4" w:space="0" w:color="auto"/>
            </w:tcBorders>
            <w:hideMark/>
          </w:tcPr>
          <w:p w14:paraId="73302CF0" w14:textId="77777777" w:rsidR="009A44F9" w:rsidRPr="004B3056" w:rsidRDefault="009A44F9" w:rsidP="00B72A95">
            <w:pPr>
              <w:spacing w:after="0" w:line="276" w:lineRule="auto"/>
              <w:jc w:val="left"/>
              <w:rPr>
                <w:rFonts w:eastAsia="Times New Roman" w:cs="Arial"/>
                <w:bCs/>
                <w:sz w:val="20"/>
                <w:szCs w:val="20"/>
                <w:lang w:val="fr-ML"/>
              </w:rPr>
            </w:pPr>
            <w:r w:rsidRPr="004B3056">
              <w:rPr>
                <w:rFonts w:eastAsia="Times New Roman" w:cs="Arial"/>
                <w:bCs/>
                <w:sz w:val="20"/>
                <w:szCs w:val="20"/>
                <w:lang w:val="fr-ML"/>
              </w:rPr>
              <w:t>Arrt N°07 -3187/ MEA- SG du 07/12/2007</w:t>
            </w:r>
          </w:p>
        </w:tc>
      </w:tr>
      <w:tr w:rsidR="009A44F9" w:rsidRPr="004B3056" w14:paraId="1C6A5DED" w14:textId="77777777" w:rsidTr="00B72A95">
        <w:trPr>
          <w:cantSplit/>
          <w:trHeight w:val="90"/>
        </w:trPr>
        <w:tc>
          <w:tcPr>
            <w:tcW w:w="1121" w:type="pct"/>
            <w:gridSpan w:val="2"/>
            <w:tcBorders>
              <w:top w:val="single" w:sz="4" w:space="0" w:color="auto"/>
              <w:left w:val="single" w:sz="4" w:space="0" w:color="auto"/>
              <w:bottom w:val="single" w:sz="4" w:space="0" w:color="auto"/>
              <w:right w:val="single" w:sz="4" w:space="0" w:color="auto"/>
            </w:tcBorders>
            <w:shd w:val="clear" w:color="auto" w:fill="FBD4B4"/>
          </w:tcPr>
          <w:p w14:paraId="12407EB9" w14:textId="77777777" w:rsidR="009A44F9" w:rsidRPr="004B3056" w:rsidRDefault="009A44F9" w:rsidP="00B72A95">
            <w:pPr>
              <w:spacing w:after="0" w:line="276" w:lineRule="auto"/>
              <w:jc w:val="center"/>
              <w:rPr>
                <w:rFonts w:eastAsia="Times New Roman" w:cs="Arial"/>
                <w:b/>
                <w:bCs/>
                <w:caps/>
                <w:sz w:val="20"/>
                <w:szCs w:val="20"/>
                <w:lang w:val="fr-FR"/>
              </w:rPr>
            </w:pPr>
            <w:r w:rsidRPr="004B3056">
              <w:rPr>
                <w:rFonts w:eastAsia="Times New Roman" w:cs="Arial"/>
                <w:b/>
                <w:caps/>
                <w:sz w:val="20"/>
                <w:szCs w:val="20"/>
                <w:lang w:val="fr-FR"/>
              </w:rPr>
              <w:t>Total</w:t>
            </w:r>
          </w:p>
        </w:tc>
        <w:tc>
          <w:tcPr>
            <w:tcW w:w="1117" w:type="pct"/>
            <w:tcBorders>
              <w:top w:val="single" w:sz="4" w:space="0" w:color="auto"/>
              <w:left w:val="single" w:sz="4" w:space="0" w:color="auto"/>
              <w:bottom w:val="single" w:sz="4" w:space="0" w:color="auto"/>
              <w:right w:val="single" w:sz="4" w:space="0" w:color="auto"/>
            </w:tcBorders>
            <w:shd w:val="clear" w:color="auto" w:fill="FBD4B4"/>
          </w:tcPr>
          <w:p w14:paraId="4F4A2977" w14:textId="77777777" w:rsidR="009A44F9" w:rsidRPr="004B3056" w:rsidRDefault="009A44F9" w:rsidP="00B72A95">
            <w:pPr>
              <w:spacing w:after="0" w:line="276" w:lineRule="auto"/>
              <w:rPr>
                <w:rFonts w:eastAsia="Times New Roman" w:cs="Arial"/>
                <w:sz w:val="20"/>
                <w:szCs w:val="20"/>
                <w:lang w:val="fr-FR"/>
              </w:rPr>
            </w:pPr>
          </w:p>
        </w:tc>
        <w:tc>
          <w:tcPr>
            <w:tcW w:w="816" w:type="pct"/>
            <w:tcBorders>
              <w:top w:val="single" w:sz="4" w:space="0" w:color="auto"/>
              <w:left w:val="single" w:sz="4" w:space="0" w:color="auto"/>
              <w:bottom w:val="single" w:sz="4" w:space="0" w:color="auto"/>
              <w:right w:val="single" w:sz="4" w:space="0" w:color="auto"/>
            </w:tcBorders>
            <w:shd w:val="clear" w:color="auto" w:fill="FBD4B4"/>
            <w:hideMark/>
          </w:tcPr>
          <w:p w14:paraId="6B25A527" w14:textId="77777777" w:rsidR="009A44F9" w:rsidRPr="004B3056" w:rsidRDefault="009A44F9" w:rsidP="00B72A95">
            <w:pPr>
              <w:keepNext/>
              <w:keepLines/>
              <w:spacing w:after="0" w:line="360" w:lineRule="auto"/>
              <w:jc w:val="left"/>
              <w:outlineLvl w:val="3"/>
              <w:rPr>
                <w:rFonts w:ascii="Times New Roman" w:eastAsia="Calibri" w:hAnsi="Times New Roman" w:cs="Times New Roman"/>
                <w:b/>
                <w:i/>
                <w:iCs/>
                <w:sz w:val="20"/>
                <w:szCs w:val="20"/>
                <w:lang w:val="fr-FR"/>
              </w:rPr>
            </w:pPr>
          </w:p>
        </w:tc>
        <w:tc>
          <w:tcPr>
            <w:tcW w:w="712" w:type="pct"/>
            <w:tcBorders>
              <w:top w:val="single" w:sz="4" w:space="0" w:color="auto"/>
              <w:left w:val="single" w:sz="4" w:space="0" w:color="auto"/>
              <w:bottom w:val="single" w:sz="4" w:space="0" w:color="auto"/>
              <w:right w:val="single" w:sz="4" w:space="0" w:color="auto"/>
            </w:tcBorders>
            <w:shd w:val="clear" w:color="auto" w:fill="FBD4B4"/>
            <w:hideMark/>
          </w:tcPr>
          <w:p w14:paraId="1E3DAABA" w14:textId="77777777" w:rsidR="009A44F9" w:rsidRPr="004B3056" w:rsidRDefault="009A44F9" w:rsidP="00B72A95">
            <w:pPr>
              <w:spacing w:after="0" w:line="276" w:lineRule="auto"/>
              <w:jc w:val="right"/>
              <w:rPr>
                <w:rFonts w:eastAsia="Times New Roman" w:cs="Arial"/>
                <w:b/>
                <w:sz w:val="20"/>
                <w:szCs w:val="20"/>
                <w:lang w:val="fr-FR"/>
              </w:rPr>
            </w:pPr>
            <w:r w:rsidRPr="004B3056">
              <w:rPr>
                <w:rFonts w:eastAsia="Times New Roman" w:cs="Arial"/>
                <w:b/>
                <w:sz w:val="20"/>
                <w:szCs w:val="20"/>
                <w:lang w:val="fr-FR"/>
              </w:rPr>
              <w:t>2 529 025</w:t>
            </w:r>
          </w:p>
        </w:tc>
        <w:tc>
          <w:tcPr>
            <w:tcW w:w="1234" w:type="pct"/>
            <w:tcBorders>
              <w:top w:val="single" w:sz="4" w:space="0" w:color="auto"/>
              <w:left w:val="single" w:sz="4" w:space="0" w:color="auto"/>
              <w:bottom w:val="single" w:sz="4" w:space="0" w:color="auto"/>
              <w:right w:val="single" w:sz="4" w:space="0" w:color="auto"/>
            </w:tcBorders>
            <w:shd w:val="clear" w:color="auto" w:fill="FBD4B4"/>
          </w:tcPr>
          <w:p w14:paraId="3ECB683A" w14:textId="77777777" w:rsidR="009A44F9" w:rsidRPr="004B3056" w:rsidRDefault="009A44F9" w:rsidP="00B72A95">
            <w:pPr>
              <w:spacing w:after="0" w:line="276" w:lineRule="auto"/>
              <w:jc w:val="center"/>
              <w:rPr>
                <w:rFonts w:eastAsia="Times New Roman" w:cs="Arial"/>
                <w:bCs/>
                <w:sz w:val="20"/>
                <w:szCs w:val="20"/>
                <w:lang w:val="fr-FR"/>
              </w:rPr>
            </w:pPr>
          </w:p>
        </w:tc>
      </w:tr>
    </w:tbl>
    <w:p w14:paraId="37A2134E" w14:textId="77777777" w:rsidR="009A44F9" w:rsidRPr="004B3056" w:rsidRDefault="009A44F9" w:rsidP="009A44F9">
      <w:pPr>
        <w:spacing w:after="0" w:line="240" w:lineRule="auto"/>
        <w:jc w:val="center"/>
        <w:rPr>
          <w:rFonts w:eastAsia="Times New Roman" w:cs="Arial"/>
          <w:b/>
          <w:sz w:val="20"/>
          <w:szCs w:val="20"/>
          <w:u w:val="single"/>
          <w:lang w:val="fr-FR" w:eastAsia="fr-FR"/>
        </w:rPr>
      </w:pPr>
    </w:p>
    <w:p w14:paraId="5FCB78BE" w14:textId="77777777" w:rsidR="009A44F9" w:rsidRPr="004B3056" w:rsidRDefault="009A44F9" w:rsidP="009A44F9">
      <w:pPr>
        <w:spacing w:after="0" w:line="240" w:lineRule="auto"/>
        <w:jc w:val="center"/>
        <w:rPr>
          <w:rFonts w:eastAsia="Times New Roman" w:cs="Arial"/>
          <w:b/>
          <w:sz w:val="20"/>
          <w:szCs w:val="20"/>
          <w:lang w:val="fr-FR" w:eastAsia="fr-FR"/>
        </w:rPr>
      </w:pPr>
      <w:r w:rsidRPr="004B3056">
        <w:rPr>
          <w:rFonts w:eastAsia="Times New Roman" w:cs="Arial"/>
          <w:b/>
          <w:sz w:val="20"/>
          <w:szCs w:val="20"/>
          <w:lang w:val="fr-FR" w:eastAsia="fr-FR"/>
        </w:rPr>
        <w:t>DISTRICT DE BAMAKO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6"/>
        <w:gridCol w:w="1873"/>
        <w:gridCol w:w="2500"/>
        <w:gridCol w:w="1559"/>
        <w:gridCol w:w="1466"/>
        <w:gridCol w:w="2113"/>
      </w:tblGrid>
      <w:tr w:rsidR="009A44F9" w:rsidRPr="004B3056" w14:paraId="187C8AEB" w14:textId="77777777" w:rsidTr="00B72A95">
        <w:trPr>
          <w:cantSplit/>
          <w:trHeight w:val="638"/>
        </w:trPr>
        <w:tc>
          <w:tcPr>
            <w:tcW w:w="309" w:type="pct"/>
            <w:tcBorders>
              <w:top w:val="single" w:sz="4" w:space="0" w:color="auto"/>
              <w:left w:val="single" w:sz="4" w:space="0" w:color="auto"/>
              <w:bottom w:val="single" w:sz="4" w:space="0" w:color="auto"/>
              <w:right w:val="single" w:sz="4" w:space="0" w:color="auto"/>
            </w:tcBorders>
            <w:shd w:val="clear" w:color="auto" w:fill="DDD9C3"/>
            <w:hideMark/>
          </w:tcPr>
          <w:p w14:paraId="1BE3EFF6" w14:textId="77777777" w:rsidR="009A44F9" w:rsidRPr="004B3056" w:rsidRDefault="009A44F9" w:rsidP="00B72A95">
            <w:pPr>
              <w:spacing w:after="0" w:line="276" w:lineRule="auto"/>
              <w:jc w:val="center"/>
              <w:rPr>
                <w:rFonts w:eastAsia="Times New Roman" w:cs="Arial"/>
                <w:b/>
                <w:sz w:val="20"/>
                <w:szCs w:val="20"/>
                <w:lang w:val="fr-FR"/>
              </w:rPr>
            </w:pPr>
            <w:r w:rsidRPr="004B3056">
              <w:rPr>
                <w:rFonts w:eastAsia="Times New Roman" w:cs="Arial"/>
                <w:b/>
                <w:sz w:val="20"/>
                <w:szCs w:val="20"/>
                <w:lang w:val="fr-FR"/>
              </w:rPr>
              <w:t xml:space="preserve">N° </w:t>
            </w:r>
          </w:p>
        </w:tc>
        <w:tc>
          <w:tcPr>
            <w:tcW w:w="924" w:type="pct"/>
            <w:tcBorders>
              <w:top w:val="single" w:sz="4" w:space="0" w:color="auto"/>
              <w:left w:val="single" w:sz="4" w:space="0" w:color="auto"/>
              <w:bottom w:val="single" w:sz="4" w:space="0" w:color="auto"/>
              <w:right w:val="single" w:sz="4" w:space="0" w:color="auto"/>
            </w:tcBorders>
            <w:shd w:val="clear" w:color="auto" w:fill="DDD9C3"/>
          </w:tcPr>
          <w:p w14:paraId="1279692A" w14:textId="77777777" w:rsidR="009A44F9" w:rsidRPr="004B3056" w:rsidRDefault="009A44F9" w:rsidP="00B72A95">
            <w:pPr>
              <w:spacing w:after="0" w:line="276" w:lineRule="auto"/>
              <w:jc w:val="center"/>
              <w:rPr>
                <w:rFonts w:eastAsia="Times New Roman" w:cs="Arial"/>
                <w:b/>
                <w:sz w:val="20"/>
                <w:szCs w:val="20"/>
                <w:lang w:val="fr-FR"/>
              </w:rPr>
            </w:pPr>
            <w:r w:rsidRPr="004B3056">
              <w:rPr>
                <w:rFonts w:eastAsia="Times New Roman" w:cs="Arial"/>
                <w:b/>
                <w:sz w:val="20"/>
                <w:szCs w:val="20"/>
                <w:lang w:val="fr-FR"/>
              </w:rPr>
              <w:t>Désignation</w:t>
            </w:r>
          </w:p>
          <w:p w14:paraId="56C43DF5" w14:textId="77777777" w:rsidR="009A44F9" w:rsidRPr="004B3056" w:rsidRDefault="009A44F9" w:rsidP="00B72A95">
            <w:pPr>
              <w:spacing w:after="0" w:line="276" w:lineRule="auto"/>
              <w:rPr>
                <w:rFonts w:eastAsia="Times New Roman" w:cs="Arial"/>
                <w:sz w:val="20"/>
                <w:szCs w:val="20"/>
                <w:lang w:val="fr-ML"/>
              </w:rPr>
            </w:pPr>
          </w:p>
        </w:tc>
        <w:tc>
          <w:tcPr>
            <w:tcW w:w="1233" w:type="pct"/>
            <w:tcBorders>
              <w:top w:val="single" w:sz="4" w:space="0" w:color="auto"/>
              <w:left w:val="single" w:sz="4" w:space="0" w:color="auto"/>
              <w:bottom w:val="single" w:sz="4" w:space="0" w:color="auto"/>
              <w:right w:val="single" w:sz="4" w:space="0" w:color="auto"/>
            </w:tcBorders>
            <w:shd w:val="clear" w:color="auto" w:fill="DDD9C3"/>
          </w:tcPr>
          <w:p w14:paraId="4189C7B4" w14:textId="77777777" w:rsidR="009A44F9" w:rsidRPr="004B3056" w:rsidRDefault="009A44F9" w:rsidP="00B72A95">
            <w:pPr>
              <w:spacing w:after="0" w:line="240" w:lineRule="auto"/>
              <w:jc w:val="center"/>
              <w:outlineLvl w:val="6"/>
              <w:rPr>
                <w:rFonts w:ascii="Times New Roman" w:eastAsia="Times New Roman" w:hAnsi="Times New Roman" w:cs="Times New Roman"/>
                <w:b/>
                <w:sz w:val="20"/>
                <w:szCs w:val="20"/>
                <w:lang w:val="fr-FR"/>
              </w:rPr>
            </w:pPr>
            <w:r w:rsidRPr="004B3056">
              <w:rPr>
                <w:rFonts w:ascii="Times New Roman" w:eastAsia="Times New Roman" w:hAnsi="Times New Roman" w:cs="Times New Roman"/>
                <w:b/>
                <w:sz w:val="20"/>
                <w:szCs w:val="20"/>
                <w:lang w:val="fr-FR"/>
              </w:rPr>
              <w:t>Statut</w:t>
            </w:r>
          </w:p>
          <w:p w14:paraId="5DBF2D37" w14:textId="77777777" w:rsidR="009A44F9" w:rsidRPr="004B3056" w:rsidRDefault="009A44F9" w:rsidP="00B72A95">
            <w:pPr>
              <w:spacing w:after="0" w:line="276" w:lineRule="auto"/>
              <w:rPr>
                <w:rFonts w:eastAsia="Times New Roman" w:cs="Arial"/>
                <w:b/>
                <w:sz w:val="20"/>
                <w:szCs w:val="20"/>
                <w:lang w:val="fr-FR"/>
              </w:rPr>
            </w:pPr>
          </w:p>
        </w:tc>
        <w:tc>
          <w:tcPr>
            <w:tcW w:w="769" w:type="pct"/>
            <w:tcBorders>
              <w:top w:val="single" w:sz="4" w:space="0" w:color="auto"/>
              <w:left w:val="single" w:sz="4" w:space="0" w:color="auto"/>
              <w:bottom w:val="single" w:sz="4" w:space="0" w:color="auto"/>
              <w:right w:val="single" w:sz="4" w:space="0" w:color="auto"/>
            </w:tcBorders>
            <w:shd w:val="clear" w:color="auto" w:fill="DDD9C3"/>
            <w:hideMark/>
          </w:tcPr>
          <w:p w14:paraId="0A36753E" w14:textId="77777777" w:rsidR="009A44F9" w:rsidRPr="004B3056" w:rsidRDefault="009A44F9" w:rsidP="00B72A95">
            <w:pPr>
              <w:spacing w:after="0" w:line="276" w:lineRule="auto"/>
              <w:jc w:val="center"/>
              <w:rPr>
                <w:rFonts w:eastAsia="Times New Roman" w:cs="Arial"/>
                <w:b/>
                <w:sz w:val="20"/>
                <w:szCs w:val="20"/>
                <w:lang w:val="fr-FR"/>
              </w:rPr>
            </w:pPr>
            <w:r w:rsidRPr="004B3056">
              <w:rPr>
                <w:rFonts w:eastAsia="Times New Roman" w:cs="Arial"/>
                <w:b/>
                <w:sz w:val="20"/>
                <w:szCs w:val="20"/>
                <w:lang w:val="fr-FR"/>
              </w:rPr>
              <w:t>Localisation</w:t>
            </w:r>
          </w:p>
        </w:tc>
        <w:tc>
          <w:tcPr>
            <w:tcW w:w="723" w:type="pct"/>
            <w:tcBorders>
              <w:top w:val="single" w:sz="4" w:space="0" w:color="auto"/>
              <w:left w:val="single" w:sz="4" w:space="0" w:color="auto"/>
              <w:bottom w:val="single" w:sz="4" w:space="0" w:color="auto"/>
              <w:right w:val="single" w:sz="4" w:space="0" w:color="auto"/>
            </w:tcBorders>
            <w:shd w:val="clear" w:color="auto" w:fill="DDD9C3"/>
            <w:hideMark/>
          </w:tcPr>
          <w:p w14:paraId="663C9254" w14:textId="77777777" w:rsidR="009A44F9" w:rsidRPr="004B3056" w:rsidRDefault="009A44F9" w:rsidP="00B72A95">
            <w:pPr>
              <w:spacing w:after="0" w:line="276" w:lineRule="auto"/>
              <w:jc w:val="center"/>
              <w:rPr>
                <w:rFonts w:eastAsia="Times New Roman" w:cs="Arial"/>
                <w:b/>
                <w:sz w:val="20"/>
                <w:szCs w:val="20"/>
                <w:lang w:val="fr-FR"/>
              </w:rPr>
            </w:pPr>
            <w:r w:rsidRPr="004B3056">
              <w:rPr>
                <w:rFonts w:eastAsia="Times New Roman" w:cs="Arial"/>
                <w:b/>
                <w:sz w:val="20"/>
                <w:szCs w:val="20"/>
                <w:lang w:val="fr-FR"/>
              </w:rPr>
              <w:t>Superficie</w:t>
            </w:r>
          </w:p>
          <w:p w14:paraId="3CC6934E" w14:textId="77777777" w:rsidR="009A44F9" w:rsidRPr="004B3056" w:rsidRDefault="009A44F9" w:rsidP="00B72A95">
            <w:pPr>
              <w:spacing w:after="0" w:line="276" w:lineRule="auto"/>
              <w:jc w:val="center"/>
              <w:rPr>
                <w:rFonts w:eastAsia="Times New Roman" w:cs="Arial"/>
                <w:b/>
                <w:sz w:val="20"/>
                <w:szCs w:val="20"/>
                <w:lang w:val="fr-FR"/>
              </w:rPr>
            </w:pPr>
            <w:r w:rsidRPr="004B3056">
              <w:rPr>
                <w:rFonts w:eastAsia="Times New Roman" w:cs="Arial"/>
                <w:b/>
                <w:sz w:val="20"/>
                <w:szCs w:val="20"/>
                <w:lang w:val="fr-FR"/>
              </w:rPr>
              <w:t>(ha)</w:t>
            </w:r>
          </w:p>
        </w:tc>
        <w:tc>
          <w:tcPr>
            <w:tcW w:w="1042" w:type="pct"/>
            <w:tcBorders>
              <w:top w:val="single" w:sz="4" w:space="0" w:color="auto"/>
              <w:left w:val="single" w:sz="4" w:space="0" w:color="auto"/>
              <w:bottom w:val="single" w:sz="4" w:space="0" w:color="auto"/>
              <w:right w:val="single" w:sz="4" w:space="0" w:color="auto"/>
            </w:tcBorders>
            <w:shd w:val="clear" w:color="auto" w:fill="DDD9C3"/>
            <w:hideMark/>
          </w:tcPr>
          <w:p w14:paraId="290DFBAB" w14:textId="77777777" w:rsidR="009A44F9" w:rsidRPr="004B3056" w:rsidRDefault="009A44F9" w:rsidP="00B72A95">
            <w:pPr>
              <w:spacing w:after="0" w:line="276" w:lineRule="auto"/>
              <w:jc w:val="center"/>
              <w:rPr>
                <w:rFonts w:eastAsia="Times New Roman" w:cs="Arial"/>
                <w:b/>
                <w:sz w:val="20"/>
                <w:szCs w:val="20"/>
                <w:lang w:val="fr-FR"/>
              </w:rPr>
            </w:pPr>
            <w:r w:rsidRPr="004B3056">
              <w:rPr>
                <w:rFonts w:eastAsia="Times New Roman" w:cs="Arial"/>
                <w:b/>
                <w:sz w:val="20"/>
                <w:szCs w:val="20"/>
                <w:lang w:val="fr-FR"/>
              </w:rPr>
              <w:t>Référence</w:t>
            </w:r>
          </w:p>
        </w:tc>
      </w:tr>
      <w:tr w:rsidR="009A44F9" w:rsidRPr="004B3056" w14:paraId="21C0156C" w14:textId="77777777" w:rsidTr="00B72A95">
        <w:trPr>
          <w:cantSplit/>
        </w:trPr>
        <w:tc>
          <w:tcPr>
            <w:tcW w:w="309" w:type="pct"/>
            <w:tcBorders>
              <w:top w:val="single" w:sz="4" w:space="0" w:color="auto"/>
              <w:left w:val="single" w:sz="4" w:space="0" w:color="auto"/>
              <w:bottom w:val="single" w:sz="4" w:space="0" w:color="auto"/>
              <w:right w:val="single" w:sz="4" w:space="0" w:color="auto"/>
            </w:tcBorders>
            <w:hideMark/>
          </w:tcPr>
          <w:p w14:paraId="7CEA0AE5" w14:textId="77777777" w:rsidR="009A44F9" w:rsidRPr="004B3056" w:rsidRDefault="009A44F9" w:rsidP="00B72A95">
            <w:pPr>
              <w:spacing w:after="0" w:line="276" w:lineRule="auto"/>
              <w:jc w:val="center"/>
              <w:rPr>
                <w:rFonts w:eastAsia="Times New Roman" w:cs="Arial"/>
                <w:b/>
                <w:sz w:val="20"/>
                <w:szCs w:val="20"/>
                <w:lang w:val="fr-FR"/>
              </w:rPr>
            </w:pPr>
            <w:r w:rsidRPr="004B3056">
              <w:rPr>
                <w:rFonts w:eastAsia="Times New Roman" w:cs="Arial"/>
                <w:b/>
                <w:sz w:val="20"/>
                <w:szCs w:val="20"/>
                <w:lang w:val="fr-FR"/>
              </w:rPr>
              <w:t>1</w:t>
            </w:r>
          </w:p>
        </w:tc>
        <w:tc>
          <w:tcPr>
            <w:tcW w:w="924" w:type="pct"/>
            <w:tcBorders>
              <w:top w:val="single" w:sz="4" w:space="0" w:color="auto"/>
              <w:left w:val="single" w:sz="4" w:space="0" w:color="auto"/>
              <w:bottom w:val="single" w:sz="4" w:space="0" w:color="auto"/>
              <w:right w:val="single" w:sz="4" w:space="0" w:color="auto"/>
            </w:tcBorders>
            <w:hideMark/>
          </w:tcPr>
          <w:p w14:paraId="39B0F5DE" w14:textId="77777777" w:rsidR="009A44F9" w:rsidRPr="004B3056" w:rsidRDefault="009A44F9" w:rsidP="00B72A95">
            <w:pPr>
              <w:spacing w:after="0" w:line="276" w:lineRule="auto"/>
              <w:rPr>
                <w:rFonts w:eastAsia="Times New Roman" w:cs="Arial"/>
                <w:sz w:val="20"/>
                <w:szCs w:val="20"/>
                <w:lang w:val="fr-FR"/>
              </w:rPr>
            </w:pPr>
            <w:r w:rsidRPr="004B3056">
              <w:rPr>
                <w:rFonts w:eastAsia="Times New Roman" w:cs="Arial"/>
                <w:sz w:val="20"/>
                <w:szCs w:val="20"/>
                <w:lang w:val="fr-FR"/>
              </w:rPr>
              <w:t>Parc Botanique</w:t>
            </w:r>
          </w:p>
        </w:tc>
        <w:tc>
          <w:tcPr>
            <w:tcW w:w="1233" w:type="pct"/>
            <w:tcBorders>
              <w:top w:val="single" w:sz="4" w:space="0" w:color="auto"/>
              <w:left w:val="single" w:sz="4" w:space="0" w:color="auto"/>
              <w:bottom w:val="single" w:sz="4" w:space="0" w:color="auto"/>
              <w:right w:val="single" w:sz="4" w:space="0" w:color="auto"/>
            </w:tcBorders>
            <w:hideMark/>
          </w:tcPr>
          <w:p w14:paraId="54D51718" w14:textId="77777777" w:rsidR="009A44F9" w:rsidRPr="004B3056" w:rsidRDefault="009A44F9" w:rsidP="00B72A95">
            <w:pPr>
              <w:spacing w:after="0" w:line="276" w:lineRule="auto"/>
              <w:rPr>
                <w:rFonts w:eastAsia="Times New Roman" w:cs="Arial"/>
                <w:sz w:val="20"/>
                <w:szCs w:val="20"/>
                <w:lang w:val="fr-FR"/>
              </w:rPr>
            </w:pPr>
            <w:r w:rsidRPr="004B3056">
              <w:rPr>
                <w:rFonts w:eastAsia="Times New Roman" w:cs="Arial"/>
                <w:sz w:val="20"/>
                <w:szCs w:val="20"/>
                <w:lang w:val="fr-FR"/>
              </w:rPr>
              <w:t xml:space="preserve">Parc Biologique </w:t>
            </w:r>
          </w:p>
        </w:tc>
        <w:tc>
          <w:tcPr>
            <w:tcW w:w="769" w:type="pct"/>
            <w:tcBorders>
              <w:top w:val="single" w:sz="4" w:space="0" w:color="auto"/>
              <w:left w:val="single" w:sz="4" w:space="0" w:color="auto"/>
              <w:bottom w:val="single" w:sz="4" w:space="0" w:color="auto"/>
              <w:right w:val="single" w:sz="4" w:space="0" w:color="auto"/>
            </w:tcBorders>
            <w:hideMark/>
          </w:tcPr>
          <w:p w14:paraId="0DE3DE92" w14:textId="77777777" w:rsidR="009A44F9" w:rsidRPr="004B3056" w:rsidRDefault="009A44F9" w:rsidP="00B72A95">
            <w:pPr>
              <w:spacing w:after="0" w:line="276" w:lineRule="auto"/>
              <w:jc w:val="left"/>
              <w:rPr>
                <w:rFonts w:eastAsia="Times New Roman" w:cs="Arial"/>
                <w:bCs/>
                <w:sz w:val="20"/>
                <w:szCs w:val="20"/>
                <w:lang w:val="fr-FR"/>
              </w:rPr>
            </w:pPr>
            <w:r w:rsidRPr="004B3056">
              <w:rPr>
                <w:rFonts w:eastAsia="Times New Roman" w:cs="Arial"/>
                <w:bCs/>
                <w:sz w:val="20"/>
                <w:szCs w:val="20"/>
                <w:lang w:val="fr-FR"/>
              </w:rPr>
              <w:t>Bamako</w:t>
            </w:r>
          </w:p>
        </w:tc>
        <w:tc>
          <w:tcPr>
            <w:tcW w:w="723" w:type="pct"/>
            <w:tcBorders>
              <w:top w:val="single" w:sz="4" w:space="0" w:color="auto"/>
              <w:left w:val="single" w:sz="4" w:space="0" w:color="auto"/>
              <w:bottom w:val="single" w:sz="4" w:space="0" w:color="auto"/>
              <w:right w:val="single" w:sz="4" w:space="0" w:color="auto"/>
            </w:tcBorders>
            <w:hideMark/>
          </w:tcPr>
          <w:p w14:paraId="79DE3B43" w14:textId="77777777" w:rsidR="009A44F9" w:rsidRPr="004B3056" w:rsidRDefault="009A44F9" w:rsidP="00B72A95">
            <w:pPr>
              <w:spacing w:after="0" w:line="276" w:lineRule="auto"/>
              <w:jc w:val="right"/>
              <w:rPr>
                <w:rFonts w:eastAsia="Times New Roman" w:cs="Arial"/>
                <w:bCs/>
                <w:sz w:val="20"/>
                <w:szCs w:val="20"/>
                <w:lang w:val="fr-FR"/>
              </w:rPr>
            </w:pPr>
            <w:r w:rsidRPr="004B3056">
              <w:rPr>
                <w:rFonts w:eastAsia="Times New Roman" w:cs="Arial"/>
                <w:bCs/>
                <w:sz w:val="20"/>
                <w:szCs w:val="20"/>
                <w:lang w:val="fr-FR"/>
              </w:rPr>
              <w:t xml:space="preserve">17 </w:t>
            </w:r>
          </w:p>
        </w:tc>
        <w:tc>
          <w:tcPr>
            <w:tcW w:w="1042" w:type="pct"/>
            <w:vMerge w:val="restart"/>
            <w:tcBorders>
              <w:top w:val="single" w:sz="4" w:space="0" w:color="auto"/>
              <w:left w:val="single" w:sz="4" w:space="0" w:color="auto"/>
              <w:bottom w:val="single" w:sz="4" w:space="0" w:color="auto"/>
              <w:right w:val="single" w:sz="4" w:space="0" w:color="auto"/>
            </w:tcBorders>
            <w:hideMark/>
          </w:tcPr>
          <w:p w14:paraId="5D946A55" w14:textId="77777777" w:rsidR="009A44F9" w:rsidRPr="004B3056" w:rsidRDefault="009A44F9" w:rsidP="00B72A95">
            <w:pPr>
              <w:spacing w:after="0" w:line="276" w:lineRule="auto"/>
              <w:jc w:val="left"/>
              <w:rPr>
                <w:rFonts w:eastAsia="Times New Roman" w:cs="Arial"/>
                <w:b/>
                <w:i/>
                <w:iCs/>
                <w:sz w:val="20"/>
                <w:szCs w:val="20"/>
                <w:lang w:val="fr-FR"/>
              </w:rPr>
            </w:pPr>
            <w:r w:rsidRPr="004B3056">
              <w:rPr>
                <w:rFonts w:eastAsia="Times New Roman" w:cs="Arial"/>
                <w:b/>
                <w:i/>
                <w:iCs/>
                <w:sz w:val="20"/>
                <w:szCs w:val="20"/>
                <w:lang w:val="fr-FR"/>
              </w:rPr>
              <w:t>TF N° 13.11 E 64</w:t>
            </w:r>
          </w:p>
        </w:tc>
      </w:tr>
      <w:tr w:rsidR="009A44F9" w:rsidRPr="004B3056" w14:paraId="555A8011" w14:textId="77777777" w:rsidTr="00B72A95">
        <w:trPr>
          <w:cantSplit/>
          <w:trHeight w:val="90"/>
        </w:trPr>
        <w:tc>
          <w:tcPr>
            <w:tcW w:w="309" w:type="pct"/>
            <w:tcBorders>
              <w:top w:val="single" w:sz="4" w:space="0" w:color="auto"/>
              <w:left w:val="single" w:sz="4" w:space="0" w:color="auto"/>
              <w:bottom w:val="single" w:sz="4" w:space="0" w:color="auto"/>
              <w:right w:val="single" w:sz="4" w:space="0" w:color="auto"/>
            </w:tcBorders>
            <w:hideMark/>
          </w:tcPr>
          <w:p w14:paraId="6102A234" w14:textId="77777777" w:rsidR="009A44F9" w:rsidRPr="004B3056" w:rsidRDefault="009A44F9" w:rsidP="00B72A95">
            <w:pPr>
              <w:spacing w:after="0" w:line="276" w:lineRule="auto"/>
              <w:jc w:val="center"/>
              <w:rPr>
                <w:rFonts w:eastAsia="Times New Roman" w:cs="Arial"/>
                <w:b/>
                <w:sz w:val="20"/>
                <w:szCs w:val="20"/>
                <w:lang w:val="fr-FR"/>
              </w:rPr>
            </w:pPr>
            <w:r w:rsidRPr="004B3056">
              <w:rPr>
                <w:rFonts w:eastAsia="Times New Roman" w:cs="Arial"/>
                <w:b/>
                <w:sz w:val="20"/>
                <w:szCs w:val="20"/>
                <w:lang w:val="fr-FR"/>
              </w:rPr>
              <w:t>2</w:t>
            </w:r>
          </w:p>
        </w:tc>
        <w:tc>
          <w:tcPr>
            <w:tcW w:w="924" w:type="pct"/>
            <w:tcBorders>
              <w:top w:val="single" w:sz="4" w:space="0" w:color="auto"/>
              <w:left w:val="single" w:sz="4" w:space="0" w:color="auto"/>
              <w:bottom w:val="single" w:sz="4" w:space="0" w:color="auto"/>
              <w:right w:val="single" w:sz="4" w:space="0" w:color="auto"/>
            </w:tcBorders>
            <w:hideMark/>
          </w:tcPr>
          <w:p w14:paraId="3D159A27" w14:textId="77777777" w:rsidR="009A44F9" w:rsidRPr="004B3056" w:rsidRDefault="009A44F9" w:rsidP="00B72A95">
            <w:pPr>
              <w:spacing w:after="0" w:line="276" w:lineRule="auto"/>
              <w:rPr>
                <w:rFonts w:eastAsia="Times New Roman" w:cs="Arial"/>
                <w:sz w:val="20"/>
                <w:szCs w:val="20"/>
                <w:lang w:val="fr-FR"/>
              </w:rPr>
            </w:pPr>
            <w:r w:rsidRPr="004B3056">
              <w:rPr>
                <w:rFonts w:eastAsia="Times New Roman" w:cs="Arial"/>
                <w:sz w:val="20"/>
                <w:szCs w:val="20"/>
                <w:lang w:val="fr-FR"/>
              </w:rPr>
              <w:t xml:space="preserve">Parc Zoologique </w:t>
            </w:r>
          </w:p>
        </w:tc>
        <w:tc>
          <w:tcPr>
            <w:tcW w:w="1233" w:type="pct"/>
            <w:tcBorders>
              <w:top w:val="single" w:sz="4" w:space="0" w:color="auto"/>
              <w:left w:val="single" w:sz="4" w:space="0" w:color="auto"/>
              <w:bottom w:val="single" w:sz="4" w:space="0" w:color="auto"/>
              <w:right w:val="single" w:sz="4" w:space="0" w:color="auto"/>
            </w:tcBorders>
            <w:hideMark/>
          </w:tcPr>
          <w:p w14:paraId="00C7AE47" w14:textId="77777777" w:rsidR="009A44F9" w:rsidRPr="004B3056" w:rsidRDefault="009A44F9" w:rsidP="00B72A95">
            <w:pPr>
              <w:spacing w:after="0" w:line="276" w:lineRule="auto"/>
              <w:jc w:val="center"/>
              <w:rPr>
                <w:rFonts w:eastAsia="Times New Roman" w:cs="Arial"/>
                <w:bCs/>
                <w:sz w:val="20"/>
                <w:szCs w:val="20"/>
                <w:lang w:val="fr-FR"/>
              </w:rPr>
            </w:pPr>
            <w:r w:rsidRPr="004B3056">
              <w:rPr>
                <w:rFonts w:eastAsia="Times New Roman" w:cs="Arial"/>
                <w:sz w:val="20"/>
                <w:szCs w:val="20"/>
                <w:lang w:val="fr-FR"/>
              </w:rPr>
              <w:t>Parc Biologique</w:t>
            </w:r>
          </w:p>
        </w:tc>
        <w:tc>
          <w:tcPr>
            <w:tcW w:w="769" w:type="pct"/>
            <w:tcBorders>
              <w:top w:val="single" w:sz="4" w:space="0" w:color="auto"/>
              <w:left w:val="single" w:sz="4" w:space="0" w:color="auto"/>
              <w:bottom w:val="single" w:sz="4" w:space="0" w:color="auto"/>
              <w:right w:val="single" w:sz="4" w:space="0" w:color="auto"/>
            </w:tcBorders>
            <w:hideMark/>
          </w:tcPr>
          <w:p w14:paraId="077580AF" w14:textId="77777777" w:rsidR="009A44F9" w:rsidRPr="004B3056" w:rsidRDefault="009A44F9" w:rsidP="00B72A95">
            <w:pPr>
              <w:spacing w:after="0" w:line="276" w:lineRule="auto"/>
              <w:jc w:val="left"/>
              <w:rPr>
                <w:rFonts w:eastAsia="Times New Roman" w:cs="Arial"/>
                <w:bCs/>
                <w:sz w:val="20"/>
                <w:szCs w:val="20"/>
                <w:lang w:val="fr-FR"/>
              </w:rPr>
            </w:pPr>
            <w:r w:rsidRPr="004B3056">
              <w:rPr>
                <w:rFonts w:eastAsia="Times New Roman" w:cs="Arial"/>
                <w:bCs/>
                <w:sz w:val="20"/>
                <w:szCs w:val="20"/>
                <w:lang w:val="fr-FR"/>
              </w:rPr>
              <w:t>Bamako</w:t>
            </w:r>
          </w:p>
        </w:tc>
        <w:tc>
          <w:tcPr>
            <w:tcW w:w="723" w:type="pct"/>
            <w:tcBorders>
              <w:top w:val="single" w:sz="4" w:space="0" w:color="auto"/>
              <w:left w:val="single" w:sz="4" w:space="0" w:color="auto"/>
              <w:bottom w:val="single" w:sz="4" w:space="0" w:color="auto"/>
              <w:right w:val="single" w:sz="4" w:space="0" w:color="auto"/>
            </w:tcBorders>
            <w:hideMark/>
          </w:tcPr>
          <w:p w14:paraId="41D67777" w14:textId="77777777" w:rsidR="009A44F9" w:rsidRPr="004B3056" w:rsidRDefault="009A44F9" w:rsidP="00B72A95">
            <w:pPr>
              <w:spacing w:after="0" w:line="276" w:lineRule="auto"/>
              <w:jc w:val="right"/>
              <w:rPr>
                <w:rFonts w:eastAsia="Times New Roman" w:cs="Arial"/>
                <w:bCs/>
                <w:sz w:val="20"/>
                <w:szCs w:val="20"/>
                <w:lang w:val="fr-FR"/>
              </w:rPr>
            </w:pPr>
            <w:r w:rsidRPr="004B3056">
              <w:rPr>
                <w:rFonts w:eastAsia="Times New Roman" w:cs="Arial"/>
                <w:bCs/>
                <w:sz w:val="20"/>
                <w:szCs w:val="20"/>
                <w:lang w:val="fr-FR"/>
              </w:rPr>
              <w:t xml:space="preserve">13 </w:t>
            </w:r>
          </w:p>
        </w:tc>
        <w:tc>
          <w:tcPr>
            <w:tcW w:w="1042" w:type="pct"/>
            <w:vMerge/>
            <w:tcBorders>
              <w:top w:val="single" w:sz="4" w:space="0" w:color="auto"/>
              <w:left w:val="single" w:sz="4" w:space="0" w:color="auto"/>
              <w:bottom w:val="single" w:sz="4" w:space="0" w:color="auto"/>
              <w:right w:val="single" w:sz="4" w:space="0" w:color="auto"/>
            </w:tcBorders>
            <w:vAlign w:val="center"/>
            <w:hideMark/>
          </w:tcPr>
          <w:p w14:paraId="5BB1F6EB" w14:textId="77777777" w:rsidR="009A44F9" w:rsidRPr="004B3056" w:rsidRDefault="009A44F9" w:rsidP="00B72A95">
            <w:pPr>
              <w:spacing w:after="0" w:line="240" w:lineRule="auto"/>
              <w:jc w:val="left"/>
              <w:rPr>
                <w:rFonts w:eastAsia="Times New Roman" w:cs="Arial"/>
                <w:b/>
                <w:i/>
                <w:iCs/>
                <w:sz w:val="20"/>
                <w:szCs w:val="20"/>
                <w:lang w:val="fr-FR"/>
              </w:rPr>
            </w:pPr>
          </w:p>
        </w:tc>
      </w:tr>
      <w:tr w:rsidR="009A44F9" w:rsidRPr="004B3056" w14:paraId="784EA745" w14:textId="77777777" w:rsidTr="00B72A95">
        <w:trPr>
          <w:cantSplit/>
          <w:trHeight w:val="90"/>
        </w:trPr>
        <w:tc>
          <w:tcPr>
            <w:tcW w:w="1233" w:type="pct"/>
            <w:gridSpan w:val="2"/>
            <w:tcBorders>
              <w:top w:val="single" w:sz="4" w:space="0" w:color="auto"/>
              <w:left w:val="single" w:sz="4" w:space="0" w:color="auto"/>
              <w:bottom w:val="single" w:sz="4" w:space="0" w:color="auto"/>
              <w:right w:val="single" w:sz="4" w:space="0" w:color="auto"/>
            </w:tcBorders>
            <w:shd w:val="clear" w:color="auto" w:fill="FBD4B4"/>
          </w:tcPr>
          <w:p w14:paraId="0BEFFF32" w14:textId="77777777" w:rsidR="009A44F9" w:rsidRPr="004B3056" w:rsidRDefault="009A44F9" w:rsidP="00B72A95">
            <w:pPr>
              <w:spacing w:after="0" w:line="276" w:lineRule="auto"/>
              <w:jc w:val="center"/>
              <w:rPr>
                <w:rFonts w:eastAsia="Times New Roman" w:cs="Arial"/>
                <w:b/>
                <w:bCs/>
                <w:caps/>
                <w:sz w:val="20"/>
                <w:szCs w:val="20"/>
                <w:lang w:val="fr-FR"/>
              </w:rPr>
            </w:pPr>
            <w:r w:rsidRPr="004B3056">
              <w:rPr>
                <w:rFonts w:eastAsia="Times New Roman" w:cs="Arial"/>
                <w:b/>
                <w:caps/>
                <w:sz w:val="20"/>
                <w:szCs w:val="20"/>
                <w:lang w:val="fr-FR"/>
              </w:rPr>
              <w:t>Total</w:t>
            </w:r>
          </w:p>
        </w:tc>
        <w:tc>
          <w:tcPr>
            <w:tcW w:w="1233" w:type="pct"/>
            <w:tcBorders>
              <w:top w:val="single" w:sz="4" w:space="0" w:color="auto"/>
              <w:left w:val="single" w:sz="4" w:space="0" w:color="auto"/>
              <w:bottom w:val="single" w:sz="4" w:space="0" w:color="auto"/>
              <w:right w:val="single" w:sz="4" w:space="0" w:color="auto"/>
            </w:tcBorders>
            <w:shd w:val="clear" w:color="auto" w:fill="FBD4B4"/>
          </w:tcPr>
          <w:p w14:paraId="111DCDAD" w14:textId="77777777" w:rsidR="009A44F9" w:rsidRPr="004B3056" w:rsidRDefault="009A44F9" w:rsidP="00B72A95">
            <w:pPr>
              <w:spacing w:after="0" w:line="276" w:lineRule="auto"/>
              <w:rPr>
                <w:rFonts w:eastAsia="Times New Roman" w:cs="Arial"/>
                <w:b/>
                <w:sz w:val="20"/>
                <w:szCs w:val="20"/>
                <w:lang w:val="fr-FR"/>
              </w:rPr>
            </w:pPr>
            <w:r w:rsidRPr="004B3056">
              <w:rPr>
                <w:rFonts w:eastAsia="Times New Roman" w:cs="Arial"/>
                <w:b/>
                <w:sz w:val="20"/>
                <w:szCs w:val="20"/>
                <w:lang w:val="fr-FR"/>
              </w:rPr>
              <w:t>Parc National du Mali</w:t>
            </w:r>
          </w:p>
        </w:tc>
        <w:tc>
          <w:tcPr>
            <w:tcW w:w="769" w:type="pct"/>
            <w:tcBorders>
              <w:top w:val="single" w:sz="4" w:space="0" w:color="auto"/>
              <w:left w:val="single" w:sz="4" w:space="0" w:color="auto"/>
              <w:bottom w:val="single" w:sz="4" w:space="0" w:color="auto"/>
              <w:right w:val="single" w:sz="4" w:space="0" w:color="auto"/>
            </w:tcBorders>
            <w:shd w:val="clear" w:color="auto" w:fill="FBD4B4"/>
            <w:hideMark/>
          </w:tcPr>
          <w:p w14:paraId="3F681547" w14:textId="77777777" w:rsidR="009A44F9" w:rsidRPr="004B3056" w:rsidRDefault="009A44F9" w:rsidP="00B72A95">
            <w:pPr>
              <w:keepNext/>
              <w:keepLines/>
              <w:spacing w:after="0" w:line="360" w:lineRule="auto"/>
              <w:jc w:val="left"/>
              <w:outlineLvl w:val="3"/>
              <w:rPr>
                <w:rFonts w:ascii="Times New Roman" w:eastAsia="Calibri" w:hAnsi="Times New Roman" w:cs="Times New Roman"/>
                <w:b/>
                <w:i/>
                <w:iCs/>
                <w:sz w:val="20"/>
                <w:szCs w:val="20"/>
                <w:lang w:val="fr-FR"/>
              </w:rPr>
            </w:pPr>
          </w:p>
        </w:tc>
        <w:tc>
          <w:tcPr>
            <w:tcW w:w="723" w:type="pct"/>
            <w:tcBorders>
              <w:top w:val="single" w:sz="4" w:space="0" w:color="auto"/>
              <w:left w:val="single" w:sz="4" w:space="0" w:color="auto"/>
              <w:bottom w:val="single" w:sz="4" w:space="0" w:color="auto"/>
              <w:right w:val="single" w:sz="4" w:space="0" w:color="auto"/>
            </w:tcBorders>
            <w:shd w:val="clear" w:color="auto" w:fill="FBD4B4"/>
            <w:hideMark/>
          </w:tcPr>
          <w:p w14:paraId="17051DD0" w14:textId="77777777" w:rsidR="009A44F9" w:rsidRPr="004B3056" w:rsidRDefault="009A44F9" w:rsidP="00B72A95">
            <w:pPr>
              <w:spacing w:after="0" w:line="276" w:lineRule="auto"/>
              <w:jc w:val="right"/>
              <w:rPr>
                <w:rFonts w:eastAsia="Times New Roman" w:cs="Arial"/>
                <w:b/>
                <w:sz w:val="20"/>
                <w:szCs w:val="20"/>
                <w:lang w:val="fr-FR"/>
              </w:rPr>
            </w:pPr>
            <w:r w:rsidRPr="004B3056">
              <w:rPr>
                <w:rFonts w:eastAsia="Times New Roman" w:cs="Arial"/>
                <w:b/>
                <w:sz w:val="20"/>
                <w:szCs w:val="20"/>
                <w:lang w:val="fr-FR"/>
              </w:rPr>
              <w:t>30</w:t>
            </w:r>
          </w:p>
        </w:tc>
        <w:tc>
          <w:tcPr>
            <w:tcW w:w="1042" w:type="pct"/>
            <w:tcBorders>
              <w:top w:val="single" w:sz="4" w:space="0" w:color="auto"/>
              <w:left w:val="single" w:sz="4" w:space="0" w:color="auto"/>
              <w:bottom w:val="single" w:sz="4" w:space="0" w:color="auto"/>
              <w:right w:val="single" w:sz="4" w:space="0" w:color="auto"/>
            </w:tcBorders>
            <w:shd w:val="clear" w:color="auto" w:fill="FBD4B4"/>
          </w:tcPr>
          <w:p w14:paraId="3A555FF2" w14:textId="77777777" w:rsidR="009A44F9" w:rsidRPr="004B3056" w:rsidRDefault="009A44F9" w:rsidP="00B72A95">
            <w:pPr>
              <w:spacing w:after="0" w:line="276" w:lineRule="auto"/>
              <w:jc w:val="center"/>
              <w:rPr>
                <w:rFonts w:eastAsia="Times New Roman" w:cs="Arial"/>
                <w:bCs/>
                <w:sz w:val="20"/>
                <w:szCs w:val="20"/>
                <w:lang w:val="fr-FR"/>
              </w:rPr>
            </w:pPr>
          </w:p>
        </w:tc>
      </w:tr>
    </w:tbl>
    <w:p w14:paraId="7C73F288" w14:textId="77777777" w:rsidR="009A44F9" w:rsidRPr="004B3056" w:rsidRDefault="009A44F9" w:rsidP="009A44F9">
      <w:pPr>
        <w:spacing w:after="0" w:line="240" w:lineRule="auto"/>
        <w:jc w:val="left"/>
        <w:rPr>
          <w:rFonts w:eastAsia="Times New Roman" w:cs="Arial"/>
          <w:b/>
          <w:sz w:val="20"/>
          <w:szCs w:val="20"/>
          <w:lang w:val="fr-FR" w:eastAsia="fr-FR"/>
        </w:rPr>
      </w:pPr>
    </w:p>
    <w:p w14:paraId="072C3DFA" w14:textId="77777777" w:rsidR="009A44F9" w:rsidRPr="004B3056" w:rsidRDefault="009A44F9" w:rsidP="009A44F9">
      <w:pPr>
        <w:shd w:val="clear" w:color="auto" w:fill="E7E6E6"/>
        <w:spacing w:after="0" w:line="240" w:lineRule="auto"/>
        <w:jc w:val="center"/>
        <w:rPr>
          <w:rFonts w:eastAsia="Times New Roman" w:cs="Arial"/>
          <w:b/>
          <w:sz w:val="20"/>
          <w:szCs w:val="20"/>
          <w:lang w:val="fr-FR" w:eastAsia="fr-FR"/>
        </w:rPr>
      </w:pPr>
      <w:r w:rsidRPr="004B3056">
        <w:rPr>
          <w:rFonts w:eastAsia="Times New Roman" w:cs="Arial"/>
          <w:b/>
          <w:sz w:val="20"/>
          <w:szCs w:val="20"/>
          <w:lang w:val="fr-FR" w:eastAsia="fr-FR"/>
        </w:rPr>
        <w:t>TOTAL : Superficie Aires Protégées : 9 010 757ha  /  Nombre : 26</w:t>
      </w:r>
    </w:p>
    <w:p w14:paraId="475248F5" w14:textId="77777777" w:rsidR="009A44F9" w:rsidRPr="00983A2A" w:rsidRDefault="009A44F9" w:rsidP="009A44F9">
      <w:pPr>
        <w:shd w:val="clear" w:color="auto" w:fill="E7E6E6"/>
        <w:spacing w:after="0" w:line="240" w:lineRule="auto"/>
        <w:jc w:val="center"/>
        <w:rPr>
          <w:rFonts w:ascii="Calibri" w:eastAsia="Times New Roman" w:hAnsi="Calibri" w:cs="Arial"/>
          <w:sz w:val="20"/>
          <w:szCs w:val="20"/>
          <w:lang w:val="nb-NO" w:eastAsia="fr-FR"/>
        </w:rPr>
      </w:pPr>
      <w:r w:rsidRPr="00983A2A">
        <w:rPr>
          <w:rFonts w:eastAsia="Times New Roman" w:cs="Arial"/>
          <w:b/>
          <w:sz w:val="20"/>
          <w:szCs w:val="20"/>
          <w:lang w:val="nb-NO" w:eastAsia="fr-FR"/>
        </w:rPr>
        <w:t>et 4 sites Ramsar (DIN, Sourou, Wegnia et Magui) de 4 204 640  ha</w:t>
      </w:r>
    </w:p>
    <w:p w14:paraId="3AC5AE21" w14:textId="77777777" w:rsidR="009A44F9" w:rsidRPr="00983A2A" w:rsidRDefault="009A44F9" w:rsidP="009A44F9">
      <w:pPr>
        <w:spacing w:after="0" w:line="240" w:lineRule="auto"/>
        <w:rPr>
          <w:rFonts w:eastAsia="Times New Roman" w:cs="Arial"/>
          <w:b/>
          <w:bCs/>
          <w:sz w:val="20"/>
          <w:szCs w:val="20"/>
          <w:lang w:val="nb-NO" w:eastAsia="fr-FR"/>
        </w:rPr>
      </w:pPr>
    </w:p>
    <w:p w14:paraId="4CB5FAA2" w14:textId="77777777" w:rsidR="00DC60DC" w:rsidRPr="004B3056" w:rsidRDefault="009A44F9" w:rsidP="009A44F9">
      <w:pPr>
        <w:spacing w:after="0" w:line="240" w:lineRule="auto"/>
        <w:rPr>
          <w:rFonts w:eastAsia="Calibri" w:cs="Arial"/>
          <w:sz w:val="20"/>
          <w:szCs w:val="20"/>
          <w:lang w:val="fr-FR" w:eastAsia="fr-FR"/>
        </w:rPr>
      </w:pPr>
      <w:r w:rsidRPr="004B3056">
        <w:rPr>
          <w:rFonts w:cs="Arial"/>
          <w:sz w:val="20"/>
          <w:szCs w:val="20"/>
          <w:lang w:val="fr-FR"/>
        </w:rPr>
        <w:t>Source : Rapport annuel DNEF 2017 (1/2018)</w:t>
      </w:r>
    </w:p>
    <w:p w14:paraId="7C5D0019" w14:textId="77777777" w:rsidR="00DC60DC" w:rsidRPr="004B3056" w:rsidRDefault="00DC60DC" w:rsidP="00B466E6">
      <w:pPr>
        <w:rPr>
          <w:lang w:val="fr-FR" w:eastAsia="fr-FR"/>
        </w:rPr>
      </w:pPr>
    </w:p>
    <w:p w14:paraId="16D9CAD3" w14:textId="77777777" w:rsidR="00DC60DC" w:rsidRDefault="00DC60DC" w:rsidP="003240E6">
      <w:pPr>
        <w:rPr>
          <w:rFonts w:eastAsia="Calibri" w:cs="Arial"/>
          <w:sz w:val="20"/>
          <w:szCs w:val="20"/>
          <w:lang w:val="fr-FR" w:eastAsia="fr-FR"/>
        </w:rPr>
      </w:pPr>
    </w:p>
    <w:p w14:paraId="3C46D15A" w14:textId="77777777" w:rsidR="00DC60DC" w:rsidRPr="00DC60DC" w:rsidRDefault="00DC60DC" w:rsidP="00DC60DC">
      <w:pPr>
        <w:spacing w:after="0" w:line="240" w:lineRule="auto"/>
        <w:rPr>
          <w:lang w:val="fr-FR"/>
        </w:rPr>
        <w:sectPr w:rsidR="00DC60DC" w:rsidRPr="00DC60DC" w:rsidSect="009A44F9">
          <w:pgSz w:w="11906" w:h="16838"/>
          <w:pgMar w:top="1021" w:right="1021" w:bottom="1191" w:left="964" w:header="709" w:footer="709" w:gutter="0"/>
          <w:cols w:space="708"/>
          <w:docGrid w:linePitch="360"/>
        </w:sectPr>
      </w:pPr>
    </w:p>
    <w:p w14:paraId="03DA353A" w14:textId="77777777" w:rsidR="00DC60DC" w:rsidRPr="00431E0D" w:rsidRDefault="00A933B3" w:rsidP="00525222">
      <w:pPr>
        <w:pStyle w:val="Titre3"/>
      </w:pPr>
      <w:bookmarkStart w:id="121" w:name="_Toc20505706"/>
      <w:r>
        <w:lastRenderedPageBreak/>
        <w:t xml:space="preserve">7.4.4 </w:t>
      </w:r>
      <w:r w:rsidR="00DC60DC" w:rsidRPr="00DC60DC">
        <w:t>Menaces</w:t>
      </w:r>
      <w:r w:rsidR="00DC60DC" w:rsidRPr="00431E0D">
        <w:t xml:space="preserve"> des Aires</w:t>
      </w:r>
      <w:r w:rsidR="00DC60DC" w:rsidRPr="003240E6">
        <w:t xml:space="preserve"> Protégées</w:t>
      </w:r>
      <w:bookmarkEnd w:id="121"/>
    </w:p>
    <w:p w14:paraId="6538A924" w14:textId="77777777" w:rsidR="00DC60DC" w:rsidRPr="00DE181A" w:rsidRDefault="00DC60DC" w:rsidP="003240E6">
      <w:pPr>
        <w:jc w:val="center"/>
        <w:rPr>
          <w:lang w:val="fr-FR"/>
        </w:rPr>
      </w:pPr>
      <w:r>
        <w:rPr>
          <w:noProof/>
          <w:lang w:val="fr-FR" w:eastAsia="fr-FR"/>
        </w:rPr>
        <w:drawing>
          <wp:inline distT="0" distB="0" distL="0" distR="0" wp14:anchorId="198A508C" wp14:editId="6A40DA48">
            <wp:extent cx="8432800" cy="5359831"/>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8434375" cy="5360832"/>
                    </a:xfrm>
                    <a:prstGeom prst="rect">
                      <a:avLst/>
                    </a:prstGeom>
                    <a:noFill/>
                    <a:ln>
                      <a:noFill/>
                    </a:ln>
                  </pic:spPr>
                </pic:pic>
              </a:graphicData>
            </a:graphic>
          </wp:inline>
        </w:drawing>
      </w:r>
    </w:p>
    <w:p w14:paraId="49BDB753" w14:textId="77777777" w:rsidR="00DC60DC" w:rsidRPr="00602361" w:rsidRDefault="003240E6" w:rsidP="006B7180">
      <w:pPr>
        <w:spacing w:after="0" w:line="240" w:lineRule="auto"/>
        <w:rPr>
          <w:lang w:val="fr-FR"/>
        </w:rPr>
      </w:pPr>
      <w:r w:rsidRPr="00602361">
        <w:rPr>
          <w:lang w:val="fr-FR"/>
        </w:rPr>
        <w:t>Source</w:t>
      </w:r>
      <w:r w:rsidR="0011274B">
        <w:rPr>
          <w:lang w:val="fr-FR"/>
        </w:rPr>
        <w:t> </w:t>
      </w:r>
      <w:r w:rsidRPr="00602361">
        <w:rPr>
          <w:lang w:val="fr-FR"/>
        </w:rPr>
        <w:t>: IUCN, 2008</w:t>
      </w:r>
    </w:p>
    <w:p w14:paraId="0E2EBE8D" w14:textId="77777777" w:rsidR="003240E6" w:rsidRPr="00602361" w:rsidRDefault="003240E6" w:rsidP="006B7180">
      <w:pPr>
        <w:spacing w:after="0" w:line="240" w:lineRule="auto"/>
        <w:rPr>
          <w:lang w:val="fr-FR"/>
        </w:rPr>
        <w:sectPr w:rsidR="003240E6" w:rsidRPr="00602361" w:rsidSect="003240E6">
          <w:pgSz w:w="16838" w:h="11906" w:orient="landscape"/>
          <w:pgMar w:top="964" w:right="1021" w:bottom="1021" w:left="1191" w:header="709" w:footer="709" w:gutter="0"/>
          <w:cols w:space="708"/>
          <w:docGrid w:linePitch="360"/>
        </w:sectPr>
      </w:pPr>
    </w:p>
    <w:p w14:paraId="3250E112" w14:textId="77777777" w:rsidR="00A933B3" w:rsidRPr="003240E6" w:rsidRDefault="00A933B3" w:rsidP="00525222">
      <w:pPr>
        <w:pStyle w:val="Titre3"/>
      </w:pPr>
      <w:bookmarkStart w:id="122" w:name="_Toc20505707"/>
      <w:bookmarkStart w:id="123" w:name="_Toc393900322"/>
      <w:r>
        <w:lastRenderedPageBreak/>
        <w:t>7.4.5 L’évolution des débits du fleuve Niger</w:t>
      </w:r>
      <w:bookmarkEnd w:id="122"/>
      <w:r w:rsidRPr="003240E6">
        <w:t xml:space="preserve"> </w:t>
      </w:r>
    </w:p>
    <w:p w14:paraId="63D72BB4" w14:textId="77777777" w:rsidR="00A933B3" w:rsidRDefault="00A933B3" w:rsidP="00A933B3">
      <w:pPr>
        <w:spacing w:after="200" w:line="276" w:lineRule="auto"/>
        <w:jc w:val="center"/>
        <w:rPr>
          <w:rFonts w:eastAsiaTheme="majorEastAsia" w:cs="Arial"/>
          <w:b/>
          <w:bCs/>
          <w:color w:val="948A54" w:themeColor="background2" w:themeShade="80"/>
          <w:lang w:val="fr-FR"/>
        </w:rPr>
      </w:pPr>
      <w:r w:rsidRPr="00A933B3">
        <w:rPr>
          <w:rFonts w:ascii="Calibri" w:eastAsia="Calibri" w:hAnsi="Calibri" w:cs="Times New Roman"/>
          <w:noProof/>
          <w:sz w:val="22"/>
          <w:lang w:val="fr-FR" w:eastAsia="fr-FR"/>
        </w:rPr>
        <w:drawing>
          <wp:inline distT="0" distB="0" distL="0" distR="0" wp14:anchorId="5502EAAD" wp14:editId="6BF1C59D">
            <wp:extent cx="8866539" cy="5116286"/>
            <wp:effectExtent l="0" t="0" r="0" b="8255"/>
            <wp:docPr id="3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8853155" cy="5108563"/>
                    </a:xfrm>
                    <a:prstGeom prst="rect">
                      <a:avLst/>
                    </a:prstGeom>
                    <a:noFill/>
                    <a:ln>
                      <a:noFill/>
                    </a:ln>
                  </pic:spPr>
                </pic:pic>
              </a:graphicData>
            </a:graphic>
          </wp:inline>
        </w:drawing>
      </w:r>
      <w:r>
        <w:br w:type="page"/>
      </w:r>
    </w:p>
    <w:p w14:paraId="50B4931F" w14:textId="77777777" w:rsidR="0097042E" w:rsidRDefault="0097042E" w:rsidP="00525222">
      <w:pPr>
        <w:pStyle w:val="Titre3"/>
        <w:sectPr w:rsidR="0097042E" w:rsidSect="003240E6">
          <w:pgSz w:w="16838" w:h="11906" w:orient="landscape"/>
          <w:pgMar w:top="964" w:right="1021" w:bottom="1021" w:left="1191" w:header="709" w:footer="709" w:gutter="0"/>
          <w:cols w:space="708"/>
          <w:docGrid w:linePitch="360"/>
        </w:sectPr>
      </w:pPr>
    </w:p>
    <w:p w14:paraId="3A7CFA55" w14:textId="77777777" w:rsidR="003240E6" w:rsidRPr="003240E6" w:rsidRDefault="003B087C" w:rsidP="00525222">
      <w:pPr>
        <w:pStyle w:val="Titre3"/>
      </w:pPr>
      <w:bookmarkStart w:id="124" w:name="_Toc20505708"/>
      <w:r>
        <w:lastRenderedPageBreak/>
        <w:t>7</w:t>
      </w:r>
      <w:r w:rsidR="0097042E">
        <w:t>.4.6 P</w:t>
      </w:r>
      <w:r w:rsidR="003240E6" w:rsidRPr="003240E6">
        <w:t>roduction</w:t>
      </w:r>
      <w:r w:rsidR="0097042E">
        <w:t>, réserves, emplois et taxes des mines aurifères</w:t>
      </w:r>
      <w:bookmarkEnd w:id="123"/>
      <w:bookmarkEnd w:id="124"/>
      <w:r w:rsidR="003240E6" w:rsidRPr="003240E6">
        <w:t xml:space="preserve">  </w:t>
      </w:r>
    </w:p>
    <w:p w14:paraId="679C6232" w14:textId="77777777" w:rsidR="00DC60DC" w:rsidRPr="0018781D" w:rsidRDefault="00DC60DC" w:rsidP="00DC60DC">
      <w:pPr>
        <w:spacing w:after="0" w:line="240" w:lineRule="auto"/>
        <w:rPr>
          <w:lang w:val="fr-FR"/>
        </w:rPr>
      </w:pPr>
    </w:p>
    <w:p w14:paraId="757017C4" w14:textId="77777777" w:rsidR="00DC60DC" w:rsidRDefault="00A933B3" w:rsidP="0097042E">
      <w:pPr>
        <w:spacing w:after="0" w:line="240" w:lineRule="auto"/>
        <w:jc w:val="center"/>
        <w:rPr>
          <w:lang w:val="fr-FR" w:eastAsia="fr-FR"/>
        </w:rPr>
      </w:pPr>
      <w:r>
        <w:rPr>
          <w:noProof/>
          <w:lang w:val="fr-FR" w:eastAsia="fr-FR"/>
        </w:rPr>
        <w:drawing>
          <wp:inline distT="0" distB="0" distL="0" distR="0" wp14:anchorId="3536FEEA" wp14:editId="19DE199F">
            <wp:extent cx="6311607" cy="3588385"/>
            <wp:effectExtent l="0" t="0" r="0"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311607" cy="3588385"/>
                    </a:xfrm>
                    <a:prstGeom prst="rect">
                      <a:avLst/>
                    </a:prstGeom>
                    <a:noFill/>
                    <a:ln>
                      <a:noFill/>
                    </a:ln>
                  </pic:spPr>
                </pic:pic>
              </a:graphicData>
            </a:graphic>
          </wp:inline>
        </w:drawing>
      </w:r>
    </w:p>
    <w:p w14:paraId="684CA0DA" w14:textId="77777777" w:rsidR="0097042E" w:rsidRDefault="0097042E" w:rsidP="00DC60DC">
      <w:pPr>
        <w:spacing w:after="0" w:line="240" w:lineRule="auto"/>
        <w:rPr>
          <w:lang w:val="fr-FR" w:eastAsia="fr-FR"/>
        </w:rPr>
      </w:pPr>
      <w:r>
        <w:rPr>
          <w:lang w:val="fr-FR" w:eastAsia="fr-FR"/>
        </w:rPr>
        <w:t>Source : PNUD/IPE, 2015</w:t>
      </w:r>
    </w:p>
    <w:p w14:paraId="5EC3C5B4" w14:textId="77777777" w:rsidR="0097042E" w:rsidRDefault="0097042E" w:rsidP="00DC60DC">
      <w:pPr>
        <w:spacing w:after="0" w:line="240" w:lineRule="auto"/>
        <w:rPr>
          <w:lang w:val="fr-FR" w:eastAsia="fr-FR"/>
        </w:rPr>
      </w:pPr>
    </w:p>
    <w:p w14:paraId="1784638F" w14:textId="77777777" w:rsidR="003240E6" w:rsidRDefault="003240E6" w:rsidP="00DC60DC">
      <w:pPr>
        <w:spacing w:after="0" w:line="240" w:lineRule="auto"/>
        <w:rPr>
          <w:lang w:val="fr-FR" w:eastAsia="fr-FR"/>
        </w:rPr>
      </w:pPr>
    </w:p>
    <w:p w14:paraId="4CEC1E45" w14:textId="77777777" w:rsidR="001372E0" w:rsidRDefault="0097042E" w:rsidP="0097042E">
      <w:pPr>
        <w:spacing w:after="0" w:line="240" w:lineRule="auto"/>
        <w:jc w:val="center"/>
        <w:rPr>
          <w:lang w:val="fr-FR" w:eastAsia="fr-FR"/>
        </w:rPr>
      </w:pPr>
      <w:r>
        <w:rPr>
          <w:noProof/>
          <w:lang w:val="fr-FR" w:eastAsia="fr-FR"/>
        </w:rPr>
        <w:drawing>
          <wp:inline distT="0" distB="0" distL="0" distR="0" wp14:anchorId="7889AE97" wp14:editId="54FBE225">
            <wp:extent cx="5760720" cy="3894142"/>
            <wp:effectExtent l="0" t="0" r="0" b="0"/>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60720" cy="3894142"/>
                    </a:xfrm>
                    <a:prstGeom prst="rect">
                      <a:avLst/>
                    </a:prstGeom>
                    <a:noFill/>
                    <a:ln>
                      <a:noFill/>
                    </a:ln>
                  </pic:spPr>
                </pic:pic>
              </a:graphicData>
            </a:graphic>
          </wp:inline>
        </w:drawing>
      </w:r>
    </w:p>
    <w:p w14:paraId="1952152F" w14:textId="77777777" w:rsidR="0097042E" w:rsidRDefault="0097042E" w:rsidP="0097042E">
      <w:pPr>
        <w:spacing w:after="0" w:line="240" w:lineRule="auto"/>
        <w:jc w:val="center"/>
        <w:rPr>
          <w:lang w:val="fr-FR" w:eastAsia="fr-FR"/>
        </w:rPr>
      </w:pPr>
    </w:p>
    <w:p w14:paraId="7D0376ED" w14:textId="77777777" w:rsidR="0097042E" w:rsidRDefault="0097042E" w:rsidP="0097042E">
      <w:pPr>
        <w:spacing w:after="0" w:line="240" w:lineRule="auto"/>
        <w:rPr>
          <w:lang w:val="fr-FR" w:eastAsia="fr-FR"/>
        </w:rPr>
      </w:pPr>
      <w:r>
        <w:rPr>
          <w:lang w:val="fr-FR" w:eastAsia="fr-FR"/>
        </w:rPr>
        <w:t>Source : AEDD, 2018</w:t>
      </w:r>
    </w:p>
    <w:p w14:paraId="08F64D8C" w14:textId="77777777" w:rsidR="0097042E" w:rsidRDefault="0097042E" w:rsidP="0097042E">
      <w:pPr>
        <w:spacing w:after="0" w:line="240" w:lineRule="auto"/>
        <w:rPr>
          <w:lang w:val="fr-FR" w:eastAsia="fr-FR"/>
        </w:rPr>
        <w:sectPr w:rsidR="0097042E" w:rsidSect="0097042E">
          <w:pgSz w:w="11906" w:h="16838"/>
          <w:pgMar w:top="1021" w:right="1021" w:bottom="1191" w:left="964" w:header="709" w:footer="709" w:gutter="0"/>
          <w:cols w:space="708"/>
          <w:docGrid w:linePitch="360"/>
        </w:sectPr>
      </w:pPr>
    </w:p>
    <w:p w14:paraId="6C09B99E" w14:textId="77777777" w:rsidR="00FC24F2" w:rsidRPr="00694053" w:rsidRDefault="00FC24F2" w:rsidP="00525222">
      <w:pPr>
        <w:pStyle w:val="Titre3"/>
      </w:pPr>
      <w:bookmarkStart w:id="125" w:name="_Toc20505709"/>
      <w:bookmarkStart w:id="126" w:name="_Toc393900323"/>
      <w:r>
        <w:lastRenderedPageBreak/>
        <w:t>7</w:t>
      </w:r>
      <w:r w:rsidRPr="00694053">
        <w:t>.4.</w:t>
      </w:r>
      <w:r w:rsidR="0097042E" w:rsidRPr="0097042E">
        <w:t>7</w:t>
      </w:r>
      <w:r w:rsidRPr="00694053">
        <w:t xml:space="preserve"> </w:t>
      </w:r>
      <w:r>
        <w:t>L’agriculture</w:t>
      </w:r>
      <w:bookmarkEnd w:id="125"/>
    </w:p>
    <w:p w14:paraId="4C22C05C" w14:textId="77777777" w:rsidR="00FC24F2" w:rsidRPr="00FC24F2" w:rsidRDefault="00FC24F2" w:rsidP="00FC24F2">
      <w:pPr>
        <w:jc w:val="center"/>
        <w:rPr>
          <w:rFonts w:ascii="Calibri" w:eastAsia="Calibri" w:hAnsi="Calibri" w:cs="Times New Roman"/>
          <w:sz w:val="22"/>
          <w:lang w:val="fr-FR"/>
        </w:rPr>
      </w:pPr>
      <w:r w:rsidRPr="00FC24F2">
        <w:rPr>
          <w:rFonts w:ascii="Calibri" w:eastAsia="Calibri" w:hAnsi="Calibri" w:cs="Times New Roman"/>
          <w:noProof/>
          <w:sz w:val="22"/>
          <w:lang w:val="fr-FR" w:eastAsia="fr-FR"/>
        </w:rPr>
        <w:drawing>
          <wp:inline distT="0" distB="0" distL="0" distR="0" wp14:anchorId="5E1F990E" wp14:editId="7D3F9256">
            <wp:extent cx="5760720" cy="3667029"/>
            <wp:effectExtent l="0" t="0" r="0" b="0"/>
            <wp:docPr id="20"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0720" cy="3667029"/>
                    </a:xfrm>
                    <a:prstGeom prst="rect">
                      <a:avLst/>
                    </a:prstGeom>
                    <a:noFill/>
                    <a:ln>
                      <a:noFill/>
                    </a:ln>
                  </pic:spPr>
                </pic:pic>
              </a:graphicData>
            </a:graphic>
          </wp:inline>
        </w:drawing>
      </w:r>
    </w:p>
    <w:p w14:paraId="6C3A5ADE" w14:textId="77777777" w:rsidR="00FC24F2" w:rsidRDefault="00FC24F2" w:rsidP="00FC24F2">
      <w:pPr>
        <w:spacing w:after="160" w:line="259" w:lineRule="auto"/>
        <w:jc w:val="left"/>
        <w:rPr>
          <w:rFonts w:eastAsia="Calibri" w:cs="Times New Roman"/>
          <w:sz w:val="22"/>
          <w:lang w:val="fr-FR"/>
        </w:rPr>
      </w:pPr>
      <w:r>
        <w:rPr>
          <w:rFonts w:eastAsia="Calibri" w:cs="Times New Roman"/>
          <w:sz w:val="22"/>
          <w:lang w:val="fr-FR"/>
        </w:rPr>
        <w:t>Source :</w:t>
      </w:r>
      <w:r w:rsidR="00ED07AD">
        <w:rPr>
          <w:rFonts w:eastAsia="Calibri" w:cs="Times New Roman"/>
          <w:sz w:val="22"/>
          <w:lang w:val="fr-FR"/>
        </w:rPr>
        <w:t xml:space="preserve"> </w:t>
      </w:r>
      <w:r w:rsidRPr="00FC24F2">
        <w:rPr>
          <w:rFonts w:eastAsia="Calibri" w:cs="Times New Roman"/>
          <w:sz w:val="22"/>
          <w:lang w:val="fr-FR"/>
        </w:rPr>
        <w:t>FAO (2013) : Analyse des incitations et pénalisations pour le mil et le sorgho au Mali p.6 et 7</w:t>
      </w:r>
    </w:p>
    <w:p w14:paraId="15BCE180" w14:textId="77777777" w:rsidR="00ED07AD" w:rsidRPr="00FC24F2" w:rsidRDefault="00ED07AD" w:rsidP="00FC24F2">
      <w:pPr>
        <w:spacing w:after="160" w:line="259" w:lineRule="auto"/>
        <w:jc w:val="left"/>
        <w:rPr>
          <w:rFonts w:eastAsia="Calibri" w:cs="Times New Roman"/>
          <w:sz w:val="22"/>
          <w:lang w:val="fr-FR"/>
        </w:rPr>
      </w:pPr>
    </w:p>
    <w:p w14:paraId="0A239FE1" w14:textId="77777777" w:rsidR="00ED07AD" w:rsidRPr="00ED07AD" w:rsidRDefault="00ED07AD" w:rsidP="00A933B3">
      <w:pPr>
        <w:spacing w:after="200" w:line="276" w:lineRule="auto"/>
        <w:jc w:val="center"/>
        <w:rPr>
          <w:rFonts w:asciiTheme="minorHAnsi" w:eastAsiaTheme="minorHAnsi" w:hAnsiTheme="minorHAnsi"/>
          <w:sz w:val="22"/>
          <w:lang w:val="fr-FR"/>
        </w:rPr>
      </w:pPr>
      <w:r w:rsidRPr="00ED07AD">
        <w:rPr>
          <w:rFonts w:asciiTheme="minorHAnsi" w:eastAsiaTheme="minorHAnsi" w:hAnsiTheme="minorHAnsi"/>
          <w:noProof/>
          <w:sz w:val="22"/>
          <w:lang w:val="fr-FR" w:eastAsia="fr-FR"/>
        </w:rPr>
        <w:drawing>
          <wp:inline distT="0" distB="0" distL="0" distR="0" wp14:anchorId="0ADDEECC" wp14:editId="7F1EBDD4">
            <wp:extent cx="5760720" cy="1688832"/>
            <wp:effectExtent l="0" t="0" r="0" b="6985"/>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0720" cy="1688832"/>
                    </a:xfrm>
                    <a:prstGeom prst="rect">
                      <a:avLst/>
                    </a:prstGeom>
                    <a:noFill/>
                    <a:ln>
                      <a:noFill/>
                    </a:ln>
                  </pic:spPr>
                </pic:pic>
              </a:graphicData>
            </a:graphic>
          </wp:inline>
        </w:drawing>
      </w:r>
    </w:p>
    <w:p w14:paraId="13B92CF1" w14:textId="77777777" w:rsidR="00ED07AD" w:rsidRPr="00ED07AD" w:rsidRDefault="00ED07AD" w:rsidP="00ED07AD">
      <w:pPr>
        <w:spacing w:after="200" w:line="276" w:lineRule="auto"/>
        <w:jc w:val="left"/>
        <w:rPr>
          <w:rFonts w:eastAsiaTheme="minorHAnsi"/>
          <w:sz w:val="22"/>
          <w:lang w:val="fr-FR"/>
        </w:rPr>
      </w:pPr>
      <w:r w:rsidRPr="00ED07AD">
        <w:rPr>
          <w:rFonts w:eastAsiaTheme="minorHAnsi"/>
          <w:sz w:val="22"/>
          <w:lang w:val="fr-FR"/>
        </w:rPr>
        <w:t>Source : AEDD, 2018</w:t>
      </w:r>
    </w:p>
    <w:p w14:paraId="41FDE7DA" w14:textId="77777777" w:rsidR="00FC24F2" w:rsidRDefault="00ED07AD" w:rsidP="0097042E">
      <w:pPr>
        <w:spacing w:after="200" w:line="276" w:lineRule="auto"/>
        <w:jc w:val="center"/>
        <w:rPr>
          <w:rFonts w:eastAsiaTheme="majorEastAsia" w:cs="Arial"/>
          <w:b/>
          <w:bCs/>
          <w:color w:val="948A54" w:themeColor="background2" w:themeShade="80"/>
          <w:lang w:val="fr-FR"/>
        </w:rPr>
      </w:pPr>
      <w:r>
        <w:rPr>
          <w:noProof/>
          <w:lang w:val="fr-FR" w:eastAsia="fr-FR"/>
        </w:rPr>
        <w:drawing>
          <wp:inline distT="0" distB="0" distL="0" distR="0" wp14:anchorId="59657748" wp14:editId="249DFC5F">
            <wp:extent cx="6191250" cy="1496579"/>
            <wp:effectExtent l="0" t="0" r="0" b="889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01987" cy="1499174"/>
                    </a:xfrm>
                    <a:prstGeom prst="rect">
                      <a:avLst/>
                    </a:prstGeom>
                    <a:noFill/>
                    <a:ln>
                      <a:noFill/>
                    </a:ln>
                  </pic:spPr>
                </pic:pic>
              </a:graphicData>
            </a:graphic>
          </wp:inline>
        </w:drawing>
      </w:r>
    </w:p>
    <w:p w14:paraId="44B468EB" w14:textId="77777777" w:rsidR="00ED07AD" w:rsidRPr="00A933B3" w:rsidRDefault="00ED07AD">
      <w:pPr>
        <w:spacing w:after="200" w:line="276" w:lineRule="auto"/>
        <w:jc w:val="left"/>
        <w:rPr>
          <w:rFonts w:eastAsiaTheme="majorEastAsia" w:cs="Arial"/>
          <w:b/>
          <w:bCs/>
          <w:color w:val="948A54" w:themeColor="background2" w:themeShade="80"/>
          <w:sz w:val="22"/>
          <w:lang w:val="fr-FR"/>
        </w:rPr>
      </w:pPr>
      <w:r w:rsidRPr="00A933B3">
        <w:rPr>
          <w:sz w:val="22"/>
        </w:rPr>
        <w:t>Source : AEDD, 2018</w:t>
      </w:r>
      <w:r w:rsidRPr="00A933B3">
        <w:rPr>
          <w:sz w:val="22"/>
        </w:rPr>
        <w:br w:type="page"/>
      </w:r>
    </w:p>
    <w:p w14:paraId="5829C73A" w14:textId="77777777" w:rsidR="009A44F9" w:rsidRPr="00694053" w:rsidRDefault="003B087C" w:rsidP="00525222">
      <w:pPr>
        <w:pStyle w:val="Titre3"/>
      </w:pPr>
      <w:bookmarkStart w:id="127" w:name="_Toc20505710"/>
      <w:r w:rsidRPr="00BA1CEF">
        <w:lastRenderedPageBreak/>
        <w:t>7</w:t>
      </w:r>
      <w:r w:rsidR="009A44F9" w:rsidRPr="00BA1CEF">
        <w:t>.4.</w:t>
      </w:r>
      <w:r w:rsidR="0097042E" w:rsidRPr="00BA1CEF">
        <w:t>8</w:t>
      </w:r>
      <w:r w:rsidR="009A44F9" w:rsidRPr="00BA1CEF">
        <w:t xml:space="preserve"> </w:t>
      </w:r>
      <w:r w:rsidR="00C25FF8" w:rsidRPr="00BA1CEF">
        <w:t>Bois – Energie à Bamako</w:t>
      </w:r>
      <w:bookmarkEnd w:id="127"/>
      <w:r w:rsidR="00C25FF8" w:rsidRPr="00694053">
        <w:t xml:space="preserve"> </w:t>
      </w:r>
    </w:p>
    <w:p w14:paraId="55CCDD54" w14:textId="77777777" w:rsidR="00C25FF8" w:rsidRDefault="00C25FF8" w:rsidP="00C25FF8">
      <w:pPr>
        <w:spacing w:after="0" w:line="240" w:lineRule="auto"/>
        <w:jc w:val="left"/>
        <w:rPr>
          <w:rFonts w:eastAsiaTheme="minorHAnsi"/>
          <w:b/>
          <w:color w:val="C00000"/>
          <w:sz w:val="22"/>
          <w:lang w:val="fr-FR"/>
        </w:rPr>
      </w:pPr>
    </w:p>
    <w:p w14:paraId="2F53B084" w14:textId="77777777" w:rsidR="00C25FF8" w:rsidRPr="004B3056" w:rsidRDefault="00C25FF8" w:rsidP="00C25FF8">
      <w:pPr>
        <w:spacing w:after="0" w:line="240" w:lineRule="auto"/>
        <w:jc w:val="left"/>
        <w:rPr>
          <w:rFonts w:eastAsiaTheme="minorHAnsi"/>
          <w:b/>
          <w:sz w:val="22"/>
          <w:lang w:val="fr-FR"/>
        </w:rPr>
      </w:pPr>
      <w:r w:rsidRPr="004B3056">
        <w:rPr>
          <w:rFonts w:eastAsiaTheme="minorHAnsi"/>
          <w:b/>
          <w:sz w:val="22"/>
          <w:lang w:val="fr-FR"/>
        </w:rPr>
        <w:t>Projection de la demande de bois – énergie de la région de Bamako 1998 – 2025 (</w:t>
      </w:r>
      <w:r w:rsidR="00C116AE" w:rsidRPr="004B3056">
        <w:rPr>
          <w:rFonts w:eastAsiaTheme="minorHAnsi"/>
          <w:b/>
          <w:sz w:val="22"/>
          <w:lang w:val="fr-FR"/>
        </w:rPr>
        <w:t>t</w:t>
      </w:r>
      <w:r w:rsidRPr="004B3056">
        <w:rPr>
          <w:rFonts w:eastAsiaTheme="minorHAnsi"/>
          <w:b/>
          <w:sz w:val="22"/>
          <w:lang w:val="fr-FR"/>
        </w:rPr>
        <w:t>/an)</w:t>
      </w:r>
    </w:p>
    <w:p w14:paraId="38A778FE" w14:textId="77777777" w:rsidR="00C25FF8" w:rsidRPr="004B3056" w:rsidRDefault="00C25FF8" w:rsidP="00C25FF8">
      <w:pPr>
        <w:spacing w:after="0" w:line="240" w:lineRule="auto"/>
        <w:jc w:val="center"/>
        <w:rPr>
          <w:rFonts w:asciiTheme="minorHAnsi" w:eastAsiaTheme="minorHAnsi" w:hAnsiTheme="minorHAnsi"/>
          <w:sz w:val="22"/>
          <w:lang w:val="de-DE"/>
        </w:rPr>
      </w:pPr>
      <w:r w:rsidRPr="004B3056">
        <w:rPr>
          <w:rFonts w:asciiTheme="minorHAnsi" w:eastAsiaTheme="minorHAnsi" w:hAnsiTheme="minorHAnsi"/>
          <w:noProof/>
          <w:sz w:val="22"/>
          <w:lang w:val="fr-FR" w:eastAsia="fr-FR"/>
        </w:rPr>
        <w:drawing>
          <wp:inline distT="0" distB="0" distL="0" distR="0" wp14:anchorId="5BE77B9D" wp14:editId="5A7E0B3A">
            <wp:extent cx="6299200" cy="3402196"/>
            <wp:effectExtent l="0" t="0" r="6350" b="8255"/>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2">
                      <a:extLst>
                        <a:ext uri="{28A0092B-C50C-407E-A947-70E740481C1C}">
                          <a14:useLocalDpi xmlns:a14="http://schemas.microsoft.com/office/drawing/2010/main" val="0"/>
                        </a:ext>
                      </a:extLst>
                    </a:blip>
                    <a:srcRect l="2777" t="5703" r="13499"/>
                    <a:stretch/>
                  </pic:blipFill>
                  <pic:spPr bwMode="auto">
                    <a:xfrm>
                      <a:off x="0" y="0"/>
                      <a:ext cx="6300600" cy="3402952"/>
                    </a:xfrm>
                    <a:prstGeom prst="rect">
                      <a:avLst/>
                    </a:prstGeom>
                    <a:noFill/>
                    <a:ln>
                      <a:noFill/>
                    </a:ln>
                    <a:extLst>
                      <a:ext uri="{53640926-AAD7-44D8-BBD7-CCE9431645EC}">
                        <a14:shadowObscured xmlns:a14="http://schemas.microsoft.com/office/drawing/2010/main"/>
                      </a:ext>
                    </a:extLst>
                  </pic:spPr>
                </pic:pic>
              </a:graphicData>
            </a:graphic>
          </wp:inline>
        </w:drawing>
      </w:r>
    </w:p>
    <w:p w14:paraId="0BD9753A" w14:textId="77777777" w:rsidR="00C25FF8" w:rsidRPr="004B3056" w:rsidRDefault="00C25FF8" w:rsidP="00C25FF8">
      <w:pPr>
        <w:spacing w:after="0" w:line="240" w:lineRule="auto"/>
        <w:jc w:val="left"/>
        <w:rPr>
          <w:rFonts w:eastAsiaTheme="minorHAnsi"/>
          <w:b/>
          <w:noProof/>
          <w:sz w:val="22"/>
          <w:lang w:val="fr-FR" w:eastAsia="de-DE"/>
        </w:rPr>
      </w:pPr>
    </w:p>
    <w:p w14:paraId="3072FA74" w14:textId="77777777" w:rsidR="00C25FF8" w:rsidRPr="004B3056" w:rsidRDefault="00C25FF8" w:rsidP="00C25FF8">
      <w:pPr>
        <w:spacing w:after="0" w:line="240" w:lineRule="auto"/>
        <w:jc w:val="left"/>
        <w:rPr>
          <w:rFonts w:eastAsiaTheme="minorHAnsi"/>
          <w:b/>
          <w:noProof/>
          <w:sz w:val="22"/>
          <w:lang w:val="fr-FR" w:eastAsia="de-DE"/>
        </w:rPr>
      </w:pPr>
      <w:r w:rsidRPr="004B3056">
        <w:rPr>
          <w:rFonts w:eastAsiaTheme="minorHAnsi"/>
          <w:b/>
          <w:noProof/>
          <w:sz w:val="22"/>
          <w:lang w:val="fr-FR" w:eastAsia="de-DE"/>
        </w:rPr>
        <w:t>Activités économiques – Consommation moyenne en GJ/an</w:t>
      </w:r>
    </w:p>
    <w:p w14:paraId="45FEF973" w14:textId="77777777" w:rsidR="00C25FF8" w:rsidRPr="004B3056" w:rsidRDefault="00C25FF8" w:rsidP="00C25FF8">
      <w:pPr>
        <w:spacing w:after="0" w:line="240" w:lineRule="auto"/>
        <w:jc w:val="center"/>
        <w:rPr>
          <w:rFonts w:eastAsiaTheme="minorHAnsi"/>
          <w:sz w:val="20"/>
          <w:szCs w:val="20"/>
          <w:lang w:val="de-DE"/>
        </w:rPr>
      </w:pPr>
      <w:r w:rsidRPr="004B3056">
        <w:rPr>
          <w:rFonts w:asciiTheme="minorHAnsi" w:eastAsiaTheme="minorHAnsi" w:hAnsiTheme="minorHAnsi"/>
          <w:noProof/>
          <w:sz w:val="22"/>
          <w:lang w:val="fr-FR" w:eastAsia="fr-FR"/>
        </w:rPr>
        <w:drawing>
          <wp:inline distT="0" distB="0" distL="0" distR="0" wp14:anchorId="30819E11" wp14:editId="7799BE86">
            <wp:extent cx="6248799" cy="3822700"/>
            <wp:effectExtent l="0" t="0" r="0" b="635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3">
                      <a:extLst>
                        <a:ext uri="{28A0092B-C50C-407E-A947-70E740481C1C}">
                          <a14:useLocalDpi xmlns:a14="http://schemas.microsoft.com/office/drawing/2010/main" val="0"/>
                        </a:ext>
                      </a:extLst>
                    </a:blip>
                    <a:srcRect l="4843" t="6643" r="8805" b="5253"/>
                    <a:stretch/>
                  </pic:blipFill>
                  <pic:spPr bwMode="auto">
                    <a:xfrm>
                      <a:off x="0" y="0"/>
                      <a:ext cx="6265069" cy="3832653"/>
                    </a:xfrm>
                    <a:prstGeom prst="rect">
                      <a:avLst/>
                    </a:prstGeom>
                    <a:noFill/>
                    <a:ln>
                      <a:noFill/>
                    </a:ln>
                    <a:extLst>
                      <a:ext uri="{53640926-AAD7-44D8-BBD7-CCE9431645EC}">
                        <a14:shadowObscured xmlns:a14="http://schemas.microsoft.com/office/drawing/2010/main"/>
                      </a:ext>
                    </a:extLst>
                  </pic:spPr>
                </pic:pic>
              </a:graphicData>
            </a:graphic>
          </wp:inline>
        </w:drawing>
      </w:r>
    </w:p>
    <w:p w14:paraId="61B48B4A" w14:textId="77777777" w:rsidR="00C25FF8" w:rsidRPr="004B3056" w:rsidRDefault="00C25FF8" w:rsidP="00C25FF8">
      <w:pPr>
        <w:spacing w:after="0" w:line="240" w:lineRule="auto"/>
        <w:rPr>
          <w:rFonts w:asciiTheme="minorHAnsi" w:eastAsiaTheme="minorHAnsi" w:hAnsiTheme="minorHAnsi"/>
          <w:sz w:val="22"/>
          <w:lang w:val="fr-FR"/>
        </w:rPr>
      </w:pPr>
      <w:r w:rsidRPr="004B3056">
        <w:rPr>
          <w:rFonts w:eastAsiaTheme="minorHAnsi"/>
          <w:sz w:val="20"/>
          <w:szCs w:val="20"/>
          <w:lang w:val="fr-FR"/>
        </w:rPr>
        <w:t>Source: SDACD Bamako, 2017 (FONABES)</w:t>
      </w:r>
    </w:p>
    <w:p w14:paraId="66507FE8" w14:textId="77777777" w:rsidR="001D5713" w:rsidRDefault="003B087C" w:rsidP="00525222">
      <w:pPr>
        <w:pStyle w:val="Titre3"/>
      </w:pPr>
      <w:bookmarkStart w:id="128" w:name="_Toc20505711"/>
      <w:r>
        <w:lastRenderedPageBreak/>
        <w:t>7</w:t>
      </w:r>
      <w:r w:rsidR="001D5713" w:rsidRPr="00694053">
        <w:t>.4.</w:t>
      </w:r>
      <w:r w:rsidR="0097042E">
        <w:t>9</w:t>
      </w:r>
      <w:r w:rsidR="001D5713" w:rsidRPr="00694053">
        <w:t xml:space="preserve"> Emission GES et leurs sources</w:t>
      </w:r>
      <w:bookmarkEnd w:id="126"/>
      <w:bookmarkEnd w:id="128"/>
    </w:p>
    <w:p w14:paraId="3947C1F2" w14:textId="77777777" w:rsidR="001D5713" w:rsidRDefault="00392A4B" w:rsidP="00392A4B">
      <w:pPr>
        <w:tabs>
          <w:tab w:val="left" w:pos="5387"/>
        </w:tabs>
        <w:jc w:val="center"/>
        <w:rPr>
          <w:lang w:val="fr-FR"/>
        </w:rPr>
      </w:pPr>
      <w:r>
        <w:rPr>
          <w:noProof/>
          <w:lang w:val="fr-FR" w:eastAsia="fr-FR"/>
        </w:rPr>
        <w:drawing>
          <wp:inline distT="0" distB="0" distL="0" distR="0" wp14:anchorId="602F1E67" wp14:editId="0AAE3BD9">
            <wp:extent cx="5629275" cy="4267200"/>
            <wp:effectExtent l="0" t="0" r="9525" b="0"/>
            <wp:docPr id="4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629275" cy="4267200"/>
                    </a:xfrm>
                    <a:prstGeom prst="rect">
                      <a:avLst/>
                    </a:prstGeom>
                    <a:noFill/>
                    <a:ln>
                      <a:noFill/>
                    </a:ln>
                  </pic:spPr>
                </pic:pic>
              </a:graphicData>
            </a:graphic>
          </wp:inline>
        </w:drawing>
      </w:r>
    </w:p>
    <w:p w14:paraId="10E83284" w14:textId="77777777" w:rsidR="00392A4B" w:rsidRPr="00392A4B" w:rsidRDefault="00392A4B" w:rsidP="00392A4B">
      <w:pPr>
        <w:spacing w:after="200" w:line="276" w:lineRule="auto"/>
        <w:jc w:val="left"/>
        <w:rPr>
          <w:rFonts w:eastAsiaTheme="minorHAnsi"/>
          <w:sz w:val="22"/>
          <w:lang w:val="fr-FR"/>
        </w:rPr>
      </w:pPr>
      <w:r w:rsidRPr="00392A4B">
        <w:rPr>
          <w:rFonts w:eastAsiaTheme="minorHAnsi"/>
          <w:sz w:val="22"/>
          <w:lang w:val="fr-FR"/>
        </w:rPr>
        <w:t>Source: Troisième communication nationale du Mali à la CCNUCC, 2017</w:t>
      </w:r>
    </w:p>
    <w:p w14:paraId="36E69E03" w14:textId="77777777" w:rsidR="001D5713" w:rsidRDefault="001D5713" w:rsidP="001D5713">
      <w:pPr>
        <w:rPr>
          <w:lang w:val="fr-FR"/>
        </w:rPr>
      </w:pPr>
    </w:p>
    <w:p w14:paraId="4848AB70" w14:textId="77777777" w:rsidR="001D5713" w:rsidRDefault="0002771B" w:rsidP="001D5713">
      <w:pPr>
        <w:jc w:val="center"/>
        <w:rPr>
          <w:lang w:val="fr-FR"/>
        </w:rPr>
      </w:pPr>
      <w:r>
        <w:rPr>
          <w:noProof/>
          <w:lang w:val="fr-FR" w:eastAsia="fr-FR"/>
        </w:rPr>
        <w:drawing>
          <wp:inline distT="0" distB="0" distL="0" distR="0" wp14:anchorId="593AB2EC" wp14:editId="3BEEDF53">
            <wp:extent cx="4788021" cy="3004457"/>
            <wp:effectExtent l="0" t="0" r="0" b="5715"/>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780781" cy="2999914"/>
                    </a:xfrm>
                    <a:prstGeom prst="rect">
                      <a:avLst/>
                    </a:prstGeom>
                    <a:noFill/>
                    <a:ln>
                      <a:noFill/>
                    </a:ln>
                  </pic:spPr>
                </pic:pic>
              </a:graphicData>
            </a:graphic>
          </wp:inline>
        </w:drawing>
      </w:r>
    </w:p>
    <w:p w14:paraId="26E5B311" w14:textId="77777777" w:rsidR="001D5713" w:rsidRPr="0002771B" w:rsidRDefault="001D5713" w:rsidP="006B7180">
      <w:pPr>
        <w:spacing w:after="0" w:line="240" w:lineRule="auto"/>
        <w:rPr>
          <w:sz w:val="22"/>
          <w:lang w:val="fr-FR"/>
        </w:rPr>
      </w:pPr>
      <w:r w:rsidRPr="0002771B">
        <w:rPr>
          <w:sz w:val="22"/>
          <w:lang w:val="fr-FR"/>
        </w:rPr>
        <w:t>Source</w:t>
      </w:r>
      <w:r w:rsidR="0011274B" w:rsidRPr="0002771B">
        <w:rPr>
          <w:sz w:val="22"/>
          <w:lang w:val="fr-FR"/>
        </w:rPr>
        <w:t> </w:t>
      </w:r>
      <w:r w:rsidR="0002771B" w:rsidRPr="0002771B">
        <w:rPr>
          <w:sz w:val="22"/>
          <w:lang w:val="fr-FR"/>
        </w:rPr>
        <w:t>: : Troisième communication nationale du Mali à la CCNUCC, 2017</w:t>
      </w:r>
    </w:p>
    <w:p w14:paraId="551362AC" w14:textId="77777777" w:rsidR="00C31F8E" w:rsidRDefault="00C31F8E">
      <w:pPr>
        <w:rPr>
          <w:rFonts w:cs="Arial"/>
          <w:sz w:val="20"/>
          <w:szCs w:val="20"/>
          <w:lang w:val="fr-FR"/>
        </w:rPr>
      </w:pPr>
      <w:r>
        <w:rPr>
          <w:rFonts w:cs="Arial"/>
          <w:sz w:val="20"/>
          <w:szCs w:val="20"/>
          <w:lang w:val="fr-FR"/>
        </w:rPr>
        <w:br w:type="page"/>
      </w:r>
    </w:p>
    <w:p w14:paraId="63BD55F8" w14:textId="77777777" w:rsidR="00C31F8E" w:rsidRPr="00C31F8E" w:rsidRDefault="003B087C" w:rsidP="00525222">
      <w:pPr>
        <w:pStyle w:val="Titre3"/>
      </w:pPr>
      <w:bookmarkStart w:id="129" w:name="_Toc393900324"/>
      <w:bookmarkStart w:id="130" w:name="_Toc20505712"/>
      <w:r w:rsidRPr="00BA1CEF">
        <w:lastRenderedPageBreak/>
        <w:t>7</w:t>
      </w:r>
      <w:r w:rsidR="00C31F8E" w:rsidRPr="00BA1CEF">
        <w:t>.4.</w:t>
      </w:r>
      <w:r w:rsidR="004131DC" w:rsidRPr="00BA1CEF">
        <w:t>10</w:t>
      </w:r>
      <w:r w:rsidR="00C31F8E" w:rsidRPr="00BA1CEF">
        <w:t xml:space="preserve"> Top</w:t>
      </w:r>
      <w:r w:rsidR="00115915" w:rsidRPr="00BA1CEF">
        <w:t xml:space="preserve"> </w:t>
      </w:r>
      <w:r w:rsidR="00C31F8E" w:rsidRPr="00BA1CEF">
        <w:t>T</w:t>
      </w:r>
      <w:r w:rsidR="00115915" w:rsidRPr="00BA1CEF">
        <w:t>welve</w:t>
      </w:r>
      <w:r w:rsidR="00C31F8E" w:rsidRPr="00BA1CEF">
        <w:t xml:space="preserve"> catastrophes naturelles (1900 – 201</w:t>
      </w:r>
      <w:r w:rsidR="00BD66A3" w:rsidRPr="00BA1CEF">
        <w:t>7</w:t>
      </w:r>
      <w:r w:rsidR="00C31F8E" w:rsidRPr="00BA1CEF">
        <w:t>) du Mali</w:t>
      </w:r>
      <w:bookmarkEnd w:id="129"/>
      <w:bookmarkEnd w:id="130"/>
    </w:p>
    <w:p w14:paraId="7198041A" w14:textId="77777777" w:rsidR="00C31F8E" w:rsidRPr="00C31F8E" w:rsidRDefault="00C31F8E" w:rsidP="00C31F8E">
      <w:pPr>
        <w:spacing w:after="0" w:line="240" w:lineRule="auto"/>
        <w:rPr>
          <w:lang w:val="fr-FR"/>
        </w:rPr>
      </w:pPr>
    </w:p>
    <w:tbl>
      <w:tblPr>
        <w:tblW w:w="4438" w:type="pct"/>
        <w:tblInd w:w="354" w:type="dxa"/>
        <w:tblCellMar>
          <w:left w:w="70" w:type="dxa"/>
          <w:right w:w="70" w:type="dxa"/>
        </w:tblCellMar>
        <w:tblLook w:val="04A0" w:firstRow="1" w:lastRow="0" w:firstColumn="1" w:lastColumn="0" w:noHBand="0" w:noVBand="1"/>
      </w:tblPr>
      <w:tblGrid>
        <w:gridCol w:w="2410"/>
        <w:gridCol w:w="2616"/>
        <w:gridCol w:w="3904"/>
      </w:tblGrid>
      <w:tr w:rsidR="00C31F8E" w:rsidRPr="00E66053" w14:paraId="19C00BFA" w14:textId="77777777" w:rsidTr="00CD4666">
        <w:trPr>
          <w:trHeight w:val="300"/>
        </w:trPr>
        <w:tc>
          <w:tcPr>
            <w:tcW w:w="1349" w:type="pct"/>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6FE240B2" w14:textId="77777777" w:rsidR="00C31F8E" w:rsidRPr="001C10D2" w:rsidRDefault="00C31F8E" w:rsidP="00431E0D">
            <w:pPr>
              <w:spacing w:after="0" w:line="240" w:lineRule="auto"/>
              <w:rPr>
                <w:rFonts w:eastAsia="Times New Roman" w:cs="Arial"/>
                <w:b/>
                <w:color w:val="000000"/>
                <w:sz w:val="20"/>
                <w:szCs w:val="20"/>
                <w:lang w:val="fr-FR"/>
              </w:rPr>
            </w:pPr>
            <w:r w:rsidRPr="0063677D">
              <w:rPr>
                <w:rFonts w:eastAsia="Times New Roman" w:cs="Arial"/>
                <w:b/>
                <w:color w:val="000000"/>
                <w:sz w:val="20"/>
                <w:szCs w:val="20"/>
                <w:lang w:val="fr-FR"/>
              </w:rPr>
              <w:t>Catastrophe</w:t>
            </w:r>
          </w:p>
        </w:tc>
        <w:tc>
          <w:tcPr>
            <w:tcW w:w="1465" w:type="pct"/>
            <w:tcBorders>
              <w:top w:val="single" w:sz="4" w:space="0" w:color="000000"/>
              <w:left w:val="nil"/>
              <w:bottom w:val="single" w:sz="4" w:space="0" w:color="000000"/>
              <w:right w:val="single" w:sz="4" w:space="0" w:color="000000"/>
            </w:tcBorders>
            <w:shd w:val="clear" w:color="auto" w:fill="auto"/>
            <w:vAlign w:val="bottom"/>
            <w:hideMark/>
          </w:tcPr>
          <w:p w14:paraId="55D8D231" w14:textId="77777777" w:rsidR="00C31F8E" w:rsidRPr="001C10D2" w:rsidRDefault="00C31F8E" w:rsidP="00431E0D">
            <w:pPr>
              <w:spacing w:after="0" w:line="240" w:lineRule="auto"/>
              <w:rPr>
                <w:rFonts w:eastAsia="Times New Roman" w:cs="Arial"/>
                <w:b/>
                <w:color w:val="000000"/>
                <w:sz w:val="20"/>
                <w:szCs w:val="20"/>
                <w:lang w:val="fr-FR"/>
              </w:rPr>
            </w:pPr>
            <w:r w:rsidRPr="001C10D2">
              <w:rPr>
                <w:rFonts w:eastAsia="Times New Roman" w:cs="Arial"/>
                <w:b/>
                <w:color w:val="000000"/>
                <w:sz w:val="20"/>
                <w:szCs w:val="20"/>
                <w:lang w:val="fr-FR"/>
              </w:rPr>
              <w:t>Date</w:t>
            </w:r>
            <w:r w:rsidR="00FE3DC8">
              <w:rPr>
                <w:rFonts w:eastAsia="Times New Roman" w:cs="Arial"/>
                <w:b/>
                <w:color w:val="000000"/>
                <w:sz w:val="20"/>
                <w:szCs w:val="20"/>
                <w:lang w:val="fr-FR"/>
              </w:rPr>
              <w:t>*</w:t>
            </w:r>
          </w:p>
        </w:tc>
        <w:tc>
          <w:tcPr>
            <w:tcW w:w="2186" w:type="pct"/>
            <w:tcBorders>
              <w:top w:val="single" w:sz="4" w:space="0" w:color="000000"/>
              <w:left w:val="nil"/>
              <w:bottom w:val="single" w:sz="4" w:space="0" w:color="000000"/>
              <w:right w:val="single" w:sz="4" w:space="0" w:color="000000"/>
            </w:tcBorders>
            <w:shd w:val="clear" w:color="auto" w:fill="auto"/>
            <w:vAlign w:val="bottom"/>
            <w:hideMark/>
          </w:tcPr>
          <w:p w14:paraId="7A04806F" w14:textId="77777777" w:rsidR="00C31F8E" w:rsidRPr="001C10D2" w:rsidRDefault="00C31F8E" w:rsidP="00431E0D">
            <w:pPr>
              <w:spacing w:after="0" w:line="240" w:lineRule="auto"/>
              <w:rPr>
                <w:rFonts w:eastAsia="Times New Roman" w:cs="Arial"/>
                <w:b/>
                <w:color w:val="000000"/>
                <w:sz w:val="20"/>
                <w:szCs w:val="20"/>
                <w:lang w:val="fr-FR"/>
              </w:rPr>
            </w:pPr>
            <w:r w:rsidRPr="0063677D">
              <w:rPr>
                <w:rFonts w:eastAsia="Times New Roman" w:cs="Arial"/>
                <w:b/>
                <w:color w:val="000000"/>
                <w:sz w:val="20"/>
                <w:szCs w:val="20"/>
                <w:lang w:val="fr-FR"/>
              </w:rPr>
              <w:t>Nombre t</w:t>
            </w:r>
            <w:r w:rsidRPr="001C10D2">
              <w:rPr>
                <w:rFonts w:eastAsia="Times New Roman" w:cs="Arial"/>
                <w:b/>
                <w:color w:val="000000"/>
                <w:sz w:val="20"/>
                <w:szCs w:val="20"/>
                <w:lang w:val="fr-FR"/>
              </w:rPr>
              <w:t xml:space="preserve">otal </w:t>
            </w:r>
            <w:r w:rsidRPr="0063677D">
              <w:rPr>
                <w:rFonts w:eastAsia="Times New Roman" w:cs="Arial"/>
                <w:b/>
                <w:color w:val="000000"/>
                <w:sz w:val="20"/>
                <w:szCs w:val="20"/>
                <w:lang w:val="fr-FR"/>
              </w:rPr>
              <w:t>des personnes affectées</w:t>
            </w:r>
          </w:p>
        </w:tc>
      </w:tr>
      <w:tr w:rsidR="00C31F8E" w:rsidRPr="00C31F8E" w14:paraId="6BF5F5FD" w14:textId="77777777" w:rsidTr="00CD4666">
        <w:trPr>
          <w:trHeight w:val="300"/>
        </w:trPr>
        <w:tc>
          <w:tcPr>
            <w:tcW w:w="1349" w:type="pct"/>
            <w:tcBorders>
              <w:top w:val="nil"/>
              <w:left w:val="single" w:sz="4" w:space="0" w:color="000000"/>
              <w:bottom w:val="single" w:sz="4" w:space="0" w:color="000000"/>
              <w:right w:val="single" w:sz="4" w:space="0" w:color="000000"/>
            </w:tcBorders>
            <w:shd w:val="clear" w:color="auto" w:fill="auto"/>
            <w:vAlign w:val="bottom"/>
            <w:hideMark/>
          </w:tcPr>
          <w:p w14:paraId="77982DCA" w14:textId="77777777" w:rsidR="00C31F8E" w:rsidRPr="001C10D2" w:rsidRDefault="00C319C1" w:rsidP="00431E0D">
            <w:pPr>
              <w:spacing w:after="0" w:line="240" w:lineRule="auto"/>
              <w:rPr>
                <w:rFonts w:eastAsia="Times New Roman" w:cs="Arial"/>
                <w:color w:val="000000"/>
                <w:sz w:val="20"/>
                <w:szCs w:val="20"/>
                <w:lang w:val="fr-FR"/>
              </w:rPr>
            </w:pPr>
            <w:r>
              <w:rPr>
                <w:rFonts w:eastAsia="Times New Roman" w:cs="Arial"/>
                <w:color w:val="000000"/>
                <w:sz w:val="20"/>
                <w:szCs w:val="20"/>
                <w:lang w:val="fr-FR"/>
              </w:rPr>
              <w:t>S</w:t>
            </w:r>
            <w:r w:rsidR="00C31F8E" w:rsidRPr="0063677D">
              <w:rPr>
                <w:rFonts w:eastAsia="Times New Roman" w:cs="Arial"/>
                <w:color w:val="000000"/>
                <w:sz w:val="20"/>
                <w:szCs w:val="20"/>
                <w:lang w:val="fr-FR"/>
              </w:rPr>
              <w:t>écheresse</w:t>
            </w:r>
          </w:p>
        </w:tc>
        <w:tc>
          <w:tcPr>
            <w:tcW w:w="1465" w:type="pct"/>
            <w:tcBorders>
              <w:top w:val="nil"/>
              <w:left w:val="nil"/>
              <w:bottom w:val="single" w:sz="4" w:space="0" w:color="000000"/>
              <w:right w:val="single" w:sz="4" w:space="0" w:color="000000"/>
            </w:tcBorders>
            <w:shd w:val="clear" w:color="auto" w:fill="auto"/>
            <w:vAlign w:val="bottom"/>
            <w:hideMark/>
          </w:tcPr>
          <w:p w14:paraId="24219286" w14:textId="77777777" w:rsidR="00C31F8E" w:rsidRPr="001C10D2" w:rsidRDefault="00C31F8E" w:rsidP="00431E0D">
            <w:pPr>
              <w:spacing w:after="0" w:line="240" w:lineRule="auto"/>
              <w:jc w:val="right"/>
              <w:rPr>
                <w:rFonts w:eastAsia="Times New Roman" w:cs="Arial"/>
                <w:color w:val="000000"/>
                <w:sz w:val="20"/>
                <w:szCs w:val="20"/>
                <w:lang w:val="fr-FR"/>
              </w:rPr>
            </w:pPr>
            <w:r w:rsidRPr="001C10D2">
              <w:rPr>
                <w:rFonts w:eastAsia="Times New Roman" w:cs="Arial"/>
                <w:color w:val="000000"/>
                <w:sz w:val="20"/>
                <w:szCs w:val="20"/>
                <w:lang w:val="fr-FR"/>
              </w:rPr>
              <w:t>2011</w:t>
            </w:r>
          </w:p>
        </w:tc>
        <w:tc>
          <w:tcPr>
            <w:tcW w:w="2186" w:type="pct"/>
            <w:tcBorders>
              <w:top w:val="nil"/>
              <w:left w:val="nil"/>
              <w:bottom w:val="single" w:sz="4" w:space="0" w:color="000000"/>
              <w:right w:val="single" w:sz="4" w:space="0" w:color="000000"/>
            </w:tcBorders>
            <w:shd w:val="clear" w:color="auto" w:fill="auto"/>
            <w:vAlign w:val="bottom"/>
            <w:hideMark/>
          </w:tcPr>
          <w:p w14:paraId="36FEE723" w14:textId="77777777" w:rsidR="00C31F8E" w:rsidRPr="001C10D2" w:rsidRDefault="00C31F8E" w:rsidP="00431E0D">
            <w:pPr>
              <w:spacing w:after="0" w:line="240" w:lineRule="auto"/>
              <w:jc w:val="right"/>
              <w:rPr>
                <w:rFonts w:eastAsia="Times New Roman" w:cs="Arial"/>
                <w:color w:val="000000"/>
                <w:sz w:val="20"/>
                <w:szCs w:val="20"/>
                <w:lang w:val="fr-FR"/>
              </w:rPr>
            </w:pPr>
            <w:r w:rsidRPr="001C10D2">
              <w:rPr>
                <w:rFonts w:eastAsia="Times New Roman" w:cs="Arial"/>
                <w:color w:val="000000"/>
                <w:sz w:val="20"/>
                <w:szCs w:val="20"/>
                <w:lang w:val="fr-FR"/>
              </w:rPr>
              <w:t>3</w:t>
            </w:r>
            <w:r w:rsidR="00A040B8">
              <w:rPr>
                <w:rFonts w:eastAsia="Times New Roman" w:cs="Arial"/>
                <w:color w:val="000000"/>
                <w:sz w:val="20"/>
                <w:szCs w:val="20"/>
                <w:lang w:val="fr-FR"/>
              </w:rPr>
              <w:t>.</w:t>
            </w:r>
            <w:r w:rsidRPr="001C10D2">
              <w:rPr>
                <w:rFonts w:eastAsia="Times New Roman" w:cs="Arial"/>
                <w:color w:val="000000"/>
                <w:sz w:val="20"/>
                <w:szCs w:val="20"/>
                <w:lang w:val="fr-FR"/>
              </w:rPr>
              <w:t>500</w:t>
            </w:r>
            <w:r w:rsidR="00A040B8">
              <w:rPr>
                <w:rFonts w:eastAsia="Times New Roman" w:cs="Arial"/>
                <w:color w:val="000000"/>
                <w:sz w:val="20"/>
                <w:szCs w:val="20"/>
                <w:lang w:val="fr-FR"/>
              </w:rPr>
              <w:t>.</w:t>
            </w:r>
            <w:r w:rsidRPr="001C10D2">
              <w:rPr>
                <w:rFonts w:eastAsia="Times New Roman" w:cs="Arial"/>
                <w:color w:val="000000"/>
                <w:sz w:val="20"/>
                <w:szCs w:val="20"/>
                <w:lang w:val="fr-FR"/>
              </w:rPr>
              <w:t>000</w:t>
            </w:r>
          </w:p>
        </w:tc>
      </w:tr>
      <w:tr w:rsidR="00C31F8E" w:rsidRPr="00C31F8E" w14:paraId="06E97BBC" w14:textId="77777777" w:rsidTr="00CD4666">
        <w:trPr>
          <w:trHeight w:val="300"/>
        </w:trPr>
        <w:tc>
          <w:tcPr>
            <w:tcW w:w="1349" w:type="pct"/>
            <w:tcBorders>
              <w:top w:val="nil"/>
              <w:left w:val="single" w:sz="4" w:space="0" w:color="000000"/>
              <w:bottom w:val="single" w:sz="4" w:space="0" w:color="000000"/>
              <w:right w:val="single" w:sz="4" w:space="0" w:color="000000"/>
            </w:tcBorders>
            <w:shd w:val="clear" w:color="auto" w:fill="auto"/>
            <w:vAlign w:val="bottom"/>
            <w:hideMark/>
          </w:tcPr>
          <w:p w14:paraId="55EAE7AA" w14:textId="77777777" w:rsidR="00C31F8E" w:rsidRPr="001C10D2" w:rsidRDefault="00C319C1" w:rsidP="00431E0D">
            <w:pPr>
              <w:spacing w:after="0" w:line="240" w:lineRule="auto"/>
              <w:rPr>
                <w:rFonts w:eastAsia="Times New Roman" w:cs="Arial"/>
                <w:color w:val="000000"/>
                <w:sz w:val="20"/>
                <w:szCs w:val="20"/>
                <w:lang w:val="fr-FR"/>
              </w:rPr>
            </w:pPr>
            <w:r>
              <w:rPr>
                <w:rFonts w:eastAsia="Times New Roman" w:cs="Arial"/>
                <w:color w:val="000000"/>
                <w:sz w:val="20"/>
                <w:szCs w:val="20"/>
                <w:lang w:val="fr-FR"/>
              </w:rPr>
              <w:t>S</w:t>
            </w:r>
            <w:r w:rsidR="00C31F8E" w:rsidRPr="0063677D">
              <w:rPr>
                <w:rFonts w:eastAsia="Times New Roman" w:cs="Arial"/>
                <w:color w:val="000000"/>
                <w:sz w:val="20"/>
                <w:szCs w:val="20"/>
                <w:lang w:val="fr-FR"/>
              </w:rPr>
              <w:t>écheresse</w:t>
            </w:r>
          </w:p>
        </w:tc>
        <w:tc>
          <w:tcPr>
            <w:tcW w:w="1465" w:type="pct"/>
            <w:tcBorders>
              <w:top w:val="nil"/>
              <w:left w:val="nil"/>
              <w:bottom w:val="single" w:sz="4" w:space="0" w:color="000000"/>
              <w:right w:val="single" w:sz="4" w:space="0" w:color="000000"/>
            </w:tcBorders>
            <w:shd w:val="clear" w:color="auto" w:fill="auto"/>
            <w:vAlign w:val="bottom"/>
            <w:hideMark/>
          </w:tcPr>
          <w:p w14:paraId="2FC64F3B" w14:textId="77777777" w:rsidR="00C31F8E" w:rsidRPr="001C10D2" w:rsidRDefault="00261BF0" w:rsidP="00431E0D">
            <w:pPr>
              <w:spacing w:after="0" w:line="240" w:lineRule="auto"/>
              <w:jc w:val="right"/>
              <w:rPr>
                <w:rFonts w:eastAsia="Times New Roman" w:cs="Arial"/>
                <w:color w:val="000000"/>
                <w:sz w:val="20"/>
                <w:szCs w:val="20"/>
                <w:lang w:val="fr-FR"/>
              </w:rPr>
            </w:pPr>
            <w:r>
              <w:rPr>
                <w:rFonts w:eastAsia="Times New Roman" w:cs="Arial"/>
                <w:color w:val="000000"/>
                <w:sz w:val="20"/>
                <w:szCs w:val="20"/>
                <w:lang w:val="fr-FR"/>
              </w:rPr>
              <w:t>19</w:t>
            </w:r>
            <w:r w:rsidR="00C31F8E" w:rsidRPr="001C10D2">
              <w:rPr>
                <w:rFonts w:eastAsia="Times New Roman" w:cs="Arial"/>
                <w:color w:val="000000"/>
                <w:sz w:val="20"/>
                <w:szCs w:val="20"/>
                <w:lang w:val="fr-FR"/>
              </w:rPr>
              <w:t>80</w:t>
            </w:r>
          </w:p>
        </w:tc>
        <w:tc>
          <w:tcPr>
            <w:tcW w:w="2186" w:type="pct"/>
            <w:tcBorders>
              <w:top w:val="nil"/>
              <w:left w:val="nil"/>
              <w:bottom w:val="single" w:sz="4" w:space="0" w:color="000000"/>
              <w:right w:val="single" w:sz="4" w:space="0" w:color="000000"/>
            </w:tcBorders>
            <w:shd w:val="clear" w:color="auto" w:fill="auto"/>
            <w:vAlign w:val="bottom"/>
            <w:hideMark/>
          </w:tcPr>
          <w:p w14:paraId="65DA688B" w14:textId="77777777" w:rsidR="00C31F8E" w:rsidRPr="001C10D2" w:rsidRDefault="00C31F8E" w:rsidP="00431E0D">
            <w:pPr>
              <w:spacing w:after="0" w:line="240" w:lineRule="auto"/>
              <w:jc w:val="right"/>
              <w:rPr>
                <w:rFonts w:eastAsia="Times New Roman" w:cs="Arial"/>
                <w:color w:val="000000"/>
                <w:sz w:val="20"/>
                <w:szCs w:val="20"/>
                <w:lang w:val="fr-FR"/>
              </w:rPr>
            </w:pPr>
            <w:r w:rsidRPr="001C10D2">
              <w:rPr>
                <w:rFonts w:eastAsia="Times New Roman" w:cs="Arial"/>
                <w:color w:val="000000"/>
                <w:sz w:val="20"/>
                <w:szCs w:val="20"/>
                <w:lang w:val="fr-FR"/>
              </w:rPr>
              <w:t>1</w:t>
            </w:r>
            <w:r w:rsidR="00A040B8">
              <w:rPr>
                <w:rFonts w:eastAsia="Times New Roman" w:cs="Arial"/>
                <w:color w:val="000000"/>
                <w:sz w:val="20"/>
                <w:szCs w:val="20"/>
                <w:lang w:val="fr-FR"/>
              </w:rPr>
              <w:t>.</w:t>
            </w:r>
            <w:r w:rsidRPr="001C10D2">
              <w:rPr>
                <w:rFonts w:eastAsia="Times New Roman" w:cs="Arial"/>
                <w:color w:val="000000"/>
                <w:sz w:val="20"/>
                <w:szCs w:val="20"/>
                <w:lang w:val="fr-FR"/>
              </w:rPr>
              <w:t>500</w:t>
            </w:r>
            <w:r w:rsidR="00A040B8">
              <w:rPr>
                <w:rFonts w:eastAsia="Times New Roman" w:cs="Arial"/>
                <w:color w:val="000000"/>
                <w:sz w:val="20"/>
                <w:szCs w:val="20"/>
                <w:lang w:val="fr-FR"/>
              </w:rPr>
              <w:t>.</w:t>
            </w:r>
            <w:r w:rsidRPr="001C10D2">
              <w:rPr>
                <w:rFonts w:eastAsia="Times New Roman" w:cs="Arial"/>
                <w:color w:val="000000"/>
                <w:sz w:val="20"/>
                <w:szCs w:val="20"/>
                <w:lang w:val="fr-FR"/>
              </w:rPr>
              <w:t>000</w:t>
            </w:r>
          </w:p>
        </w:tc>
      </w:tr>
      <w:tr w:rsidR="00C31F8E" w:rsidRPr="0063677D" w14:paraId="1687177B" w14:textId="77777777" w:rsidTr="00CD4666">
        <w:trPr>
          <w:trHeight w:val="300"/>
        </w:trPr>
        <w:tc>
          <w:tcPr>
            <w:tcW w:w="1349" w:type="pct"/>
            <w:tcBorders>
              <w:top w:val="nil"/>
              <w:left w:val="single" w:sz="4" w:space="0" w:color="000000"/>
              <w:bottom w:val="single" w:sz="4" w:space="0" w:color="000000"/>
              <w:right w:val="single" w:sz="4" w:space="0" w:color="000000"/>
            </w:tcBorders>
            <w:shd w:val="clear" w:color="auto" w:fill="auto"/>
            <w:vAlign w:val="bottom"/>
            <w:hideMark/>
          </w:tcPr>
          <w:p w14:paraId="463C899A" w14:textId="77777777" w:rsidR="00C31F8E" w:rsidRPr="001C10D2" w:rsidRDefault="00C319C1" w:rsidP="00431E0D">
            <w:pPr>
              <w:spacing w:after="0" w:line="240" w:lineRule="auto"/>
              <w:rPr>
                <w:rFonts w:eastAsia="Times New Roman" w:cs="Arial"/>
                <w:color w:val="000000"/>
                <w:sz w:val="20"/>
                <w:szCs w:val="20"/>
                <w:lang w:val="fr-FR"/>
              </w:rPr>
            </w:pPr>
            <w:r>
              <w:rPr>
                <w:rFonts w:eastAsia="Times New Roman" w:cs="Arial"/>
                <w:color w:val="000000"/>
                <w:sz w:val="20"/>
                <w:szCs w:val="20"/>
                <w:lang w:val="fr-FR"/>
              </w:rPr>
              <w:t>S</w:t>
            </w:r>
            <w:r w:rsidR="00C31F8E" w:rsidRPr="0063677D">
              <w:rPr>
                <w:rFonts w:eastAsia="Times New Roman" w:cs="Arial"/>
                <w:color w:val="000000"/>
                <w:sz w:val="20"/>
                <w:szCs w:val="20"/>
                <w:lang w:val="fr-FR"/>
              </w:rPr>
              <w:t>écheresse</w:t>
            </w:r>
          </w:p>
        </w:tc>
        <w:tc>
          <w:tcPr>
            <w:tcW w:w="1465" w:type="pct"/>
            <w:tcBorders>
              <w:top w:val="nil"/>
              <w:left w:val="nil"/>
              <w:bottom w:val="single" w:sz="4" w:space="0" w:color="000000"/>
              <w:right w:val="single" w:sz="4" w:space="0" w:color="000000"/>
            </w:tcBorders>
            <w:shd w:val="clear" w:color="auto" w:fill="auto"/>
            <w:vAlign w:val="bottom"/>
            <w:hideMark/>
          </w:tcPr>
          <w:p w14:paraId="1B77BC87" w14:textId="77777777" w:rsidR="00C31F8E" w:rsidRPr="001C10D2" w:rsidRDefault="00C31F8E" w:rsidP="00431E0D">
            <w:pPr>
              <w:spacing w:after="0" w:line="240" w:lineRule="auto"/>
              <w:jc w:val="right"/>
              <w:rPr>
                <w:rFonts w:eastAsia="Times New Roman" w:cs="Arial"/>
                <w:color w:val="000000"/>
                <w:sz w:val="20"/>
                <w:szCs w:val="20"/>
                <w:lang w:val="fr-FR"/>
              </w:rPr>
            </w:pPr>
            <w:r w:rsidRPr="001C10D2">
              <w:rPr>
                <w:rFonts w:eastAsia="Times New Roman" w:cs="Arial"/>
                <w:color w:val="000000"/>
                <w:sz w:val="20"/>
                <w:szCs w:val="20"/>
                <w:lang w:val="fr-FR"/>
              </w:rPr>
              <w:t>2005</w:t>
            </w:r>
          </w:p>
        </w:tc>
        <w:tc>
          <w:tcPr>
            <w:tcW w:w="2186" w:type="pct"/>
            <w:tcBorders>
              <w:top w:val="nil"/>
              <w:left w:val="nil"/>
              <w:bottom w:val="single" w:sz="4" w:space="0" w:color="000000"/>
              <w:right w:val="single" w:sz="4" w:space="0" w:color="000000"/>
            </w:tcBorders>
            <w:shd w:val="clear" w:color="auto" w:fill="auto"/>
            <w:vAlign w:val="bottom"/>
            <w:hideMark/>
          </w:tcPr>
          <w:p w14:paraId="5B8849E1" w14:textId="77777777" w:rsidR="00C31F8E" w:rsidRPr="001C10D2" w:rsidRDefault="00C31F8E" w:rsidP="00431E0D">
            <w:pPr>
              <w:spacing w:after="0" w:line="240" w:lineRule="auto"/>
              <w:jc w:val="right"/>
              <w:rPr>
                <w:rFonts w:eastAsia="Times New Roman" w:cs="Arial"/>
                <w:color w:val="000000"/>
                <w:sz w:val="20"/>
                <w:szCs w:val="20"/>
                <w:lang w:val="fr-FR"/>
              </w:rPr>
            </w:pPr>
            <w:r w:rsidRPr="001C10D2">
              <w:rPr>
                <w:rFonts w:eastAsia="Times New Roman" w:cs="Arial"/>
                <w:color w:val="000000"/>
                <w:sz w:val="20"/>
                <w:szCs w:val="20"/>
                <w:lang w:val="fr-FR"/>
              </w:rPr>
              <w:t>1</w:t>
            </w:r>
            <w:r w:rsidR="00A040B8">
              <w:rPr>
                <w:rFonts w:eastAsia="Times New Roman" w:cs="Arial"/>
                <w:color w:val="000000"/>
                <w:sz w:val="20"/>
                <w:szCs w:val="20"/>
                <w:lang w:val="fr-FR"/>
              </w:rPr>
              <w:t>.</w:t>
            </w:r>
            <w:r w:rsidRPr="001C10D2">
              <w:rPr>
                <w:rFonts w:eastAsia="Times New Roman" w:cs="Arial"/>
                <w:color w:val="000000"/>
                <w:sz w:val="20"/>
                <w:szCs w:val="20"/>
                <w:lang w:val="fr-FR"/>
              </w:rPr>
              <w:t>000</w:t>
            </w:r>
            <w:r w:rsidR="00A040B8">
              <w:rPr>
                <w:rFonts w:eastAsia="Times New Roman" w:cs="Arial"/>
                <w:color w:val="000000"/>
                <w:sz w:val="20"/>
                <w:szCs w:val="20"/>
                <w:lang w:val="fr-FR"/>
              </w:rPr>
              <w:t>.</w:t>
            </w:r>
            <w:r w:rsidRPr="001C10D2">
              <w:rPr>
                <w:rFonts w:eastAsia="Times New Roman" w:cs="Arial"/>
                <w:color w:val="000000"/>
                <w:sz w:val="20"/>
                <w:szCs w:val="20"/>
                <w:lang w:val="fr-FR"/>
              </w:rPr>
              <w:t>000</w:t>
            </w:r>
          </w:p>
        </w:tc>
      </w:tr>
      <w:tr w:rsidR="00C31F8E" w:rsidRPr="0063677D" w14:paraId="2ABD61F5" w14:textId="77777777" w:rsidTr="00CD4666">
        <w:trPr>
          <w:trHeight w:val="300"/>
        </w:trPr>
        <w:tc>
          <w:tcPr>
            <w:tcW w:w="1349" w:type="pct"/>
            <w:tcBorders>
              <w:top w:val="nil"/>
              <w:left w:val="single" w:sz="4" w:space="0" w:color="000000"/>
              <w:bottom w:val="single" w:sz="4" w:space="0" w:color="000000"/>
              <w:right w:val="single" w:sz="4" w:space="0" w:color="000000"/>
            </w:tcBorders>
            <w:shd w:val="clear" w:color="auto" w:fill="auto"/>
            <w:vAlign w:val="bottom"/>
            <w:hideMark/>
          </w:tcPr>
          <w:p w14:paraId="579C7BE2" w14:textId="77777777" w:rsidR="00C31F8E" w:rsidRPr="001C10D2" w:rsidRDefault="00C319C1" w:rsidP="00431E0D">
            <w:pPr>
              <w:spacing w:after="0" w:line="240" w:lineRule="auto"/>
              <w:rPr>
                <w:rFonts w:eastAsia="Times New Roman" w:cs="Arial"/>
                <w:color w:val="000000"/>
                <w:sz w:val="20"/>
                <w:szCs w:val="20"/>
                <w:lang w:val="fr-FR"/>
              </w:rPr>
            </w:pPr>
            <w:r>
              <w:rPr>
                <w:rFonts w:eastAsia="Times New Roman" w:cs="Arial"/>
                <w:color w:val="000000"/>
                <w:sz w:val="20"/>
                <w:szCs w:val="20"/>
                <w:lang w:val="fr-FR"/>
              </w:rPr>
              <w:t>S</w:t>
            </w:r>
            <w:r w:rsidR="00C31F8E" w:rsidRPr="0063677D">
              <w:rPr>
                <w:rFonts w:eastAsia="Times New Roman" w:cs="Arial"/>
                <w:color w:val="000000"/>
                <w:sz w:val="20"/>
                <w:szCs w:val="20"/>
                <w:lang w:val="fr-FR"/>
              </w:rPr>
              <w:t>écheresse</w:t>
            </w:r>
          </w:p>
        </w:tc>
        <w:tc>
          <w:tcPr>
            <w:tcW w:w="1465" w:type="pct"/>
            <w:tcBorders>
              <w:top w:val="nil"/>
              <w:left w:val="nil"/>
              <w:bottom w:val="single" w:sz="4" w:space="0" w:color="000000"/>
              <w:right w:val="single" w:sz="4" w:space="0" w:color="000000"/>
            </w:tcBorders>
            <w:shd w:val="clear" w:color="auto" w:fill="auto"/>
            <w:vAlign w:val="bottom"/>
            <w:hideMark/>
          </w:tcPr>
          <w:p w14:paraId="294981C4" w14:textId="77777777" w:rsidR="00C31F8E" w:rsidRPr="001C10D2" w:rsidRDefault="00261BF0" w:rsidP="00431E0D">
            <w:pPr>
              <w:spacing w:after="0" w:line="240" w:lineRule="auto"/>
              <w:jc w:val="right"/>
              <w:rPr>
                <w:rFonts w:eastAsia="Times New Roman" w:cs="Arial"/>
                <w:color w:val="000000"/>
                <w:sz w:val="20"/>
                <w:szCs w:val="20"/>
                <w:lang w:val="fr-FR"/>
              </w:rPr>
            </w:pPr>
            <w:r>
              <w:rPr>
                <w:rFonts w:eastAsia="Times New Roman" w:cs="Arial"/>
                <w:color w:val="000000"/>
                <w:sz w:val="20"/>
                <w:szCs w:val="20"/>
                <w:lang w:val="fr-FR"/>
              </w:rPr>
              <w:t>20</w:t>
            </w:r>
            <w:r w:rsidR="00C31F8E" w:rsidRPr="001C10D2">
              <w:rPr>
                <w:rFonts w:eastAsia="Times New Roman" w:cs="Arial"/>
                <w:color w:val="000000"/>
                <w:sz w:val="20"/>
                <w:szCs w:val="20"/>
                <w:lang w:val="fr-FR"/>
              </w:rPr>
              <w:t>10</w:t>
            </w:r>
          </w:p>
        </w:tc>
        <w:tc>
          <w:tcPr>
            <w:tcW w:w="2186" w:type="pct"/>
            <w:tcBorders>
              <w:top w:val="nil"/>
              <w:left w:val="nil"/>
              <w:bottom w:val="single" w:sz="4" w:space="0" w:color="000000"/>
              <w:right w:val="single" w:sz="4" w:space="0" w:color="000000"/>
            </w:tcBorders>
            <w:shd w:val="clear" w:color="auto" w:fill="auto"/>
            <w:vAlign w:val="bottom"/>
            <w:hideMark/>
          </w:tcPr>
          <w:p w14:paraId="04040EEE" w14:textId="77777777" w:rsidR="00C31F8E" w:rsidRPr="001C10D2" w:rsidRDefault="00C31F8E" w:rsidP="00431E0D">
            <w:pPr>
              <w:spacing w:after="0" w:line="240" w:lineRule="auto"/>
              <w:jc w:val="right"/>
              <w:rPr>
                <w:rFonts w:eastAsia="Times New Roman" w:cs="Arial"/>
                <w:color w:val="000000"/>
                <w:sz w:val="20"/>
                <w:szCs w:val="20"/>
                <w:lang w:val="fr-FR"/>
              </w:rPr>
            </w:pPr>
            <w:r w:rsidRPr="001C10D2">
              <w:rPr>
                <w:rFonts w:eastAsia="Times New Roman" w:cs="Arial"/>
                <w:color w:val="000000"/>
                <w:sz w:val="20"/>
                <w:szCs w:val="20"/>
                <w:lang w:val="fr-FR"/>
              </w:rPr>
              <w:t>600</w:t>
            </w:r>
            <w:r w:rsidR="00A040B8">
              <w:rPr>
                <w:rFonts w:eastAsia="Times New Roman" w:cs="Arial"/>
                <w:color w:val="000000"/>
                <w:sz w:val="20"/>
                <w:szCs w:val="20"/>
                <w:lang w:val="fr-FR"/>
              </w:rPr>
              <w:t>.</w:t>
            </w:r>
            <w:r w:rsidRPr="001C10D2">
              <w:rPr>
                <w:rFonts w:eastAsia="Times New Roman" w:cs="Arial"/>
                <w:color w:val="000000"/>
                <w:sz w:val="20"/>
                <w:szCs w:val="20"/>
                <w:lang w:val="fr-FR"/>
              </w:rPr>
              <w:t>000</w:t>
            </w:r>
          </w:p>
        </w:tc>
      </w:tr>
      <w:tr w:rsidR="00C31F8E" w:rsidRPr="0063677D" w14:paraId="7DDB9D13" w14:textId="77777777" w:rsidTr="00CD4666">
        <w:trPr>
          <w:trHeight w:val="300"/>
        </w:trPr>
        <w:tc>
          <w:tcPr>
            <w:tcW w:w="1349" w:type="pct"/>
            <w:tcBorders>
              <w:top w:val="nil"/>
              <w:left w:val="single" w:sz="4" w:space="0" w:color="000000"/>
              <w:bottom w:val="single" w:sz="4" w:space="0" w:color="000000"/>
              <w:right w:val="single" w:sz="4" w:space="0" w:color="000000"/>
            </w:tcBorders>
            <w:shd w:val="clear" w:color="auto" w:fill="auto"/>
            <w:vAlign w:val="bottom"/>
            <w:hideMark/>
          </w:tcPr>
          <w:p w14:paraId="3E63AEE6" w14:textId="77777777" w:rsidR="00C31F8E" w:rsidRPr="001C10D2" w:rsidRDefault="00C319C1" w:rsidP="00431E0D">
            <w:pPr>
              <w:spacing w:after="0" w:line="240" w:lineRule="auto"/>
              <w:rPr>
                <w:rFonts w:eastAsia="Times New Roman" w:cs="Arial"/>
                <w:color w:val="000000"/>
                <w:sz w:val="20"/>
                <w:szCs w:val="20"/>
                <w:lang w:val="fr-FR"/>
              </w:rPr>
            </w:pPr>
            <w:r>
              <w:rPr>
                <w:rFonts w:eastAsia="Times New Roman" w:cs="Arial"/>
                <w:color w:val="000000"/>
                <w:sz w:val="20"/>
                <w:szCs w:val="20"/>
                <w:lang w:val="fr-FR"/>
              </w:rPr>
              <w:t>S</w:t>
            </w:r>
            <w:r w:rsidR="00C31F8E" w:rsidRPr="0063677D">
              <w:rPr>
                <w:rFonts w:eastAsia="Times New Roman" w:cs="Arial"/>
                <w:color w:val="000000"/>
                <w:sz w:val="20"/>
                <w:szCs w:val="20"/>
                <w:lang w:val="fr-FR"/>
              </w:rPr>
              <w:t>écheresse</w:t>
            </w:r>
          </w:p>
        </w:tc>
        <w:tc>
          <w:tcPr>
            <w:tcW w:w="1465" w:type="pct"/>
            <w:tcBorders>
              <w:top w:val="nil"/>
              <w:left w:val="nil"/>
              <w:bottom w:val="single" w:sz="4" w:space="0" w:color="000000"/>
              <w:right w:val="single" w:sz="4" w:space="0" w:color="000000"/>
            </w:tcBorders>
            <w:shd w:val="clear" w:color="auto" w:fill="auto"/>
            <w:vAlign w:val="bottom"/>
            <w:hideMark/>
          </w:tcPr>
          <w:p w14:paraId="11397E8E" w14:textId="77777777" w:rsidR="00C31F8E" w:rsidRPr="001C10D2" w:rsidRDefault="00261BF0" w:rsidP="00431E0D">
            <w:pPr>
              <w:spacing w:after="0" w:line="240" w:lineRule="auto"/>
              <w:jc w:val="right"/>
              <w:rPr>
                <w:rFonts w:eastAsia="Times New Roman" w:cs="Arial"/>
                <w:color w:val="000000"/>
                <w:sz w:val="20"/>
                <w:szCs w:val="20"/>
                <w:lang w:val="fr-FR"/>
              </w:rPr>
            </w:pPr>
            <w:r>
              <w:rPr>
                <w:rFonts w:eastAsia="Times New Roman" w:cs="Arial"/>
                <w:color w:val="000000"/>
                <w:sz w:val="20"/>
                <w:szCs w:val="20"/>
                <w:lang w:val="fr-FR"/>
              </w:rPr>
              <w:t>19</w:t>
            </w:r>
            <w:r w:rsidR="00C31F8E" w:rsidRPr="001C10D2">
              <w:rPr>
                <w:rFonts w:eastAsia="Times New Roman" w:cs="Arial"/>
                <w:color w:val="000000"/>
                <w:sz w:val="20"/>
                <w:szCs w:val="20"/>
                <w:lang w:val="fr-FR"/>
              </w:rPr>
              <w:t>91</w:t>
            </w:r>
          </w:p>
        </w:tc>
        <w:tc>
          <w:tcPr>
            <w:tcW w:w="2186" w:type="pct"/>
            <w:tcBorders>
              <w:top w:val="nil"/>
              <w:left w:val="nil"/>
              <w:bottom w:val="single" w:sz="4" w:space="0" w:color="000000"/>
              <w:right w:val="single" w:sz="4" w:space="0" w:color="000000"/>
            </w:tcBorders>
            <w:shd w:val="clear" w:color="auto" w:fill="auto"/>
            <w:vAlign w:val="bottom"/>
            <w:hideMark/>
          </w:tcPr>
          <w:p w14:paraId="65B8CE9F" w14:textId="77777777" w:rsidR="00C31F8E" w:rsidRPr="001C10D2" w:rsidRDefault="00C31F8E" w:rsidP="00431E0D">
            <w:pPr>
              <w:spacing w:after="0" w:line="240" w:lineRule="auto"/>
              <w:jc w:val="right"/>
              <w:rPr>
                <w:rFonts w:eastAsia="Times New Roman" w:cs="Arial"/>
                <w:color w:val="000000"/>
                <w:sz w:val="20"/>
                <w:szCs w:val="20"/>
                <w:lang w:val="fr-FR"/>
              </w:rPr>
            </w:pPr>
            <w:r w:rsidRPr="001C10D2">
              <w:rPr>
                <w:rFonts w:eastAsia="Times New Roman" w:cs="Arial"/>
                <w:color w:val="000000"/>
                <w:sz w:val="20"/>
                <w:szCs w:val="20"/>
                <w:lang w:val="fr-FR"/>
              </w:rPr>
              <w:t>302</w:t>
            </w:r>
            <w:r w:rsidR="00A040B8">
              <w:rPr>
                <w:rFonts w:eastAsia="Times New Roman" w:cs="Arial"/>
                <w:color w:val="000000"/>
                <w:sz w:val="20"/>
                <w:szCs w:val="20"/>
                <w:lang w:val="fr-FR"/>
              </w:rPr>
              <w:t>.</w:t>
            </w:r>
            <w:r w:rsidRPr="001C10D2">
              <w:rPr>
                <w:rFonts w:eastAsia="Times New Roman" w:cs="Arial"/>
                <w:color w:val="000000"/>
                <w:sz w:val="20"/>
                <w:szCs w:val="20"/>
                <w:lang w:val="fr-FR"/>
              </w:rPr>
              <w:t>000</w:t>
            </w:r>
          </w:p>
        </w:tc>
      </w:tr>
      <w:tr w:rsidR="002E4E04" w:rsidRPr="0063677D" w14:paraId="0CEB728A" w14:textId="77777777" w:rsidTr="00CD4666">
        <w:trPr>
          <w:trHeight w:val="300"/>
        </w:trPr>
        <w:tc>
          <w:tcPr>
            <w:tcW w:w="1349" w:type="pct"/>
            <w:tcBorders>
              <w:top w:val="nil"/>
              <w:left w:val="single" w:sz="4" w:space="0" w:color="000000"/>
              <w:bottom w:val="single" w:sz="4" w:space="0" w:color="000000"/>
              <w:right w:val="single" w:sz="4" w:space="0" w:color="000000"/>
            </w:tcBorders>
            <w:shd w:val="clear" w:color="auto" w:fill="auto"/>
            <w:vAlign w:val="bottom"/>
            <w:hideMark/>
          </w:tcPr>
          <w:p w14:paraId="6D25D0A5" w14:textId="77777777" w:rsidR="002E4E04" w:rsidRPr="001C10D2" w:rsidRDefault="002E4E04" w:rsidP="007236AB">
            <w:pPr>
              <w:spacing w:after="0" w:line="240" w:lineRule="auto"/>
              <w:rPr>
                <w:rFonts w:eastAsia="Times New Roman" w:cs="Arial"/>
                <w:color w:val="000000"/>
                <w:sz w:val="20"/>
                <w:szCs w:val="20"/>
                <w:lang w:val="fr-FR"/>
              </w:rPr>
            </w:pPr>
            <w:r>
              <w:rPr>
                <w:rFonts w:eastAsia="Times New Roman" w:cs="Arial"/>
                <w:color w:val="000000"/>
                <w:sz w:val="20"/>
                <w:szCs w:val="20"/>
                <w:lang w:val="fr-FR"/>
              </w:rPr>
              <w:t>S</w:t>
            </w:r>
            <w:r w:rsidRPr="0063677D">
              <w:rPr>
                <w:rFonts w:eastAsia="Times New Roman" w:cs="Arial"/>
                <w:color w:val="000000"/>
                <w:sz w:val="20"/>
                <w:szCs w:val="20"/>
                <w:lang w:val="fr-FR"/>
              </w:rPr>
              <w:t>écheresse</w:t>
            </w:r>
          </w:p>
        </w:tc>
        <w:tc>
          <w:tcPr>
            <w:tcW w:w="1465" w:type="pct"/>
            <w:tcBorders>
              <w:top w:val="nil"/>
              <w:left w:val="nil"/>
              <w:bottom w:val="single" w:sz="4" w:space="0" w:color="000000"/>
              <w:right w:val="single" w:sz="4" w:space="0" w:color="000000"/>
            </w:tcBorders>
            <w:shd w:val="clear" w:color="auto" w:fill="auto"/>
            <w:vAlign w:val="bottom"/>
            <w:hideMark/>
          </w:tcPr>
          <w:p w14:paraId="5EC235C3" w14:textId="77777777" w:rsidR="002E4E04" w:rsidRPr="001C10D2" w:rsidRDefault="002E4E04" w:rsidP="007236AB">
            <w:pPr>
              <w:spacing w:after="0" w:line="240" w:lineRule="auto"/>
              <w:jc w:val="right"/>
              <w:rPr>
                <w:rFonts w:eastAsia="Times New Roman" w:cs="Arial"/>
                <w:color w:val="000000"/>
                <w:sz w:val="20"/>
                <w:szCs w:val="20"/>
                <w:lang w:val="fr-FR"/>
              </w:rPr>
            </w:pPr>
            <w:r>
              <w:rPr>
                <w:rFonts w:eastAsia="Times New Roman" w:cs="Arial"/>
                <w:color w:val="000000"/>
                <w:sz w:val="20"/>
                <w:szCs w:val="20"/>
                <w:lang w:val="fr-FR"/>
              </w:rPr>
              <w:t>20</w:t>
            </w:r>
            <w:r w:rsidRPr="001C10D2">
              <w:rPr>
                <w:rFonts w:eastAsia="Times New Roman" w:cs="Arial"/>
                <w:color w:val="000000"/>
                <w:sz w:val="20"/>
                <w:szCs w:val="20"/>
                <w:lang w:val="fr-FR"/>
              </w:rPr>
              <w:t>06</w:t>
            </w:r>
          </w:p>
        </w:tc>
        <w:tc>
          <w:tcPr>
            <w:tcW w:w="2186" w:type="pct"/>
            <w:tcBorders>
              <w:top w:val="nil"/>
              <w:left w:val="nil"/>
              <w:bottom w:val="single" w:sz="4" w:space="0" w:color="000000"/>
              <w:right w:val="single" w:sz="4" w:space="0" w:color="000000"/>
            </w:tcBorders>
            <w:shd w:val="clear" w:color="auto" w:fill="auto"/>
            <w:vAlign w:val="bottom"/>
            <w:hideMark/>
          </w:tcPr>
          <w:p w14:paraId="5B95625D" w14:textId="77777777" w:rsidR="002E4E04" w:rsidRPr="001C10D2" w:rsidRDefault="002E4E04" w:rsidP="007236AB">
            <w:pPr>
              <w:spacing w:after="0" w:line="240" w:lineRule="auto"/>
              <w:jc w:val="right"/>
              <w:rPr>
                <w:rFonts w:eastAsia="Times New Roman" w:cs="Arial"/>
                <w:color w:val="000000"/>
                <w:sz w:val="20"/>
                <w:szCs w:val="20"/>
                <w:lang w:val="fr-FR"/>
              </w:rPr>
            </w:pPr>
            <w:r w:rsidRPr="001C10D2">
              <w:rPr>
                <w:rFonts w:eastAsia="Times New Roman" w:cs="Arial"/>
                <w:color w:val="000000"/>
                <w:sz w:val="20"/>
                <w:szCs w:val="20"/>
                <w:lang w:val="fr-FR"/>
              </w:rPr>
              <w:t>25</w:t>
            </w:r>
            <w:r>
              <w:rPr>
                <w:rFonts w:eastAsia="Times New Roman" w:cs="Arial"/>
                <w:color w:val="000000"/>
                <w:sz w:val="20"/>
                <w:szCs w:val="20"/>
                <w:lang w:val="fr-FR"/>
              </w:rPr>
              <w:t>.</w:t>
            </w:r>
            <w:r w:rsidRPr="001C10D2">
              <w:rPr>
                <w:rFonts w:eastAsia="Times New Roman" w:cs="Arial"/>
                <w:color w:val="000000"/>
                <w:sz w:val="20"/>
                <w:szCs w:val="20"/>
                <w:lang w:val="fr-FR"/>
              </w:rPr>
              <w:t>000</w:t>
            </w:r>
          </w:p>
        </w:tc>
      </w:tr>
      <w:tr w:rsidR="00C31F8E" w:rsidRPr="0063677D" w14:paraId="4C9D6ED4" w14:textId="77777777" w:rsidTr="00CD4666">
        <w:trPr>
          <w:trHeight w:val="300"/>
        </w:trPr>
        <w:tc>
          <w:tcPr>
            <w:tcW w:w="1349" w:type="pct"/>
            <w:tcBorders>
              <w:top w:val="nil"/>
              <w:left w:val="single" w:sz="4" w:space="0" w:color="000000"/>
              <w:bottom w:val="single" w:sz="4" w:space="0" w:color="000000"/>
              <w:right w:val="single" w:sz="4" w:space="0" w:color="000000"/>
            </w:tcBorders>
            <w:shd w:val="clear" w:color="auto" w:fill="auto"/>
            <w:vAlign w:val="bottom"/>
            <w:hideMark/>
          </w:tcPr>
          <w:p w14:paraId="3F95C910" w14:textId="77777777" w:rsidR="00C31F8E" w:rsidRPr="001C10D2" w:rsidRDefault="00C319C1" w:rsidP="00C31F8E">
            <w:pPr>
              <w:spacing w:after="0" w:line="240" w:lineRule="auto"/>
              <w:rPr>
                <w:rFonts w:eastAsia="Times New Roman" w:cs="Arial"/>
                <w:color w:val="000000"/>
                <w:sz w:val="20"/>
                <w:szCs w:val="20"/>
                <w:lang w:val="fr-FR"/>
              </w:rPr>
            </w:pPr>
            <w:r>
              <w:rPr>
                <w:rFonts w:eastAsia="Times New Roman" w:cs="Arial"/>
                <w:color w:val="000000"/>
                <w:sz w:val="20"/>
                <w:szCs w:val="20"/>
                <w:lang w:val="fr-FR"/>
              </w:rPr>
              <w:t>I</w:t>
            </w:r>
            <w:r w:rsidR="00C31F8E" w:rsidRPr="0063677D">
              <w:rPr>
                <w:rFonts w:eastAsia="Times New Roman" w:cs="Arial"/>
                <w:color w:val="000000"/>
                <w:sz w:val="20"/>
                <w:szCs w:val="20"/>
                <w:lang w:val="fr-FR"/>
              </w:rPr>
              <w:t>nondation</w:t>
            </w:r>
          </w:p>
        </w:tc>
        <w:tc>
          <w:tcPr>
            <w:tcW w:w="1465" w:type="pct"/>
            <w:tcBorders>
              <w:top w:val="nil"/>
              <w:left w:val="nil"/>
              <w:bottom w:val="single" w:sz="4" w:space="0" w:color="000000"/>
              <w:right w:val="single" w:sz="4" w:space="0" w:color="000000"/>
            </w:tcBorders>
            <w:shd w:val="clear" w:color="auto" w:fill="auto"/>
            <w:vAlign w:val="bottom"/>
            <w:hideMark/>
          </w:tcPr>
          <w:p w14:paraId="704F35BD" w14:textId="77777777" w:rsidR="00C31F8E" w:rsidRPr="001C10D2" w:rsidRDefault="00C31F8E" w:rsidP="00431E0D">
            <w:pPr>
              <w:spacing w:after="0" w:line="240" w:lineRule="auto"/>
              <w:jc w:val="right"/>
              <w:rPr>
                <w:rFonts w:eastAsia="Times New Roman" w:cs="Arial"/>
                <w:color w:val="000000"/>
                <w:sz w:val="20"/>
                <w:szCs w:val="20"/>
                <w:lang w:val="fr-FR"/>
              </w:rPr>
            </w:pPr>
            <w:r w:rsidRPr="001C10D2">
              <w:rPr>
                <w:rFonts w:eastAsia="Times New Roman" w:cs="Arial"/>
                <w:color w:val="000000"/>
                <w:sz w:val="20"/>
                <w:szCs w:val="20"/>
                <w:lang w:val="fr-FR"/>
              </w:rPr>
              <w:t>04.07.2007</w:t>
            </w:r>
          </w:p>
        </w:tc>
        <w:tc>
          <w:tcPr>
            <w:tcW w:w="2186" w:type="pct"/>
            <w:tcBorders>
              <w:top w:val="nil"/>
              <w:left w:val="nil"/>
              <w:bottom w:val="single" w:sz="4" w:space="0" w:color="000000"/>
              <w:right w:val="single" w:sz="4" w:space="0" w:color="000000"/>
            </w:tcBorders>
            <w:shd w:val="clear" w:color="auto" w:fill="auto"/>
            <w:vAlign w:val="bottom"/>
            <w:hideMark/>
          </w:tcPr>
          <w:p w14:paraId="29CD8614" w14:textId="77777777" w:rsidR="00C31F8E" w:rsidRPr="001C10D2" w:rsidRDefault="00C31F8E" w:rsidP="00431E0D">
            <w:pPr>
              <w:spacing w:after="0" w:line="240" w:lineRule="auto"/>
              <w:jc w:val="right"/>
              <w:rPr>
                <w:rFonts w:eastAsia="Times New Roman" w:cs="Arial"/>
                <w:color w:val="000000"/>
                <w:sz w:val="20"/>
                <w:szCs w:val="20"/>
                <w:lang w:val="fr-FR"/>
              </w:rPr>
            </w:pPr>
            <w:r w:rsidRPr="001C10D2">
              <w:rPr>
                <w:rFonts w:eastAsia="Times New Roman" w:cs="Arial"/>
                <w:color w:val="000000"/>
                <w:sz w:val="20"/>
                <w:szCs w:val="20"/>
                <w:lang w:val="fr-FR"/>
              </w:rPr>
              <w:t>47</w:t>
            </w:r>
            <w:r w:rsidR="0031553F">
              <w:rPr>
                <w:rFonts w:eastAsia="Times New Roman" w:cs="Arial"/>
                <w:color w:val="000000"/>
                <w:sz w:val="20"/>
                <w:szCs w:val="20"/>
                <w:lang w:val="fr-FR"/>
              </w:rPr>
              <w:t>.</w:t>
            </w:r>
            <w:r w:rsidRPr="001C10D2">
              <w:rPr>
                <w:rFonts w:eastAsia="Times New Roman" w:cs="Arial"/>
                <w:color w:val="000000"/>
                <w:sz w:val="20"/>
                <w:szCs w:val="20"/>
                <w:lang w:val="fr-FR"/>
              </w:rPr>
              <w:t>255</w:t>
            </w:r>
          </w:p>
        </w:tc>
      </w:tr>
      <w:tr w:rsidR="00C31F8E" w:rsidRPr="0063677D" w14:paraId="239AE530" w14:textId="77777777" w:rsidTr="00CD4666">
        <w:trPr>
          <w:trHeight w:val="300"/>
        </w:trPr>
        <w:tc>
          <w:tcPr>
            <w:tcW w:w="1349" w:type="pct"/>
            <w:tcBorders>
              <w:top w:val="nil"/>
              <w:left w:val="single" w:sz="4" w:space="0" w:color="000000"/>
              <w:bottom w:val="single" w:sz="4" w:space="0" w:color="000000"/>
              <w:right w:val="single" w:sz="4" w:space="0" w:color="000000"/>
            </w:tcBorders>
            <w:shd w:val="clear" w:color="auto" w:fill="auto"/>
            <w:vAlign w:val="bottom"/>
            <w:hideMark/>
          </w:tcPr>
          <w:p w14:paraId="4EB19262" w14:textId="77777777" w:rsidR="00C31F8E" w:rsidRPr="001C10D2" w:rsidRDefault="00C319C1" w:rsidP="00431E0D">
            <w:pPr>
              <w:spacing w:after="0" w:line="240" w:lineRule="auto"/>
              <w:rPr>
                <w:rFonts w:eastAsia="Times New Roman" w:cs="Arial"/>
                <w:color w:val="000000"/>
                <w:sz w:val="20"/>
                <w:szCs w:val="20"/>
                <w:lang w:val="fr-FR"/>
              </w:rPr>
            </w:pPr>
            <w:r>
              <w:rPr>
                <w:rFonts w:eastAsia="Times New Roman" w:cs="Arial"/>
                <w:color w:val="000000"/>
                <w:sz w:val="20"/>
                <w:szCs w:val="20"/>
                <w:lang w:val="fr-FR"/>
              </w:rPr>
              <w:t>I</w:t>
            </w:r>
            <w:r w:rsidR="00C31F8E" w:rsidRPr="0063677D">
              <w:rPr>
                <w:rFonts w:eastAsia="Times New Roman" w:cs="Arial"/>
                <w:color w:val="000000"/>
                <w:sz w:val="20"/>
                <w:szCs w:val="20"/>
                <w:lang w:val="fr-FR"/>
              </w:rPr>
              <w:t>nondation</w:t>
            </w:r>
          </w:p>
        </w:tc>
        <w:tc>
          <w:tcPr>
            <w:tcW w:w="1465" w:type="pct"/>
            <w:tcBorders>
              <w:top w:val="nil"/>
              <w:left w:val="nil"/>
              <w:bottom w:val="single" w:sz="4" w:space="0" w:color="000000"/>
              <w:right w:val="single" w:sz="4" w:space="0" w:color="000000"/>
            </w:tcBorders>
            <w:shd w:val="clear" w:color="auto" w:fill="auto"/>
            <w:vAlign w:val="bottom"/>
            <w:hideMark/>
          </w:tcPr>
          <w:p w14:paraId="0D498B80" w14:textId="77777777" w:rsidR="00C31F8E" w:rsidRPr="001C10D2" w:rsidRDefault="00C31F8E" w:rsidP="00431E0D">
            <w:pPr>
              <w:spacing w:after="0" w:line="240" w:lineRule="auto"/>
              <w:jc w:val="right"/>
              <w:rPr>
                <w:rFonts w:eastAsia="Times New Roman" w:cs="Arial"/>
                <w:color w:val="000000"/>
                <w:sz w:val="20"/>
                <w:szCs w:val="20"/>
                <w:lang w:val="fr-FR"/>
              </w:rPr>
            </w:pPr>
            <w:r w:rsidRPr="001C10D2">
              <w:rPr>
                <w:rFonts w:eastAsia="Times New Roman" w:cs="Arial"/>
                <w:color w:val="000000"/>
                <w:sz w:val="20"/>
                <w:szCs w:val="20"/>
                <w:lang w:val="fr-FR"/>
              </w:rPr>
              <w:t>22.07.2007</w:t>
            </w:r>
          </w:p>
        </w:tc>
        <w:tc>
          <w:tcPr>
            <w:tcW w:w="2186" w:type="pct"/>
            <w:tcBorders>
              <w:top w:val="nil"/>
              <w:left w:val="nil"/>
              <w:bottom w:val="single" w:sz="4" w:space="0" w:color="000000"/>
              <w:right w:val="single" w:sz="4" w:space="0" w:color="000000"/>
            </w:tcBorders>
            <w:shd w:val="clear" w:color="auto" w:fill="auto"/>
            <w:vAlign w:val="bottom"/>
            <w:hideMark/>
          </w:tcPr>
          <w:p w14:paraId="5979756E" w14:textId="77777777" w:rsidR="00C31F8E" w:rsidRPr="001C10D2" w:rsidRDefault="00C31F8E" w:rsidP="00431E0D">
            <w:pPr>
              <w:spacing w:after="0" w:line="240" w:lineRule="auto"/>
              <w:jc w:val="right"/>
              <w:rPr>
                <w:rFonts w:eastAsia="Times New Roman" w:cs="Arial"/>
                <w:color w:val="000000"/>
                <w:sz w:val="20"/>
                <w:szCs w:val="20"/>
                <w:lang w:val="fr-FR"/>
              </w:rPr>
            </w:pPr>
            <w:r w:rsidRPr="001C10D2">
              <w:rPr>
                <w:rFonts w:eastAsia="Times New Roman" w:cs="Arial"/>
                <w:color w:val="000000"/>
                <w:sz w:val="20"/>
                <w:szCs w:val="20"/>
                <w:lang w:val="fr-FR"/>
              </w:rPr>
              <w:t>41</w:t>
            </w:r>
            <w:r w:rsidR="0031553F">
              <w:rPr>
                <w:rFonts w:eastAsia="Times New Roman" w:cs="Arial"/>
                <w:color w:val="000000"/>
                <w:sz w:val="20"/>
                <w:szCs w:val="20"/>
                <w:lang w:val="fr-FR"/>
              </w:rPr>
              <w:t>.</w:t>
            </w:r>
            <w:r w:rsidRPr="001C10D2">
              <w:rPr>
                <w:rFonts w:eastAsia="Times New Roman" w:cs="Arial"/>
                <w:color w:val="000000"/>
                <w:sz w:val="20"/>
                <w:szCs w:val="20"/>
                <w:lang w:val="fr-FR"/>
              </w:rPr>
              <w:t>603</w:t>
            </w:r>
          </w:p>
        </w:tc>
      </w:tr>
      <w:tr w:rsidR="00C132A9" w:rsidRPr="00C132A9" w14:paraId="6EEBADE8" w14:textId="77777777" w:rsidTr="00CD4666">
        <w:trPr>
          <w:trHeight w:val="300"/>
        </w:trPr>
        <w:tc>
          <w:tcPr>
            <w:tcW w:w="1349" w:type="pct"/>
            <w:tcBorders>
              <w:top w:val="nil"/>
              <w:left w:val="single" w:sz="4" w:space="0" w:color="000000"/>
              <w:bottom w:val="single" w:sz="4" w:space="0" w:color="000000"/>
              <w:right w:val="single" w:sz="4" w:space="0" w:color="000000"/>
            </w:tcBorders>
            <w:shd w:val="clear" w:color="auto" w:fill="auto"/>
            <w:vAlign w:val="bottom"/>
            <w:hideMark/>
          </w:tcPr>
          <w:p w14:paraId="08572F51" w14:textId="77777777" w:rsidR="00C31F8E" w:rsidRPr="00C132A9" w:rsidRDefault="00C319C1" w:rsidP="00431E0D">
            <w:pPr>
              <w:spacing w:after="0" w:line="240" w:lineRule="auto"/>
              <w:rPr>
                <w:rFonts w:eastAsia="Times New Roman" w:cs="Arial"/>
                <w:sz w:val="20"/>
                <w:szCs w:val="20"/>
                <w:lang w:val="fr-FR"/>
              </w:rPr>
            </w:pPr>
            <w:r w:rsidRPr="00C132A9">
              <w:rPr>
                <w:rFonts w:eastAsia="Times New Roman" w:cs="Arial"/>
                <w:sz w:val="20"/>
                <w:szCs w:val="20"/>
                <w:lang w:val="fr-FR"/>
              </w:rPr>
              <w:t>I</w:t>
            </w:r>
            <w:r w:rsidR="00C31F8E" w:rsidRPr="00C132A9">
              <w:rPr>
                <w:rFonts w:eastAsia="Times New Roman" w:cs="Arial"/>
                <w:sz w:val="20"/>
                <w:szCs w:val="20"/>
                <w:lang w:val="fr-FR"/>
              </w:rPr>
              <w:t>nondation</w:t>
            </w:r>
            <w:r w:rsidR="00CD4666" w:rsidRPr="00C132A9">
              <w:rPr>
                <w:rFonts w:eastAsia="Times New Roman" w:cs="Arial"/>
                <w:sz w:val="20"/>
                <w:szCs w:val="20"/>
                <w:lang w:val="fr-FR"/>
              </w:rPr>
              <w:t xml:space="preserve"> (dont Bamako)</w:t>
            </w:r>
          </w:p>
        </w:tc>
        <w:tc>
          <w:tcPr>
            <w:tcW w:w="1465" w:type="pct"/>
            <w:tcBorders>
              <w:top w:val="nil"/>
              <w:left w:val="nil"/>
              <w:bottom w:val="single" w:sz="4" w:space="0" w:color="000000"/>
              <w:right w:val="single" w:sz="4" w:space="0" w:color="000000"/>
            </w:tcBorders>
            <w:shd w:val="clear" w:color="auto" w:fill="auto"/>
            <w:vAlign w:val="bottom"/>
            <w:hideMark/>
          </w:tcPr>
          <w:p w14:paraId="13BEF7D7" w14:textId="77777777" w:rsidR="00C31F8E" w:rsidRPr="00C132A9" w:rsidRDefault="00C31F8E" w:rsidP="00431E0D">
            <w:pPr>
              <w:spacing w:after="0" w:line="240" w:lineRule="auto"/>
              <w:jc w:val="right"/>
              <w:rPr>
                <w:rFonts w:eastAsia="Times New Roman" w:cs="Arial"/>
                <w:sz w:val="20"/>
                <w:szCs w:val="20"/>
                <w:lang w:val="fr-FR"/>
              </w:rPr>
            </w:pPr>
            <w:r w:rsidRPr="00C132A9">
              <w:rPr>
                <w:rFonts w:eastAsia="Times New Roman" w:cs="Arial"/>
                <w:sz w:val="20"/>
                <w:szCs w:val="20"/>
                <w:lang w:val="fr-FR"/>
              </w:rPr>
              <w:t>29.08.2013</w:t>
            </w:r>
          </w:p>
        </w:tc>
        <w:tc>
          <w:tcPr>
            <w:tcW w:w="2186" w:type="pct"/>
            <w:tcBorders>
              <w:top w:val="nil"/>
              <w:left w:val="nil"/>
              <w:bottom w:val="single" w:sz="4" w:space="0" w:color="000000"/>
              <w:right w:val="single" w:sz="4" w:space="0" w:color="000000"/>
            </w:tcBorders>
            <w:shd w:val="clear" w:color="auto" w:fill="auto"/>
            <w:vAlign w:val="bottom"/>
            <w:hideMark/>
          </w:tcPr>
          <w:p w14:paraId="2036BC8A" w14:textId="77777777" w:rsidR="00C31F8E" w:rsidRPr="00C132A9" w:rsidRDefault="00C31F8E" w:rsidP="00431E0D">
            <w:pPr>
              <w:spacing w:after="0" w:line="240" w:lineRule="auto"/>
              <w:jc w:val="right"/>
              <w:rPr>
                <w:rFonts w:eastAsia="Times New Roman" w:cs="Arial"/>
                <w:sz w:val="20"/>
                <w:szCs w:val="20"/>
                <w:lang w:val="fr-FR"/>
              </w:rPr>
            </w:pPr>
            <w:r w:rsidRPr="00C132A9">
              <w:rPr>
                <w:rFonts w:eastAsia="Times New Roman" w:cs="Arial"/>
                <w:sz w:val="20"/>
                <w:szCs w:val="20"/>
                <w:lang w:val="fr-FR"/>
              </w:rPr>
              <w:t>34</w:t>
            </w:r>
            <w:r w:rsidR="0031553F" w:rsidRPr="00C132A9">
              <w:rPr>
                <w:rFonts w:eastAsia="Times New Roman" w:cs="Arial"/>
                <w:sz w:val="20"/>
                <w:szCs w:val="20"/>
                <w:lang w:val="fr-FR"/>
              </w:rPr>
              <w:t>.</w:t>
            </w:r>
            <w:r w:rsidRPr="00C132A9">
              <w:rPr>
                <w:rFonts w:eastAsia="Times New Roman" w:cs="Arial"/>
                <w:sz w:val="20"/>
                <w:szCs w:val="20"/>
                <w:lang w:val="fr-FR"/>
              </w:rPr>
              <w:t>700</w:t>
            </w:r>
          </w:p>
        </w:tc>
      </w:tr>
      <w:tr w:rsidR="00C132A9" w:rsidRPr="00C132A9" w14:paraId="1A270051" w14:textId="77777777" w:rsidTr="00CD4666">
        <w:trPr>
          <w:trHeight w:val="300"/>
        </w:trPr>
        <w:tc>
          <w:tcPr>
            <w:tcW w:w="1349" w:type="pct"/>
            <w:tcBorders>
              <w:top w:val="nil"/>
              <w:left w:val="single" w:sz="4" w:space="0" w:color="000000"/>
              <w:bottom w:val="single" w:sz="4" w:space="0" w:color="000000"/>
              <w:right w:val="single" w:sz="4" w:space="0" w:color="000000"/>
            </w:tcBorders>
            <w:shd w:val="clear" w:color="auto" w:fill="auto"/>
            <w:vAlign w:val="bottom"/>
            <w:hideMark/>
          </w:tcPr>
          <w:p w14:paraId="627B8AD3" w14:textId="77777777" w:rsidR="00CF1027" w:rsidRPr="00C132A9" w:rsidRDefault="00CF1027" w:rsidP="007236AB">
            <w:pPr>
              <w:spacing w:after="0" w:line="240" w:lineRule="auto"/>
              <w:rPr>
                <w:rFonts w:eastAsia="Times New Roman" w:cs="Arial"/>
                <w:sz w:val="20"/>
                <w:szCs w:val="20"/>
                <w:lang w:val="fr-FR"/>
              </w:rPr>
            </w:pPr>
            <w:r w:rsidRPr="00C132A9">
              <w:rPr>
                <w:rFonts w:eastAsia="Times New Roman" w:cs="Arial"/>
                <w:sz w:val="20"/>
                <w:szCs w:val="20"/>
                <w:lang w:val="fr-FR"/>
              </w:rPr>
              <w:t>Inondation</w:t>
            </w:r>
          </w:p>
        </w:tc>
        <w:tc>
          <w:tcPr>
            <w:tcW w:w="1465" w:type="pct"/>
            <w:tcBorders>
              <w:top w:val="nil"/>
              <w:left w:val="nil"/>
              <w:bottom w:val="single" w:sz="4" w:space="0" w:color="000000"/>
              <w:right w:val="single" w:sz="4" w:space="0" w:color="000000"/>
            </w:tcBorders>
            <w:shd w:val="clear" w:color="auto" w:fill="auto"/>
            <w:vAlign w:val="bottom"/>
            <w:hideMark/>
          </w:tcPr>
          <w:p w14:paraId="3889B012" w14:textId="77777777" w:rsidR="00CF1027" w:rsidRPr="00C132A9" w:rsidRDefault="00CF1027" w:rsidP="007236AB">
            <w:pPr>
              <w:spacing w:after="0" w:line="240" w:lineRule="auto"/>
              <w:jc w:val="right"/>
              <w:rPr>
                <w:rFonts w:eastAsia="Times New Roman" w:cs="Arial"/>
                <w:sz w:val="20"/>
                <w:szCs w:val="20"/>
                <w:lang w:val="fr-FR"/>
              </w:rPr>
            </w:pPr>
            <w:r w:rsidRPr="00C132A9">
              <w:rPr>
                <w:rFonts w:eastAsia="Times New Roman" w:cs="Arial"/>
                <w:sz w:val="20"/>
                <w:szCs w:val="20"/>
                <w:lang w:val="fr-FR"/>
              </w:rPr>
              <w:t>26.07.2002</w:t>
            </w:r>
          </w:p>
        </w:tc>
        <w:tc>
          <w:tcPr>
            <w:tcW w:w="2186" w:type="pct"/>
            <w:tcBorders>
              <w:top w:val="nil"/>
              <w:left w:val="nil"/>
              <w:bottom w:val="single" w:sz="4" w:space="0" w:color="000000"/>
              <w:right w:val="single" w:sz="4" w:space="0" w:color="000000"/>
            </w:tcBorders>
            <w:shd w:val="clear" w:color="auto" w:fill="auto"/>
            <w:vAlign w:val="bottom"/>
            <w:hideMark/>
          </w:tcPr>
          <w:p w14:paraId="15348034" w14:textId="77777777" w:rsidR="00CF1027" w:rsidRPr="00C132A9" w:rsidRDefault="00CF1027" w:rsidP="007236AB">
            <w:pPr>
              <w:spacing w:after="0" w:line="240" w:lineRule="auto"/>
              <w:jc w:val="right"/>
              <w:rPr>
                <w:rFonts w:eastAsia="Times New Roman" w:cs="Arial"/>
                <w:sz w:val="20"/>
                <w:szCs w:val="20"/>
                <w:lang w:val="fr-FR"/>
              </w:rPr>
            </w:pPr>
            <w:r w:rsidRPr="00C132A9">
              <w:rPr>
                <w:rFonts w:eastAsia="Times New Roman" w:cs="Arial"/>
                <w:sz w:val="20"/>
                <w:szCs w:val="20"/>
                <w:lang w:val="fr-FR"/>
              </w:rPr>
              <w:t>22.519</w:t>
            </w:r>
          </w:p>
        </w:tc>
      </w:tr>
      <w:tr w:rsidR="00C132A9" w:rsidRPr="00C132A9" w14:paraId="2197AB30" w14:textId="77777777" w:rsidTr="00CD4666">
        <w:trPr>
          <w:trHeight w:val="300"/>
        </w:trPr>
        <w:tc>
          <w:tcPr>
            <w:tcW w:w="1349" w:type="pct"/>
            <w:tcBorders>
              <w:top w:val="nil"/>
              <w:left w:val="single" w:sz="4" w:space="0" w:color="000000"/>
              <w:bottom w:val="single" w:sz="4" w:space="0" w:color="000000"/>
              <w:right w:val="single" w:sz="4" w:space="0" w:color="000000"/>
            </w:tcBorders>
            <w:shd w:val="clear" w:color="auto" w:fill="auto"/>
            <w:vAlign w:val="bottom"/>
            <w:hideMark/>
          </w:tcPr>
          <w:p w14:paraId="6543EA75" w14:textId="77777777" w:rsidR="00D11654" w:rsidRPr="00C132A9" w:rsidRDefault="00D11654" w:rsidP="007236AB">
            <w:pPr>
              <w:spacing w:after="0" w:line="240" w:lineRule="auto"/>
              <w:rPr>
                <w:rFonts w:eastAsia="Times New Roman" w:cs="Arial"/>
                <w:sz w:val="20"/>
                <w:szCs w:val="20"/>
                <w:lang w:val="fr-FR"/>
              </w:rPr>
            </w:pPr>
            <w:r w:rsidRPr="00C132A9">
              <w:rPr>
                <w:rFonts w:eastAsia="Times New Roman" w:cs="Arial"/>
                <w:sz w:val="20"/>
                <w:szCs w:val="20"/>
                <w:lang w:val="fr-FR"/>
              </w:rPr>
              <w:t>Inondation (</w:t>
            </w:r>
            <w:r w:rsidR="00CD4666" w:rsidRPr="00C132A9">
              <w:rPr>
                <w:rFonts w:eastAsia="Times New Roman" w:cs="Arial"/>
                <w:sz w:val="20"/>
                <w:szCs w:val="20"/>
                <w:lang w:val="fr-FR"/>
              </w:rPr>
              <w:t xml:space="preserve">dont </w:t>
            </w:r>
            <w:r w:rsidRPr="00C132A9">
              <w:rPr>
                <w:rFonts w:eastAsia="Times New Roman" w:cs="Arial"/>
                <w:sz w:val="20"/>
                <w:szCs w:val="20"/>
                <w:lang w:val="fr-FR"/>
              </w:rPr>
              <w:t>Bamako)</w:t>
            </w:r>
          </w:p>
        </w:tc>
        <w:tc>
          <w:tcPr>
            <w:tcW w:w="1465" w:type="pct"/>
            <w:tcBorders>
              <w:top w:val="nil"/>
              <w:left w:val="nil"/>
              <w:bottom w:val="single" w:sz="4" w:space="0" w:color="000000"/>
              <w:right w:val="single" w:sz="4" w:space="0" w:color="000000"/>
            </w:tcBorders>
            <w:shd w:val="clear" w:color="auto" w:fill="auto"/>
            <w:vAlign w:val="bottom"/>
            <w:hideMark/>
          </w:tcPr>
          <w:p w14:paraId="79866BD5" w14:textId="77777777" w:rsidR="00D11654" w:rsidRPr="00C132A9" w:rsidRDefault="00D11654" w:rsidP="007236AB">
            <w:pPr>
              <w:spacing w:after="0" w:line="240" w:lineRule="auto"/>
              <w:jc w:val="right"/>
              <w:rPr>
                <w:rFonts w:eastAsia="Times New Roman" w:cs="Arial"/>
                <w:sz w:val="20"/>
                <w:szCs w:val="20"/>
                <w:lang w:val="fr-FR"/>
              </w:rPr>
            </w:pPr>
            <w:r w:rsidRPr="00C132A9">
              <w:rPr>
                <w:rFonts w:eastAsia="Times New Roman" w:cs="Arial"/>
                <w:sz w:val="20"/>
                <w:szCs w:val="20"/>
                <w:lang w:val="fr-FR"/>
              </w:rPr>
              <w:t>2016</w:t>
            </w:r>
          </w:p>
        </w:tc>
        <w:tc>
          <w:tcPr>
            <w:tcW w:w="2186" w:type="pct"/>
            <w:tcBorders>
              <w:top w:val="nil"/>
              <w:left w:val="nil"/>
              <w:bottom w:val="single" w:sz="4" w:space="0" w:color="000000"/>
              <w:right w:val="single" w:sz="4" w:space="0" w:color="000000"/>
            </w:tcBorders>
            <w:shd w:val="clear" w:color="auto" w:fill="auto"/>
            <w:vAlign w:val="bottom"/>
            <w:hideMark/>
          </w:tcPr>
          <w:p w14:paraId="34E3C8B6" w14:textId="77777777" w:rsidR="00D11654" w:rsidRPr="00C132A9" w:rsidRDefault="00D11654" w:rsidP="007236AB">
            <w:pPr>
              <w:spacing w:after="0" w:line="240" w:lineRule="auto"/>
              <w:jc w:val="right"/>
              <w:rPr>
                <w:rFonts w:eastAsia="Times New Roman" w:cs="Arial"/>
                <w:sz w:val="20"/>
                <w:szCs w:val="20"/>
                <w:lang w:val="fr-FR"/>
              </w:rPr>
            </w:pPr>
            <w:r w:rsidRPr="00C132A9">
              <w:rPr>
                <w:rFonts w:eastAsia="Times New Roman" w:cs="Arial"/>
                <w:sz w:val="20"/>
                <w:szCs w:val="20"/>
                <w:lang w:val="fr-FR"/>
              </w:rPr>
              <w:t>18.000</w:t>
            </w:r>
          </w:p>
        </w:tc>
      </w:tr>
      <w:tr w:rsidR="00C132A9" w:rsidRPr="00C132A9" w14:paraId="1E8F1306" w14:textId="77777777" w:rsidTr="00CD4666">
        <w:trPr>
          <w:trHeight w:val="300"/>
        </w:trPr>
        <w:tc>
          <w:tcPr>
            <w:tcW w:w="1349" w:type="pct"/>
            <w:tcBorders>
              <w:top w:val="nil"/>
              <w:left w:val="single" w:sz="4" w:space="0" w:color="000000"/>
              <w:bottom w:val="single" w:sz="4" w:space="0" w:color="000000"/>
              <w:right w:val="single" w:sz="4" w:space="0" w:color="000000"/>
            </w:tcBorders>
            <w:shd w:val="clear" w:color="auto" w:fill="auto"/>
            <w:vAlign w:val="bottom"/>
          </w:tcPr>
          <w:p w14:paraId="528F0556" w14:textId="77777777" w:rsidR="00C779FC" w:rsidRPr="00C132A9" w:rsidRDefault="00C779FC" w:rsidP="00431E0D">
            <w:pPr>
              <w:spacing w:after="0" w:line="240" w:lineRule="auto"/>
              <w:rPr>
                <w:rFonts w:eastAsia="Times New Roman" w:cs="Arial"/>
                <w:sz w:val="20"/>
                <w:szCs w:val="20"/>
                <w:lang w:val="fr-FR"/>
              </w:rPr>
            </w:pPr>
            <w:r w:rsidRPr="00C132A9">
              <w:rPr>
                <w:rFonts w:eastAsia="Times New Roman" w:cs="Arial"/>
                <w:sz w:val="20"/>
                <w:szCs w:val="20"/>
                <w:lang w:val="fr-FR"/>
              </w:rPr>
              <w:t>Inondation</w:t>
            </w:r>
          </w:p>
        </w:tc>
        <w:tc>
          <w:tcPr>
            <w:tcW w:w="1465" w:type="pct"/>
            <w:tcBorders>
              <w:top w:val="nil"/>
              <w:left w:val="nil"/>
              <w:bottom w:val="single" w:sz="4" w:space="0" w:color="000000"/>
              <w:right w:val="single" w:sz="4" w:space="0" w:color="000000"/>
            </w:tcBorders>
            <w:shd w:val="clear" w:color="auto" w:fill="auto"/>
            <w:vAlign w:val="bottom"/>
          </w:tcPr>
          <w:p w14:paraId="53CC9739" w14:textId="77777777" w:rsidR="00C779FC" w:rsidRPr="00C132A9" w:rsidRDefault="00C779FC" w:rsidP="00431E0D">
            <w:pPr>
              <w:spacing w:after="0" w:line="240" w:lineRule="auto"/>
              <w:jc w:val="right"/>
              <w:rPr>
                <w:rFonts w:eastAsia="Times New Roman" w:cs="Arial"/>
                <w:sz w:val="20"/>
                <w:szCs w:val="20"/>
                <w:lang w:val="fr-FR"/>
              </w:rPr>
            </w:pPr>
            <w:r w:rsidRPr="00C132A9">
              <w:rPr>
                <w:rFonts w:eastAsia="Times New Roman" w:cs="Arial"/>
                <w:sz w:val="20"/>
                <w:szCs w:val="20"/>
                <w:lang w:val="fr-FR"/>
              </w:rPr>
              <w:t>201</w:t>
            </w:r>
            <w:r w:rsidR="00026ABE" w:rsidRPr="00C132A9">
              <w:rPr>
                <w:rFonts w:eastAsia="Times New Roman" w:cs="Arial"/>
                <w:sz w:val="20"/>
                <w:szCs w:val="20"/>
                <w:lang w:val="fr-FR"/>
              </w:rPr>
              <w:t>7</w:t>
            </w:r>
          </w:p>
        </w:tc>
        <w:tc>
          <w:tcPr>
            <w:tcW w:w="2186" w:type="pct"/>
            <w:tcBorders>
              <w:top w:val="nil"/>
              <w:left w:val="nil"/>
              <w:bottom w:val="single" w:sz="4" w:space="0" w:color="000000"/>
              <w:right w:val="single" w:sz="4" w:space="0" w:color="000000"/>
            </w:tcBorders>
            <w:shd w:val="clear" w:color="auto" w:fill="auto"/>
            <w:vAlign w:val="bottom"/>
          </w:tcPr>
          <w:p w14:paraId="6AD23D85" w14:textId="77777777" w:rsidR="00C779FC" w:rsidRPr="00C132A9" w:rsidRDefault="003325BC" w:rsidP="00431E0D">
            <w:pPr>
              <w:spacing w:after="0" w:line="240" w:lineRule="auto"/>
              <w:jc w:val="right"/>
              <w:rPr>
                <w:rFonts w:eastAsia="Times New Roman" w:cs="Arial"/>
                <w:sz w:val="20"/>
                <w:szCs w:val="20"/>
                <w:lang w:val="fr-FR"/>
              </w:rPr>
            </w:pPr>
            <w:r w:rsidRPr="00C132A9">
              <w:rPr>
                <w:rFonts w:eastAsia="Times New Roman" w:cs="Arial"/>
                <w:sz w:val="20"/>
                <w:szCs w:val="20"/>
                <w:lang w:val="fr-FR"/>
              </w:rPr>
              <w:t>7.000</w:t>
            </w:r>
          </w:p>
        </w:tc>
      </w:tr>
    </w:tbl>
    <w:p w14:paraId="71D9A2D2" w14:textId="77777777" w:rsidR="00C31F8E" w:rsidRDefault="00C31F8E" w:rsidP="00C31F8E">
      <w:pPr>
        <w:rPr>
          <w:rFonts w:cs="Arial"/>
          <w:sz w:val="20"/>
          <w:szCs w:val="20"/>
          <w:lang w:val="fr-FR"/>
        </w:rPr>
      </w:pPr>
    </w:p>
    <w:p w14:paraId="454843BB" w14:textId="77777777" w:rsidR="00C31F8E" w:rsidRPr="00DD46EB" w:rsidRDefault="00C31F8E" w:rsidP="00C31F8E">
      <w:pPr>
        <w:rPr>
          <w:rFonts w:cs="Arial"/>
          <w:color w:val="7030A0"/>
          <w:sz w:val="20"/>
          <w:szCs w:val="20"/>
          <w:lang w:val="en-US"/>
        </w:rPr>
      </w:pPr>
      <w:r w:rsidRPr="0063677D">
        <w:rPr>
          <w:rFonts w:cs="Arial"/>
          <w:sz w:val="20"/>
          <w:szCs w:val="20"/>
          <w:lang w:val="fr-FR"/>
        </w:rPr>
        <w:t>Source</w:t>
      </w:r>
      <w:r w:rsidR="0011274B">
        <w:rPr>
          <w:rFonts w:cs="Arial"/>
          <w:sz w:val="20"/>
          <w:szCs w:val="20"/>
          <w:lang w:val="fr-FR"/>
        </w:rPr>
        <w:t> </w:t>
      </w:r>
      <w:r w:rsidRPr="0063677D">
        <w:rPr>
          <w:rFonts w:cs="Arial"/>
          <w:sz w:val="20"/>
          <w:szCs w:val="20"/>
          <w:lang w:val="fr-FR"/>
        </w:rPr>
        <w:t xml:space="preserve">: </w:t>
      </w:r>
      <w:r w:rsidR="0011274B">
        <w:rPr>
          <w:rFonts w:cs="Arial"/>
          <w:sz w:val="20"/>
          <w:szCs w:val="20"/>
          <w:lang w:val="fr-FR"/>
        </w:rPr>
        <w:t>« </w:t>
      </w:r>
      <w:r w:rsidRPr="0063677D">
        <w:rPr>
          <w:rFonts w:cs="Arial"/>
          <w:sz w:val="20"/>
          <w:szCs w:val="20"/>
          <w:lang w:val="fr-FR"/>
        </w:rPr>
        <w:t>EM-DAT</w:t>
      </w:r>
      <w:r w:rsidR="0011274B">
        <w:rPr>
          <w:rFonts w:cs="Arial"/>
          <w:sz w:val="20"/>
          <w:szCs w:val="20"/>
          <w:lang w:val="fr-FR"/>
        </w:rPr>
        <w:t> </w:t>
      </w:r>
      <w:r w:rsidRPr="0063677D">
        <w:rPr>
          <w:rFonts w:cs="Arial"/>
          <w:sz w:val="20"/>
          <w:szCs w:val="20"/>
          <w:lang w:val="fr-FR"/>
        </w:rPr>
        <w:t>: The OFDA/CRED International Disaster Database, réalisé</w:t>
      </w:r>
      <w:r w:rsidR="0011274B">
        <w:rPr>
          <w:rFonts w:cs="Arial"/>
          <w:sz w:val="20"/>
          <w:szCs w:val="20"/>
          <w:lang w:val="fr-FR"/>
        </w:rPr>
        <w:t> </w:t>
      </w:r>
      <w:r w:rsidRPr="0063677D">
        <w:rPr>
          <w:rFonts w:cs="Arial"/>
          <w:sz w:val="20"/>
          <w:szCs w:val="20"/>
          <w:lang w:val="fr-FR"/>
        </w:rPr>
        <w:t xml:space="preserve">: Jul-12-2014. </w:t>
      </w:r>
      <w:r w:rsidR="0011274B">
        <w:rPr>
          <w:rFonts w:cs="Arial"/>
          <w:sz w:val="20"/>
          <w:szCs w:val="20"/>
          <w:lang w:val="en-US"/>
        </w:rPr>
        <w:t>–</w:t>
      </w:r>
      <w:r w:rsidRPr="00585982">
        <w:rPr>
          <w:rFonts w:cs="Arial"/>
          <w:sz w:val="20"/>
          <w:szCs w:val="20"/>
          <w:lang w:val="en-US"/>
        </w:rPr>
        <w:t xml:space="preserve"> Data version: v12.07</w:t>
      </w:r>
      <w:r w:rsidR="00115915">
        <w:rPr>
          <w:rFonts w:cs="Arial"/>
          <w:sz w:val="20"/>
          <w:szCs w:val="20"/>
          <w:lang w:val="en-US"/>
        </w:rPr>
        <w:t xml:space="preserve"> </w:t>
      </w:r>
      <w:r w:rsidR="00115915" w:rsidRPr="00DD46EB">
        <w:rPr>
          <w:rFonts w:cs="Arial"/>
          <w:color w:val="7030A0"/>
          <w:sz w:val="20"/>
          <w:szCs w:val="20"/>
          <w:lang w:val="en-US"/>
        </w:rPr>
        <w:t>&amp; OCHA</w:t>
      </w:r>
    </w:p>
    <w:p w14:paraId="005B3714" w14:textId="77777777" w:rsidR="00261BF0" w:rsidRDefault="00FE3DC8" w:rsidP="00261BF0">
      <w:pPr>
        <w:rPr>
          <w:rFonts w:cs="Arial"/>
          <w:sz w:val="20"/>
          <w:szCs w:val="20"/>
          <w:lang w:val="fr-FR"/>
        </w:rPr>
      </w:pPr>
      <w:r w:rsidRPr="00C40C53">
        <w:rPr>
          <w:rFonts w:cs="Arial"/>
          <w:sz w:val="20"/>
          <w:szCs w:val="20"/>
          <w:lang w:val="fr-FR"/>
        </w:rPr>
        <w:t>* Remarque</w:t>
      </w:r>
      <w:r w:rsidR="00F13F08">
        <w:rPr>
          <w:rFonts w:cs="Arial"/>
          <w:sz w:val="20"/>
          <w:szCs w:val="20"/>
          <w:lang w:val="fr-FR"/>
        </w:rPr>
        <w:t xml:space="preserve"> </w:t>
      </w:r>
      <w:r w:rsidRPr="00C40C53">
        <w:rPr>
          <w:rFonts w:cs="Arial"/>
          <w:sz w:val="20"/>
          <w:szCs w:val="20"/>
          <w:lang w:val="fr-FR"/>
        </w:rPr>
        <w:t xml:space="preserve">: Pour plusieurs catastrophes naturelles (notamment sécheresses) il n’y a pas de date ou </w:t>
      </w:r>
      <w:r w:rsidR="00261BF0" w:rsidRPr="00C40C53">
        <w:rPr>
          <w:rFonts w:cs="Arial"/>
          <w:sz w:val="20"/>
          <w:szCs w:val="20"/>
          <w:lang w:val="fr-FR"/>
        </w:rPr>
        <w:t xml:space="preserve">de </w:t>
      </w:r>
      <w:r w:rsidRPr="00C40C53">
        <w:rPr>
          <w:rFonts w:cs="Arial"/>
          <w:sz w:val="20"/>
          <w:szCs w:val="20"/>
          <w:lang w:val="fr-FR"/>
        </w:rPr>
        <w:t>mois précis</w:t>
      </w:r>
      <w:r w:rsidR="00261BF0" w:rsidRPr="00C40C53">
        <w:rPr>
          <w:rFonts w:cs="Arial"/>
          <w:sz w:val="20"/>
          <w:szCs w:val="20"/>
          <w:lang w:val="fr-FR"/>
        </w:rPr>
        <w:t>. Le tableau initial de l’EM-DAT a été adapté par la mission en enlevant les dates précises résultant de la procédure d’enregistrement de l’évènement dans la base de données.</w:t>
      </w:r>
    </w:p>
    <w:p w14:paraId="465C9B16" w14:textId="77777777" w:rsidR="00FE3DC8" w:rsidRPr="00261BF0" w:rsidRDefault="00261BF0" w:rsidP="00261BF0">
      <w:pPr>
        <w:rPr>
          <w:rFonts w:cs="Arial"/>
          <w:sz w:val="20"/>
          <w:szCs w:val="20"/>
          <w:highlight w:val="yellow"/>
          <w:lang w:val="fr-FR"/>
        </w:rPr>
        <w:sectPr w:rsidR="00FE3DC8" w:rsidRPr="00261BF0" w:rsidSect="001D5713">
          <w:pgSz w:w="11906" w:h="16838"/>
          <w:pgMar w:top="1191" w:right="964" w:bottom="1021" w:left="1021" w:header="709" w:footer="709" w:gutter="0"/>
          <w:cols w:space="708"/>
          <w:docGrid w:linePitch="360"/>
        </w:sectPr>
      </w:pPr>
      <w:r>
        <w:rPr>
          <w:rFonts w:cs="Arial"/>
          <w:sz w:val="20"/>
          <w:szCs w:val="20"/>
          <w:lang w:val="fr-FR"/>
        </w:rPr>
        <w:t xml:space="preserve"> </w:t>
      </w:r>
    </w:p>
    <w:p w14:paraId="69B663E6" w14:textId="77777777" w:rsidR="00E37CCD" w:rsidRDefault="003B087C" w:rsidP="00525222">
      <w:pPr>
        <w:pStyle w:val="Titre3"/>
      </w:pPr>
      <w:bookmarkStart w:id="131" w:name="_Toc20505713"/>
      <w:r>
        <w:lastRenderedPageBreak/>
        <w:t>7</w:t>
      </w:r>
      <w:r w:rsidR="00DE181A" w:rsidRPr="00DE181A">
        <w:t>.4.</w:t>
      </w:r>
      <w:r w:rsidR="004131DC">
        <w:t>11</w:t>
      </w:r>
      <w:r w:rsidR="00E37CCD" w:rsidRPr="00E37CCD">
        <w:t xml:space="preserve"> Positionnement</w:t>
      </w:r>
      <w:r w:rsidR="00E37CCD" w:rsidRPr="00DE181A">
        <w:t xml:space="preserve"> global des PTF</w:t>
      </w:r>
      <w:bookmarkEnd w:id="131"/>
    </w:p>
    <w:p w14:paraId="15234CAB" w14:textId="77777777" w:rsidR="00960C47" w:rsidRDefault="00960C47" w:rsidP="00960C47">
      <w:pPr>
        <w:rPr>
          <w:lang w:val="fr-FR"/>
        </w:rPr>
      </w:pPr>
      <w:r>
        <w:rPr>
          <w:noProof/>
          <w:lang w:val="fr-FR" w:eastAsia="fr-FR"/>
        </w:rPr>
        <w:drawing>
          <wp:inline distT="0" distB="0" distL="0" distR="0" wp14:anchorId="55FA59F4" wp14:editId="0059C793">
            <wp:extent cx="9289834" cy="5613990"/>
            <wp:effectExtent l="0" t="0" r="6985" b="6350"/>
            <wp:docPr id="51"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9287510" cy="5612585"/>
                    </a:xfrm>
                    <a:prstGeom prst="rect">
                      <a:avLst/>
                    </a:prstGeom>
                    <a:noFill/>
                    <a:ln>
                      <a:noFill/>
                    </a:ln>
                  </pic:spPr>
                </pic:pic>
              </a:graphicData>
            </a:graphic>
          </wp:inline>
        </w:drawing>
      </w:r>
    </w:p>
    <w:p w14:paraId="0640F4FF" w14:textId="77777777" w:rsidR="00E37CCD" w:rsidRDefault="00960C47" w:rsidP="00C31F8E">
      <w:pPr>
        <w:rPr>
          <w:rFonts w:cs="Arial"/>
          <w:sz w:val="20"/>
          <w:szCs w:val="20"/>
          <w:lang w:val="fr-FR"/>
        </w:rPr>
        <w:sectPr w:rsidR="00E37CCD" w:rsidSect="00E37CCD">
          <w:pgSz w:w="16838" w:h="11906" w:orient="landscape"/>
          <w:pgMar w:top="964" w:right="1021" w:bottom="1021" w:left="1191" w:header="709" w:footer="709" w:gutter="0"/>
          <w:cols w:space="708"/>
          <w:docGrid w:linePitch="360"/>
        </w:sectPr>
      </w:pPr>
      <w:r>
        <w:rPr>
          <w:rFonts w:cs="Arial"/>
          <w:noProof/>
          <w:sz w:val="20"/>
          <w:szCs w:val="20"/>
          <w:lang w:val="fr-FR" w:eastAsia="fr-FR"/>
        </w:rPr>
        <w:lastRenderedPageBreak/>
        <w:drawing>
          <wp:inline distT="0" distB="0" distL="0" distR="0" wp14:anchorId="0F4A1564" wp14:editId="28235FA5">
            <wp:extent cx="9274629" cy="6047704"/>
            <wp:effectExtent l="0" t="0" r="3175" b="0"/>
            <wp:docPr id="57" name="Grafi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9274629" cy="6047704"/>
                    </a:xfrm>
                    <a:prstGeom prst="rect">
                      <a:avLst/>
                    </a:prstGeom>
                    <a:noFill/>
                    <a:ln>
                      <a:noFill/>
                    </a:ln>
                  </pic:spPr>
                </pic:pic>
              </a:graphicData>
            </a:graphic>
          </wp:inline>
        </w:drawing>
      </w:r>
    </w:p>
    <w:p w14:paraId="050388F2" w14:textId="77777777" w:rsidR="00E37CCD" w:rsidRPr="00C40C53" w:rsidRDefault="003B087C" w:rsidP="00525222">
      <w:pPr>
        <w:pStyle w:val="Titre3"/>
      </w:pPr>
      <w:bookmarkStart w:id="132" w:name="_Toc20505714"/>
      <w:r w:rsidRPr="00BA1CEF">
        <w:lastRenderedPageBreak/>
        <w:t>7</w:t>
      </w:r>
      <w:r w:rsidR="00DE181A" w:rsidRPr="00BA1CEF">
        <w:t>.4.</w:t>
      </w:r>
      <w:r w:rsidR="004131DC" w:rsidRPr="00BA1CEF">
        <w:t>12</w:t>
      </w:r>
      <w:r w:rsidR="00E37CCD" w:rsidRPr="00BA1CEF">
        <w:t xml:space="preserve"> Projets relatifs à l’Environnement des bailleurs de fonds au Mali</w:t>
      </w:r>
      <w:r w:rsidR="00DA4B2A" w:rsidRPr="00BA1CEF">
        <w:t xml:space="preserve"> (liste non – exhaustive)</w:t>
      </w:r>
      <w:bookmarkEnd w:id="132"/>
    </w:p>
    <w:p w14:paraId="73A96921" w14:textId="77777777" w:rsidR="001C59B7" w:rsidRDefault="001C59B7" w:rsidP="001C59B7">
      <w:pPr>
        <w:spacing w:after="0" w:line="240" w:lineRule="auto"/>
        <w:rPr>
          <w:rFonts w:eastAsia="SimSun" w:cs="Arial"/>
          <w:sz w:val="18"/>
          <w:szCs w:val="18"/>
          <w:lang w:val="fr-FR" w:eastAsia="zh-CN"/>
        </w:rPr>
      </w:pPr>
    </w:p>
    <w:p w14:paraId="45330030" w14:textId="77777777" w:rsidR="001C59B7" w:rsidRPr="004B3056" w:rsidRDefault="001C59B7" w:rsidP="001C59B7">
      <w:pPr>
        <w:spacing w:after="0" w:line="240" w:lineRule="auto"/>
        <w:rPr>
          <w:rFonts w:eastAsia="SimSun" w:cs="Arial"/>
          <w:sz w:val="18"/>
          <w:szCs w:val="18"/>
          <w:lang w:val="fr-FR" w:eastAsia="zh-CN"/>
        </w:rPr>
      </w:pPr>
      <w:r w:rsidRPr="004B3056">
        <w:rPr>
          <w:rFonts w:eastAsia="SimSun" w:cs="Arial"/>
          <w:sz w:val="18"/>
          <w:szCs w:val="18"/>
          <w:lang w:val="fr-FR" w:eastAsia="zh-CN"/>
        </w:rPr>
        <w:t>Commission Européenne</w:t>
      </w:r>
    </w:p>
    <w:tbl>
      <w:tblPr>
        <w:tblStyle w:val="Tabellenraster3"/>
        <w:tblW w:w="5000" w:type="pct"/>
        <w:tblLook w:val="01E0" w:firstRow="1" w:lastRow="1" w:firstColumn="1" w:lastColumn="1" w:noHBand="0" w:noVBand="0"/>
      </w:tblPr>
      <w:tblGrid>
        <w:gridCol w:w="1117"/>
        <w:gridCol w:w="4602"/>
        <w:gridCol w:w="1711"/>
        <w:gridCol w:w="953"/>
        <w:gridCol w:w="1754"/>
      </w:tblGrid>
      <w:tr w:rsidR="004B3056" w:rsidRPr="004B3056" w14:paraId="38FCD409" w14:textId="77777777" w:rsidTr="00BA1953">
        <w:tc>
          <w:tcPr>
            <w:tcW w:w="551" w:type="pct"/>
            <w:shd w:val="clear" w:color="auto" w:fill="D9D9D9"/>
            <w:vAlign w:val="center"/>
          </w:tcPr>
          <w:p w14:paraId="509B0C2D" w14:textId="77777777" w:rsidR="001C59B7" w:rsidRPr="004B3056" w:rsidRDefault="001C59B7" w:rsidP="001C59B7">
            <w:pPr>
              <w:spacing w:after="0" w:line="240" w:lineRule="auto"/>
              <w:rPr>
                <w:rFonts w:cs="Arial"/>
                <w:caps/>
                <w:sz w:val="18"/>
                <w:szCs w:val="18"/>
                <w:lang w:val="fr-FR" w:eastAsia="zh-CN"/>
              </w:rPr>
            </w:pPr>
            <w:r w:rsidRPr="004B3056">
              <w:rPr>
                <w:rFonts w:cs="Arial"/>
                <w:caps/>
                <w:sz w:val="18"/>
                <w:szCs w:val="18"/>
                <w:lang w:val="fr-FR" w:eastAsia="zh-CN"/>
              </w:rPr>
              <w:t xml:space="preserve"> Projet</w:t>
            </w:r>
          </w:p>
          <w:p w14:paraId="672EF2E9" w14:textId="77777777" w:rsidR="001C59B7" w:rsidRPr="004B3056" w:rsidRDefault="001C59B7" w:rsidP="001C59B7">
            <w:pPr>
              <w:spacing w:after="0" w:line="240" w:lineRule="auto"/>
              <w:rPr>
                <w:rFonts w:cs="Arial"/>
                <w:caps/>
                <w:sz w:val="18"/>
                <w:szCs w:val="18"/>
                <w:lang w:val="fr-FR" w:eastAsia="zh-CN"/>
              </w:rPr>
            </w:pPr>
            <w:r w:rsidRPr="004B3056">
              <w:rPr>
                <w:rFonts w:cs="Arial"/>
                <w:caps/>
                <w:sz w:val="18"/>
                <w:szCs w:val="18"/>
                <w:lang w:val="fr-FR" w:eastAsia="zh-CN"/>
              </w:rPr>
              <w:t>Abr.</w:t>
            </w:r>
          </w:p>
        </w:tc>
        <w:tc>
          <w:tcPr>
            <w:tcW w:w="2270" w:type="pct"/>
            <w:shd w:val="clear" w:color="auto" w:fill="D9D9D9"/>
            <w:vAlign w:val="center"/>
          </w:tcPr>
          <w:p w14:paraId="0F29C950" w14:textId="77777777" w:rsidR="001C59B7" w:rsidRPr="004B3056" w:rsidRDefault="001C59B7" w:rsidP="001C59B7">
            <w:pPr>
              <w:spacing w:after="0" w:line="240" w:lineRule="auto"/>
              <w:jc w:val="center"/>
              <w:rPr>
                <w:rFonts w:cs="Arial"/>
                <w:caps/>
                <w:sz w:val="18"/>
                <w:szCs w:val="18"/>
                <w:lang w:val="fr-FR" w:eastAsia="zh-CN"/>
              </w:rPr>
            </w:pPr>
            <w:r w:rsidRPr="004B3056">
              <w:rPr>
                <w:rFonts w:cs="Arial"/>
                <w:caps/>
                <w:sz w:val="18"/>
                <w:szCs w:val="18"/>
                <w:lang w:val="fr-FR" w:eastAsia="zh-CN"/>
              </w:rPr>
              <w:t>Projet</w:t>
            </w:r>
          </w:p>
        </w:tc>
        <w:tc>
          <w:tcPr>
            <w:tcW w:w="844" w:type="pct"/>
            <w:shd w:val="clear" w:color="auto" w:fill="D9D9D9"/>
            <w:vAlign w:val="center"/>
          </w:tcPr>
          <w:p w14:paraId="511CAE6B" w14:textId="77777777" w:rsidR="001C59B7" w:rsidRPr="004B3056" w:rsidRDefault="001C59B7" w:rsidP="001C59B7">
            <w:pPr>
              <w:spacing w:after="0" w:line="240" w:lineRule="auto"/>
              <w:jc w:val="center"/>
              <w:rPr>
                <w:rFonts w:cs="Arial"/>
                <w:caps/>
                <w:sz w:val="18"/>
                <w:szCs w:val="18"/>
                <w:lang w:val="fr-FR" w:eastAsia="zh-CN"/>
              </w:rPr>
            </w:pPr>
            <w:r w:rsidRPr="004B3056">
              <w:rPr>
                <w:rFonts w:cs="Arial"/>
                <w:caps/>
                <w:sz w:val="18"/>
                <w:szCs w:val="18"/>
                <w:lang w:val="fr-FR" w:eastAsia="zh-CN"/>
              </w:rPr>
              <w:t>Partenaire de mise en oeuvre</w:t>
            </w:r>
          </w:p>
        </w:tc>
        <w:tc>
          <w:tcPr>
            <w:tcW w:w="470" w:type="pct"/>
            <w:shd w:val="clear" w:color="auto" w:fill="D9D9D9"/>
            <w:vAlign w:val="center"/>
          </w:tcPr>
          <w:p w14:paraId="545C2D17" w14:textId="77777777" w:rsidR="001C59B7" w:rsidRPr="004B3056" w:rsidRDefault="001C59B7" w:rsidP="001C59B7">
            <w:pPr>
              <w:spacing w:after="0" w:line="240" w:lineRule="auto"/>
              <w:jc w:val="center"/>
              <w:rPr>
                <w:rFonts w:cs="Arial"/>
                <w:caps/>
                <w:sz w:val="18"/>
                <w:szCs w:val="18"/>
                <w:lang w:val="fr-FR" w:eastAsia="zh-CN"/>
              </w:rPr>
            </w:pPr>
            <w:r w:rsidRPr="004B3056">
              <w:rPr>
                <w:rFonts w:cs="Arial"/>
                <w:caps/>
                <w:sz w:val="18"/>
                <w:szCs w:val="18"/>
                <w:lang w:val="fr-FR" w:eastAsia="zh-CN"/>
              </w:rPr>
              <w:t>Durée</w:t>
            </w:r>
          </w:p>
        </w:tc>
        <w:tc>
          <w:tcPr>
            <w:tcW w:w="865" w:type="pct"/>
            <w:shd w:val="clear" w:color="auto" w:fill="D9D9D9"/>
            <w:vAlign w:val="center"/>
          </w:tcPr>
          <w:p w14:paraId="6F3AAC9C" w14:textId="77777777" w:rsidR="001C59B7" w:rsidRPr="004B3056" w:rsidRDefault="001C59B7" w:rsidP="001C59B7">
            <w:pPr>
              <w:spacing w:after="0" w:line="240" w:lineRule="auto"/>
              <w:jc w:val="center"/>
              <w:rPr>
                <w:rFonts w:cs="Arial"/>
                <w:caps/>
                <w:sz w:val="18"/>
                <w:szCs w:val="18"/>
                <w:lang w:val="fr-FR" w:eastAsia="zh-CN"/>
              </w:rPr>
            </w:pPr>
            <w:r w:rsidRPr="004B3056">
              <w:rPr>
                <w:rFonts w:cs="Arial"/>
                <w:caps/>
                <w:sz w:val="18"/>
                <w:szCs w:val="18"/>
                <w:lang w:val="fr-FR" w:eastAsia="zh-CN"/>
              </w:rPr>
              <w:t>Montant (€)</w:t>
            </w:r>
          </w:p>
        </w:tc>
      </w:tr>
      <w:tr w:rsidR="004B3056" w:rsidRPr="004B3056" w14:paraId="7D360A8A" w14:textId="77777777" w:rsidTr="00BA1953">
        <w:trPr>
          <w:trHeight w:val="20"/>
        </w:trPr>
        <w:tc>
          <w:tcPr>
            <w:tcW w:w="551" w:type="pct"/>
            <w:vAlign w:val="center"/>
          </w:tcPr>
          <w:p w14:paraId="565F1E62"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AGCC 2</w:t>
            </w:r>
          </w:p>
        </w:tc>
        <w:tc>
          <w:tcPr>
            <w:tcW w:w="2270" w:type="pct"/>
            <w:vAlign w:val="center"/>
          </w:tcPr>
          <w:p w14:paraId="1A1D6986" w14:textId="77777777" w:rsidR="001C59B7" w:rsidRPr="004B3056" w:rsidRDefault="001C59B7" w:rsidP="001C59B7">
            <w:pPr>
              <w:spacing w:after="0" w:line="240" w:lineRule="auto"/>
              <w:rPr>
                <w:rFonts w:cs="Arial"/>
                <w:bCs/>
                <w:sz w:val="17"/>
                <w:szCs w:val="17"/>
                <w:lang w:val="fr-FR" w:eastAsia="zh-CN"/>
              </w:rPr>
            </w:pPr>
            <w:r w:rsidRPr="004B3056">
              <w:rPr>
                <w:rFonts w:cs="Arial"/>
                <w:bCs/>
                <w:sz w:val="17"/>
                <w:szCs w:val="17"/>
                <w:lang w:val="fr-FR" w:eastAsia="zh-CN"/>
              </w:rPr>
              <w:t>Alliance Globale  sur le Changement Climatique</w:t>
            </w:r>
          </w:p>
        </w:tc>
        <w:tc>
          <w:tcPr>
            <w:tcW w:w="844" w:type="pct"/>
            <w:vAlign w:val="center"/>
          </w:tcPr>
          <w:p w14:paraId="7565FDF0"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MEADD</w:t>
            </w:r>
          </w:p>
        </w:tc>
        <w:tc>
          <w:tcPr>
            <w:tcW w:w="470" w:type="pct"/>
            <w:shd w:val="clear" w:color="auto" w:fill="auto"/>
            <w:vAlign w:val="center"/>
          </w:tcPr>
          <w:p w14:paraId="64CBCC3B"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2017-2026</w:t>
            </w:r>
          </w:p>
        </w:tc>
        <w:tc>
          <w:tcPr>
            <w:tcW w:w="865" w:type="pct"/>
            <w:shd w:val="clear" w:color="auto" w:fill="auto"/>
            <w:vAlign w:val="center"/>
          </w:tcPr>
          <w:p w14:paraId="7966F0EF"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 xml:space="preserve">6.200.000 </w:t>
            </w:r>
          </w:p>
        </w:tc>
      </w:tr>
      <w:tr w:rsidR="004B3056" w:rsidRPr="004B3056" w14:paraId="6A79023C" w14:textId="77777777" w:rsidTr="00BA1953">
        <w:tblPrEx>
          <w:tblLook w:val="04A0" w:firstRow="1" w:lastRow="0" w:firstColumn="1" w:lastColumn="0" w:noHBand="0" w:noVBand="1"/>
        </w:tblPrEx>
        <w:tc>
          <w:tcPr>
            <w:tcW w:w="551" w:type="pct"/>
          </w:tcPr>
          <w:p w14:paraId="1D3F4AF1"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PRORESA</w:t>
            </w:r>
          </w:p>
        </w:tc>
        <w:tc>
          <w:tcPr>
            <w:tcW w:w="2270" w:type="pct"/>
          </w:tcPr>
          <w:p w14:paraId="202ACE4D" w14:textId="77777777" w:rsidR="001C59B7" w:rsidRPr="004B3056" w:rsidRDefault="001C59B7" w:rsidP="001C59B7">
            <w:pPr>
              <w:spacing w:after="0" w:line="240" w:lineRule="auto"/>
              <w:rPr>
                <w:rFonts w:cs="Tahoma"/>
                <w:sz w:val="17"/>
                <w:szCs w:val="17"/>
              </w:rPr>
            </w:pPr>
            <w:r w:rsidRPr="004B3056">
              <w:rPr>
                <w:rFonts w:cs="Tahoma"/>
                <w:sz w:val="17"/>
                <w:szCs w:val="17"/>
              </w:rPr>
              <w:t xml:space="preserve">Programme de Renforcement de la Sécurité Alimentaire au Mali </w:t>
            </w:r>
          </w:p>
          <w:p w14:paraId="25393624" w14:textId="77777777" w:rsidR="001C59B7" w:rsidRPr="004B3056" w:rsidRDefault="001C59B7" w:rsidP="001C59B7">
            <w:pPr>
              <w:spacing w:after="0" w:line="240" w:lineRule="auto"/>
              <w:rPr>
                <w:rFonts w:cs="Tahoma"/>
                <w:sz w:val="17"/>
                <w:szCs w:val="17"/>
              </w:rPr>
            </w:pPr>
            <w:r w:rsidRPr="004B3056">
              <w:rPr>
                <w:rFonts w:cs="Tahoma"/>
                <w:sz w:val="17"/>
                <w:szCs w:val="17"/>
              </w:rPr>
              <w:t>Composante 2 : KEY (Nord Mali)</w:t>
            </w:r>
          </w:p>
          <w:p w14:paraId="1EDED893" w14:textId="77777777" w:rsidR="001C59B7" w:rsidRPr="004B3056" w:rsidRDefault="001C59B7" w:rsidP="001C59B7">
            <w:pPr>
              <w:spacing w:after="0" w:line="240" w:lineRule="auto"/>
              <w:rPr>
                <w:rFonts w:cs="Tahoma"/>
                <w:sz w:val="17"/>
                <w:szCs w:val="17"/>
              </w:rPr>
            </w:pPr>
            <w:r w:rsidRPr="004B3056">
              <w:rPr>
                <w:rFonts w:cs="Tahoma"/>
                <w:sz w:val="17"/>
                <w:szCs w:val="17"/>
              </w:rPr>
              <w:t>Composante 3 : dispositif national de sécurité alimentaire et nutritionnelle</w:t>
            </w:r>
          </w:p>
        </w:tc>
        <w:tc>
          <w:tcPr>
            <w:tcW w:w="844" w:type="pct"/>
          </w:tcPr>
          <w:p w14:paraId="66273C8B"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KEY</w:t>
            </w:r>
          </w:p>
          <w:p w14:paraId="0A4A82BB"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CSA</w:t>
            </w:r>
          </w:p>
        </w:tc>
        <w:tc>
          <w:tcPr>
            <w:tcW w:w="470" w:type="pct"/>
          </w:tcPr>
          <w:p w14:paraId="6785F86D" w14:textId="77777777" w:rsidR="001C59B7" w:rsidRPr="004B3056" w:rsidRDefault="001C59B7" w:rsidP="001C59B7">
            <w:pPr>
              <w:spacing w:after="0" w:line="240" w:lineRule="auto"/>
              <w:rPr>
                <w:rFonts w:cs="Tahoma"/>
                <w:sz w:val="17"/>
                <w:szCs w:val="17"/>
              </w:rPr>
            </w:pPr>
            <w:r w:rsidRPr="004B3056">
              <w:rPr>
                <w:rFonts w:cs="Tahoma"/>
                <w:sz w:val="17"/>
                <w:szCs w:val="17"/>
              </w:rPr>
              <w:t>2016-2021</w:t>
            </w:r>
          </w:p>
        </w:tc>
        <w:tc>
          <w:tcPr>
            <w:tcW w:w="865" w:type="pct"/>
          </w:tcPr>
          <w:p w14:paraId="19986C27"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C2 : 15.000.000</w:t>
            </w:r>
          </w:p>
          <w:p w14:paraId="0779E5FE"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c3 : 5.000.000</w:t>
            </w:r>
          </w:p>
        </w:tc>
      </w:tr>
      <w:tr w:rsidR="004B3056" w:rsidRPr="004B3056" w14:paraId="0AD8EAAC" w14:textId="77777777" w:rsidTr="00BA1953">
        <w:tc>
          <w:tcPr>
            <w:tcW w:w="551" w:type="pct"/>
            <w:vAlign w:val="center"/>
          </w:tcPr>
          <w:p w14:paraId="3F57A425"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PAFHA</w:t>
            </w:r>
          </w:p>
        </w:tc>
        <w:tc>
          <w:tcPr>
            <w:tcW w:w="2270" w:type="pct"/>
            <w:vAlign w:val="center"/>
          </w:tcPr>
          <w:p w14:paraId="2040EBF2" w14:textId="77777777" w:rsidR="001C59B7" w:rsidRPr="004B3056" w:rsidRDefault="001C59B7" w:rsidP="001C59B7">
            <w:pPr>
              <w:spacing w:after="0" w:line="240" w:lineRule="auto"/>
              <w:rPr>
                <w:rFonts w:cs="Tahoma"/>
                <w:sz w:val="17"/>
                <w:szCs w:val="17"/>
              </w:rPr>
            </w:pPr>
            <w:r w:rsidRPr="004B3056">
              <w:rPr>
                <w:rFonts w:cs="Tahoma"/>
                <w:sz w:val="17"/>
                <w:szCs w:val="17"/>
              </w:rPr>
              <w:t>Le</w:t>
            </w:r>
            <w:r w:rsidRPr="004B3056">
              <w:rPr>
                <w:bCs/>
                <w:sz w:val="17"/>
                <w:szCs w:val="17"/>
              </w:rPr>
              <w:t xml:space="preserve"> Projet d'Appui à la Filière Halieutique et aquacole (= composante 1 du PRORESA)</w:t>
            </w:r>
          </w:p>
        </w:tc>
        <w:tc>
          <w:tcPr>
            <w:tcW w:w="844" w:type="pct"/>
            <w:vAlign w:val="center"/>
          </w:tcPr>
          <w:p w14:paraId="75A867D8"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DNP/ENABEL</w:t>
            </w:r>
          </w:p>
        </w:tc>
        <w:tc>
          <w:tcPr>
            <w:tcW w:w="470" w:type="pct"/>
            <w:shd w:val="clear" w:color="auto" w:fill="auto"/>
            <w:vAlign w:val="center"/>
          </w:tcPr>
          <w:p w14:paraId="58A4CDDE" w14:textId="77777777" w:rsidR="001C59B7" w:rsidRPr="004B3056" w:rsidRDefault="001C59B7" w:rsidP="001C59B7">
            <w:pPr>
              <w:spacing w:after="0" w:line="240" w:lineRule="auto"/>
              <w:rPr>
                <w:rFonts w:cs="Arial"/>
                <w:bCs/>
                <w:sz w:val="17"/>
                <w:szCs w:val="17"/>
                <w:lang w:val="fr-FR" w:eastAsia="zh-CN"/>
              </w:rPr>
            </w:pPr>
            <w:r w:rsidRPr="004B3056">
              <w:rPr>
                <w:rFonts w:cs="Arial"/>
                <w:bCs/>
                <w:sz w:val="17"/>
                <w:szCs w:val="17"/>
                <w:lang w:val="fr-FR" w:eastAsia="zh-CN"/>
              </w:rPr>
              <w:t>2016-2021</w:t>
            </w:r>
          </w:p>
        </w:tc>
        <w:tc>
          <w:tcPr>
            <w:tcW w:w="865" w:type="pct"/>
            <w:shd w:val="clear" w:color="auto" w:fill="auto"/>
            <w:vAlign w:val="center"/>
          </w:tcPr>
          <w:p w14:paraId="457A95FD"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C1 : 8.000.000</w:t>
            </w:r>
          </w:p>
        </w:tc>
      </w:tr>
      <w:tr w:rsidR="004B3056" w:rsidRPr="001134BA" w14:paraId="364B1517" w14:textId="77777777" w:rsidTr="00BA1953">
        <w:tc>
          <w:tcPr>
            <w:tcW w:w="551" w:type="pct"/>
            <w:vAlign w:val="center"/>
          </w:tcPr>
          <w:p w14:paraId="3EAF8135" w14:textId="77777777" w:rsidR="001C59B7" w:rsidRPr="00865CE3" w:rsidRDefault="001C59B7" w:rsidP="001C59B7">
            <w:pPr>
              <w:spacing w:after="0" w:line="240" w:lineRule="auto"/>
              <w:rPr>
                <w:rFonts w:cs="Arial"/>
                <w:bCs/>
                <w:caps/>
                <w:sz w:val="17"/>
                <w:szCs w:val="17"/>
                <w:lang w:val="fr-FR" w:eastAsia="zh-CN"/>
              </w:rPr>
            </w:pPr>
            <w:r w:rsidRPr="00865CE3">
              <w:rPr>
                <w:rFonts w:cs="Arial"/>
                <w:bCs/>
                <w:caps/>
                <w:sz w:val="17"/>
                <w:szCs w:val="17"/>
                <w:lang w:val="fr-FR" w:eastAsia="zh-CN"/>
              </w:rPr>
              <w:t>PAFAM</w:t>
            </w:r>
          </w:p>
        </w:tc>
        <w:tc>
          <w:tcPr>
            <w:tcW w:w="2270" w:type="pct"/>
            <w:vAlign w:val="center"/>
          </w:tcPr>
          <w:p w14:paraId="6DFC94FC" w14:textId="77777777" w:rsidR="001C59B7" w:rsidRPr="00865CE3" w:rsidRDefault="001C59B7" w:rsidP="001C59B7">
            <w:pPr>
              <w:spacing w:after="0" w:line="240" w:lineRule="auto"/>
              <w:rPr>
                <w:rFonts w:cs="Tahoma"/>
                <w:sz w:val="17"/>
                <w:szCs w:val="17"/>
              </w:rPr>
            </w:pPr>
            <w:r w:rsidRPr="00865CE3">
              <w:rPr>
                <w:rFonts w:cs="Tahoma"/>
                <w:sz w:val="17"/>
                <w:szCs w:val="17"/>
              </w:rPr>
              <w:t xml:space="preserve">Projet d'Appui à la filière de l'Anacarde au Mali </w:t>
            </w:r>
          </w:p>
        </w:tc>
        <w:tc>
          <w:tcPr>
            <w:tcW w:w="844" w:type="pct"/>
            <w:vAlign w:val="center"/>
          </w:tcPr>
          <w:p w14:paraId="0DEC735F" w14:textId="77777777" w:rsidR="001C59B7" w:rsidRPr="001134BA" w:rsidRDefault="001134BA" w:rsidP="00AB65F9">
            <w:pPr>
              <w:spacing w:after="0" w:line="240" w:lineRule="auto"/>
              <w:rPr>
                <w:rFonts w:cs="Arial"/>
                <w:bCs/>
                <w:caps/>
                <w:color w:val="C00000"/>
                <w:sz w:val="17"/>
                <w:szCs w:val="17"/>
                <w:lang w:val="fr-FR" w:eastAsia="zh-CN"/>
              </w:rPr>
            </w:pPr>
            <w:r w:rsidRPr="009B4A49">
              <w:rPr>
                <w:rFonts w:cs="Arial"/>
                <w:bCs/>
                <w:caps/>
                <w:sz w:val="17"/>
                <w:szCs w:val="17"/>
                <w:lang w:val="fr-FR" w:eastAsia="zh-CN"/>
              </w:rPr>
              <w:t>A</w:t>
            </w:r>
            <w:r w:rsidR="00AB65F9" w:rsidRPr="009B4A49">
              <w:rPr>
                <w:rFonts w:cs="Arial"/>
                <w:bCs/>
                <w:caps/>
                <w:sz w:val="17"/>
                <w:szCs w:val="17"/>
                <w:lang w:val="fr-FR" w:eastAsia="zh-CN"/>
              </w:rPr>
              <w:t>ECID</w:t>
            </w:r>
          </w:p>
        </w:tc>
        <w:tc>
          <w:tcPr>
            <w:tcW w:w="470" w:type="pct"/>
            <w:shd w:val="clear" w:color="auto" w:fill="auto"/>
            <w:vAlign w:val="center"/>
          </w:tcPr>
          <w:p w14:paraId="4312C5AC" w14:textId="77777777" w:rsidR="001C59B7" w:rsidRPr="00865CE3" w:rsidRDefault="001C59B7" w:rsidP="001C59B7">
            <w:pPr>
              <w:spacing w:after="0" w:line="240" w:lineRule="auto"/>
              <w:rPr>
                <w:rFonts w:cs="Arial"/>
                <w:bCs/>
                <w:sz w:val="17"/>
                <w:szCs w:val="17"/>
                <w:lang w:val="fr-FR" w:eastAsia="zh-CN"/>
              </w:rPr>
            </w:pPr>
            <w:r w:rsidRPr="00865CE3">
              <w:rPr>
                <w:rFonts w:cs="Tahoma"/>
                <w:sz w:val="17"/>
                <w:szCs w:val="17"/>
              </w:rPr>
              <w:t>2016-2020</w:t>
            </w:r>
          </w:p>
        </w:tc>
        <w:tc>
          <w:tcPr>
            <w:tcW w:w="865" w:type="pct"/>
            <w:shd w:val="clear" w:color="auto" w:fill="auto"/>
            <w:vAlign w:val="center"/>
          </w:tcPr>
          <w:p w14:paraId="4236403C" w14:textId="77777777" w:rsidR="001C59B7" w:rsidRPr="00865CE3" w:rsidRDefault="001C59B7" w:rsidP="001C59B7">
            <w:pPr>
              <w:spacing w:after="0" w:line="240" w:lineRule="auto"/>
              <w:rPr>
                <w:rFonts w:cs="Arial"/>
                <w:bCs/>
                <w:caps/>
                <w:sz w:val="17"/>
                <w:szCs w:val="17"/>
                <w:lang w:val="fr-FR" w:eastAsia="zh-CN"/>
              </w:rPr>
            </w:pPr>
            <w:r w:rsidRPr="00865CE3">
              <w:rPr>
                <w:rFonts w:cs="Arial"/>
                <w:bCs/>
                <w:caps/>
                <w:sz w:val="17"/>
                <w:szCs w:val="17"/>
                <w:lang w:val="fr-FR" w:eastAsia="zh-CN"/>
              </w:rPr>
              <w:t xml:space="preserve">13.500.000  </w:t>
            </w:r>
          </w:p>
        </w:tc>
      </w:tr>
      <w:tr w:rsidR="004B3056" w:rsidRPr="004B3056" w14:paraId="5296921D" w14:textId="77777777" w:rsidTr="00BA1953">
        <w:tc>
          <w:tcPr>
            <w:tcW w:w="551" w:type="pct"/>
            <w:vAlign w:val="center"/>
          </w:tcPr>
          <w:p w14:paraId="7974DE48" w14:textId="77777777" w:rsidR="001C59B7" w:rsidRPr="004B3056" w:rsidRDefault="001C59B7" w:rsidP="001C59B7">
            <w:pPr>
              <w:spacing w:after="0" w:line="240" w:lineRule="auto"/>
              <w:rPr>
                <w:rFonts w:cs="Arial"/>
                <w:bCs/>
                <w:caps/>
                <w:sz w:val="17"/>
                <w:szCs w:val="17"/>
                <w:lang w:val="fr-FR" w:eastAsia="zh-CN"/>
              </w:rPr>
            </w:pPr>
          </w:p>
        </w:tc>
        <w:tc>
          <w:tcPr>
            <w:tcW w:w="2270" w:type="pct"/>
            <w:vAlign w:val="center"/>
          </w:tcPr>
          <w:p w14:paraId="13806293" w14:textId="77777777" w:rsidR="001C59B7" w:rsidRPr="004B3056" w:rsidRDefault="001C59B7" w:rsidP="001C59B7">
            <w:pPr>
              <w:spacing w:after="0" w:line="240" w:lineRule="auto"/>
              <w:rPr>
                <w:rFonts w:cs="Tahoma"/>
                <w:sz w:val="17"/>
                <w:szCs w:val="17"/>
              </w:rPr>
            </w:pPr>
            <w:r w:rsidRPr="004B3056">
              <w:rPr>
                <w:rFonts w:cs="Tahoma"/>
                <w:sz w:val="17"/>
                <w:szCs w:val="17"/>
              </w:rPr>
              <w:t xml:space="preserve">Programme de renforcement de la résilience des communautés, des ménages et des individus vulnérables à l’insécurité alimentaire et nutritionnelle au Mali </w:t>
            </w:r>
          </w:p>
        </w:tc>
        <w:tc>
          <w:tcPr>
            <w:tcW w:w="844" w:type="pct"/>
            <w:vAlign w:val="center"/>
          </w:tcPr>
          <w:p w14:paraId="3F5262F7" w14:textId="77777777" w:rsidR="001C59B7" w:rsidRPr="004B3056" w:rsidRDefault="001C59B7" w:rsidP="001C59B7">
            <w:pPr>
              <w:spacing w:after="0" w:line="240" w:lineRule="auto"/>
              <w:rPr>
                <w:rFonts w:cs="Arial"/>
                <w:bCs/>
                <w:caps/>
                <w:sz w:val="17"/>
                <w:szCs w:val="17"/>
                <w:lang w:val="fr-FR" w:eastAsia="zh-CN"/>
              </w:rPr>
            </w:pPr>
          </w:p>
        </w:tc>
        <w:tc>
          <w:tcPr>
            <w:tcW w:w="470" w:type="pct"/>
            <w:shd w:val="clear" w:color="auto" w:fill="auto"/>
            <w:vAlign w:val="center"/>
          </w:tcPr>
          <w:p w14:paraId="56AB7519" w14:textId="77777777" w:rsidR="001C59B7" w:rsidRPr="004B3056" w:rsidRDefault="001C59B7" w:rsidP="001C59B7">
            <w:pPr>
              <w:spacing w:after="0" w:line="240" w:lineRule="auto"/>
              <w:rPr>
                <w:rFonts w:cs="Tahoma"/>
                <w:sz w:val="17"/>
                <w:szCs w:val="17"/>
              </w:rPr>
            </w:pPr>
            <w:r w:rsidRPr="004B3056">
              <w:rPr>
                <w:rFonts w:cs="Tahoma"/>
                <w:sz w:val="17"/>
                <w:szCs w:val="17"/>
              </w:rPr>
              <w:t>2015-2019</w:t>
            </w:r>
          </w:p>
        </w:tc>
        <w:tc>
          <w:tcPr>
            <w:tcW w:w="865" w:type="pct"/>
            <w:shd w:val="clear" w:color="auto" w:fill="auto"/>
            <w:vAlign w:val="center"/>
          </w:tcPr>
          <w:p w14:paraId="0AB811FB"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25.000.000</w:t>
            </w:r>
          </w:p>
        </w:tc>
      </w:tr>
      <w:tr w:rsidR="004B3056" w:rsidRPr="004B3056" w14:paraId="11F5CFB4" w14:textId="77777777" w:rsidTr="00BA1953">
        <w:tc>
          <w:tcPr>
            <w:tcW w:w="551" w:type="pct"/>
            <w:vAlign w:val="center"/>
          </w:tcPr>
          <w:p w14:paraId="75704AC2"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IRRIGAR</w:t>
            </w:r>
          </w:p>
        </w:tc>
        <w:tc>
          <w:tcPr>
            <w:tcW w:w="2270" w:type="pct"/>
            <w:vAlign w:val="center"/>
          </w:tcPr>
          <w:p w14:paraId="6FF0E7B7" w14:textId="77777777" w:rsidR="001C59B7" w:rsidRPr="004B3056" w:rsidRDefault="001C59B7" w:rsidP="001C59B7">
            <w:pPr>
              <w:spacing w:after="0" w:line="240" w:lineRule="auto"/>
              <w:rPr>
                <w:rFonts w:cs="Tahoma"/>
                <w:sz w:val="17"/>
                <w:szCs w:val="17"/>
              </w:rPr>
            </w:pPr>
            <w:r w:rsidRPr="004B3056">
              <w:rPr>
                <w:rFonts w:cs="Tahoma"/>
                <w:sz w:val="17"/>
                <w:szCs w:val="17"/>
              </w:rPr>
              <w:t xml:space="preserve">Initiative de Renforcement de la Résilience par l'Irrigation et la Gestion Appropriée des Ressources </w:t>
            </w:r>
          </w:p>
          <w:p w14:paraId="07F63F69" w14:textId="77777777" w:rsidR="001C59B7" w:rsidRPr="004B3056" w:rsidRDefault="001C59B7" w:rsidP="001C59B7">
            <w:pPr>
              <w:spacing w:after="0" w:line="240" w:lineRule="auto"/>
              <w:rPr>
                <w:rFonts w:cs="Tahoma"/>
                <w:sz w:val="17"/>
                <w:szCs w:val="17"/>
              </w:rPr>
            </w:pPr>
          </w:p>
        </w:tc>
        <w:tc>
          <w:tcPr>
            <w:tcW w:w="844" w:type="pct"/>
            <w:vAlign w:val="center"/>
          </w:tcPr>
          <w:p w14:paraId="0CEB503A" w14:textId="77777777" w:rsidR="001C59B7" w:rsidRPr="004B3056" w:rsidRDefault="001C59B7" w:rsidP="001C59B7">
            <w:pPr>
              <w:spacing w:after="0" w:line="240" w:lineRule="auto"/>
              <w:rPr>
                <w:rFonts w:cs="Arial"/>
                <w:bCs/>
                <w:caps/>
                <w:sz w:val="17"/>
                <w:szCs w:val="17"/>
                <w:lang w:val="fr-FR" w:eastAsia="zh-CN"/>
              </w:rPr>
            </w:pPr>
          </w:p>
        </w:tc>
        <w:tc>
          <w:tcPr>
            <w:tcW w:w="470" w:type="pct"/>
            <w:shd w:val="clear" w:color="auto" w:fill="auto"/>
            <w:vAlign w:val="center"/>
          </w:tcPr>
          <w:p w14:paraId="3A717393" w14:textId="77777777" w:rsidR="001C59B7" w:rsidRPr="004B3056" w:rsidRDefault="001C59B7" w:rsidP="001C59B7">
            <w:pPr>
              <w:spacing w:after="0" w:line="240" w:lineRule="auto"/>
              <w:rPr>
                <w:rFonts w:cs="Tahoma"/>
                <w:sz w:val="17"/>
                <w:szCs w:val="17"/>
              </w:rPr>
            </w:pPr>
            <w:r w:rsidRPr="004B3056">
              <w:rPr>
                <w:rFonts w:cs="Tahoma"/>
                <w:sz w:val="17"/>
                <w:szCs w:val="17"/>
              </w:rPr>
              <w:t>2014-2019</w:t>
            </w:r>
          </w:p>
        </w:tc>
        <w:tc>
          <w:tcPr>
            <w:tcW w:w="865" w:type="pct"/>
            <w:shd w:val="clear" w:color="auto" w:fill="auto"/>
            <w:vAlign w:val="center"/>
          </w:tcPr>
          <w:p w14:paraId="2D6B9237"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27.700.000 UE +</w:t>
            </w:r>
          </w:p>
          <w:p w14:paraId="12D50A38"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3.900.000 (A</w:t>
            </w:r>
            <w:r w:rsidRPr="004B3056">
              <w:rPr>
                <w:rFonts w:cs="Arial"/>
                <w:bCs/>
                <w:sz w:val="17"/>
                <w:szCs w:val="17"/>
                <w:lang w:val="fr-FR" w:eastAsia="zh-CN"/>
              </w:rPr>
              <w:t>llemagne</w:t>
            </w:r>
            <w:r w:rsidRPr="004B3056">
              <w:rPr>
                <w:rFonts w:cs="Arial"/>
                <w:bCs/>
                <w:caps/>
                <w:sz w:val="17"/>
                <w:szCs w:val="17"/>
                <w:lang w:val="fr-FR" w:eastAsia="zh-CN"/>
              </w:rPr>
              <w:t>)</w:t>
            </w:r>
          </w:p>
        </w:tc>
      </w:tr>
      <w:tr w:rsidR="004B3056" w:rsidRPr="004B3056" w14:paraId="5994DAB9" w14:textId="77777777" w:rsidTr="00BA1953">
        <w:tc>
          <w:tcPr>
            <w:tcW w:w="551" w:type="pct"/>
            <w:vAlign w:val="center"/>
          </w:tcPr>
          <w:p w14:paraId="1E2DD933" w14:textId="77777777" w:rsidR="001C59B7" w:rsidRPr="004B3056" w:rsidRDefault="001C59B7" w:rsidP="001C59B7">
            <w:pPr>
              <w:spacing w:after="0" w:line="240" w:lineRule="auto"/>
              <w:rPr>
                <w:rFonts w:cs="Arial"/>
                <w:bCs/>
                <w:caps/>
                <w:sz w:val="17"/>
                <w:szCs w:val="17"/>
                <w:lang w:val="fr-FR" w:eastAsia="zh-CN"/>
              </w:rPr>
            </w:pPr>
          </w:p>
        </w:tc>
        <w:tc>
          <w:tcPr>
            <w:tcW w:w="2270" w:type="pct"/>
            <w:vAlign w:val="center"/>
          </w:tcPr>
          <w:p w14:paraId="5FF244D4" w14:textId="77777777" w:rsidR="001C59B7" w:rsidRPr="004B3056" w:rsidRDefault="001C59B7" w:rsidP="001C59B7">
            <w:pPr>
              <w:spacing w:after="0" w:line="240" w:lineRule="auto"/>
              <w:rPr>
                <w:rFonts w:cs="Tahoma"/>
                <w:sz w:val="17"/>
                <w:szCs w:val="17"/>
              </w:rPr>
            </w:pPr>
            <w:r w:rsidRPr="004B3056">
              <w:rPr>
                <w:rFonts w:cs="Tahoma"/>
                <w:sz w:val="17"/>
                <w:szCs w:val="17"/>
              </w:rPr>
              <w:t>Appui à la résilience des populations vulnérables au Nord du Mali – RESILIENCE NORD</w:t>
            </w:r>
          </w:p>
        </w:tc>
        <w:tc>
          <w:tcPr>
            <w:tcW w:w="844" w:type="pct"/>
            <w:vAlign w:val="center"/>
          </w:tcPr>
          <w:p w14:paraId="6C4767E8"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FAO/PAM</w:t>
            </w:r>
          </w:p>
        </w:tc>
        <w:tc>
          <w:tcPr>
            <w:tcW w:w="470" w:type="pct"/>
            <w:shd w:val="clear" w:color="auto" w:fill="auto"/>
            <w:vAlign w:val="center"/>
          </w:tcPr>
          <w:p w14:paraId="0A6A28E5" w14:textId="77777777" w:rsidR="001C59B7" w:rsidRPr="004B3056" w:rsidRDefault="001C59B7" w:rsidP="001C59B7">
            <w:pPr>
              <w:spacing w:after="0" w:line="240" w:lineRule="auto"/>
              <w:rPr>
                <w:rFonts w:cs="Tahoma"/>
                <w:sz w:val="17"/>
                <w:szCs w:val="17"/>
              </w:rPr>
            </w:pPr>
            <w:r w:rsidRPr="004B3056">
              <w:rPr>
                <w:rFonts w:cs="Tahoma"/>
                <w:sz w:val="17"/>
                <w:szCs w:val="17"/>
              </w:rPr>
              <w:t>2015-2018</w:t>
            </w:r>
          </w:p>
        </w:tc>
        <w:tc>
          <w:tcPr>
            <w:tcW w:w="865" w:type="pct"/>
            <w:shd w:val="clear" w:color="auto" w:fill="auto"/>
            <w:vAlign w:val="center"/>
          </w:tcPr>
          <w:p w14:paraId="25AF852D"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10.000.000</w:t>
            </w:r>
          </w:p>
        </w:tc>
      </w:tr>
      <w:tr w:rsidR="004B3056" w:rsidRPr="004B3056" w14:paraId="041FF034" w14:textId="77777777" w:rsidTr="00BA1953">
        <w:tc>
          <w:tcPr>
            <w:tcW w:w="551" w:type="pct"/>
            <w:vAlign w:val="center"/>
          </w:tcPr>
          <w:p w14:paraId="3E97E112" w14:textId="77777777" w:rsidR="001C59B7" w:rsidRPr="004B3056" w:rsidRDefault="001C59B7" w:rsidP="001C59B7">
            <w:pPr>
              <w:spacing w:after="0" w:line="240" w:lineRule="auto"/>
              <w:rPr>
                <w:rFonts w:cs="Arial"/>
                <w:bCs/>
                <w:caps/>
                <w:sz w:val="17"/>
                <w:szCs w:val="17"/>
                <w:lang w:val="fr-FR" w:eastAsia="zh-CN"/>
              </w:rPr>
            </w:pPr>
          </w:p>
        </w:tc>
        <w:tc>
          <w:tcPr>
            <w:tcW w:w="2270" w:type="pct"/>
            <w:vAlign w:val="center"/>
          </w:tcPr>
          <w:p w14:paraId="63A23EA9" w14:textId="77777777" w:rsidR="001C59B7" w:rsidRPr="004B3056" w:rsidRDefault="001C59B7" w:rsidP="001C59B7">
            <w:pPr>
              <w:spacing w:after="0" w:line="240" w:lineRule="auto"/>
              <w:rPr>
                <w:rFonts w:cs="Tahoma"/>
                <w:sz w:val="17"/>
                <w:szCs w:val="17"/>
                <w:lang w:val="fr-FR"/>
              </w:rPr>
            </w:pPr>
            <w:r w:rsidRPr="004B3056">
              <w:rPr>
                <w:rFonts w:cs="Tahoma"/>
                <w:sz w:val="17"/>
                <w:szCs w:val="17"/>
              </w:rPr>
              <w:t xml:space="preserve">Programme d’assistance aux politiques liées à la sécurité alimentaire- FIRST (Food, </w:t>
            </w:r>
            <w:r w:rsidRPr="004B3056">
              <w:rPr>
                <w:rFonts w:cs="Tahoma"/>
                <w:sz w:val="17"/>
                <w:szCs w:val="17"/>
                <w:lang w:val="fr-FR"/>
              </w:rPr>
              <w:t>Impact, Resilience, Sustainability and Transformation)</w:t>
            </w:r>
          </w:p>
        </w:tc>
        <w:tc>
          <w:tcPr>
            <w:tcW w:w="844" w:type="pct"/>
            <w:vAlign w:val="center"/>
          </w:tcPr>
          <w:p w14:paraId="624AD267"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FAO</w:t>
            </w:r>
          </w:p>
        </w:tc>
        <w:tc>
          <w:tcPr>
            <w:tcW w:w="470" w:type="pct"/>
            <w:shd w:val="clear" w:color="auto" w:fill="auto"/>
            <w:vAlign w:val="center"/>
          </w:tcPr>
          <w:p w14:paraId="6B76A0AB" w14:textId="77777777" w:rsidR="001C59B7" w:rsidRPr="004B3056" w:rsidRDefault="001C59B7" w:rsidP="001C59B7">
            <w:pPr>
              <w:spacing w:after="0" w:line="240" w:lineRule="auto"/>
              <w:rPr>
                <w:rFonts w:cs="Tahoma"/>
                <w:sz w:val="17"/>
                <w:szCs w:val="17"/>
                <w:lang w:val="fr-FR"/>
              </w:rPr>
            </w:pPr>
          </w:p>
        </w:tc>
        <w:tc>
          <w:tcPr>
            <w:tcW w:w="865" w:type="pct"/>
            <w:shd w:val="clear" w:color="auto" w:fill="auto"/>
            <w:vAlign w:val="center"/>
          </w:tcPr>
          <w:p w14:paraId="40FEA580" w14:textId="77777777" w:rsidR="001C59B7" w:rsidRPr="004B3056" w:rsidRDefault="001C59B7" w:rsidP="001C59B7">
            <w:pPr>
              <w:spacing w:after="0" w:line="240" w:lineRule="auto"/>
              <w:rPr>
                <w:rFonts w:cs="Arial"/>
                <w:bCs/>
                <w:caps/>
                <w:sz w:val="17"/>
                <w:szCs w:val="17"/>
                <w:lang w:val="fr-FR" w:eastAsia="zh-CN"/>
              </w:rPr>
            </w:pPr>
          </w:p>
        </w:tc>
      </w:tr>
      <w:tr w:rsidR="004B3056" w:rsidRPr="004B3056" w14:paraId="43D87EE6" w14:textId="77777777" w:rsidTr="00BA1953">
        <w:tc>
          <w:tcPr>
            <w:tcW w:w="551" w:type="pct"/>
            <w:vAlign w:val="center"/>
          </w:tcPr>
          <w:p w14:paraId="584EA00E"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CRS-SANAD</w:t>
            </w:r>
          </w:p>
        </w:tc>
        <w:tc>
          <w:tcPr>
            <w:tcW w:w="2270" w:type="pct"/>
            <w:vAlign w:val="center"/>
          </w:tcPr>
          <w:p w14:paraId="5B5F1685" w14:textId="77777777" w:rsidR="001C59B7" w:rsidRPr="004B3056" w:rsidRDefault="001C59B7" w:rsidP="001C59B7">
            <w:pPr>
              <w:spacing w:after="0" w:line="240" w:lineRule="auto"/>
              <w:rPr>
                <w:rFonts w:cs="Tahoma"/>
                <w:sz w:val="17"/>
                <w:szCs w:val="17"/>
              </w:rPr>
            </w:pPr>
            <w:r w:rsidRPr="004B3056">
              <w:rPr>
                <w:rFonts w:cs="Tahoma"/>
                <w:sz w:val="17"/>
                <w:szCs w:val="17"/>
              </w:rPr>
              <w:t>Contrat de Réforme Sectorielle- Secteur Alimentaire, Nutritionnelle et Agriculture Durable</w:t>
            </w:r>
          </w:p>
        </w:tc>
        <w:tc>
          <w:tcPr>
            <w:tcW w:w="844" w:type="pct"/>
            <w:vAlign w:val="center"/>
          </w:tcPr>
          <w:p w14:paraId="69EFD98F"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GIZ</w:t>
            </w:r>
          </w:p>
        </w:tc>
        <w:tc>
          <w:tcPr>
            <w:tcW w:w="470" w:type="pct"/>
            <w:shd w:val="clear" w:color="auto" w:fill="auto"/>
            <w:vAlign w:val="center"/>
          </w:tcPr>
          <w:p w14:paraId="317A3CB5" w14:textId="77777777" w:rsidR="001C59B7" w:rsidRPr="004B3056" w:rsidRDefault="001C59B7" w:rsidP="001C59B7">
            <w:pPr>
              <w:spacing w:after="0" w:line="240" w:lineRule="auto"/>
              <w:rPr>
                <w:rFonts w:cs="Tahoma"/>
                <w:sz w:val="17"/>
                <w:szCs w:val="17"/>
                <w:lang w:val="fr-FR"/>
              </w:rPr>
            </w:pPr>
            <w:r w:rsidRPr="004B3056">
              <w:rPr>
                <w:rFonts w:cs="Tahoma"/>
                <w:sz w:val="17"/>
                <w:szCs w:val="17"/>
                <w:lang w:val="fr-FR"/>
              </w:rPr>
              <w:t>2017-2022</w:t>
            </w:r>
          </w:p>
        </w:tc>
        <w:tc>
          <w:tcPr>
            <w:tcW w:w="865" w:type="pct"/>
            <w:shd w:val="clear" w:color="auto" w:fill="auto"/>
            <w:vAlign w:val="center"/>
          </w:tcPr>
          <w:p w14:paraId="3977CBF6"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50.000.000</w:t>
            </w:r>
          </w:p>
        </w:tc>
      </w:tr>
      <w:tr w:rsidR="004B3056" w:rsidRPr="004B3056" w14:paraId="16F1B57E" w14:textId="77777777" w:rsidTr="00BA1953">
        <w:tc>
          <w:tcPr>
            <w:tcW w:w="551" w:type="pct"/>
            <w:vAlign w:val="center"/>
          </w:tcPr>
          <w:p w14:paraId="638911EC"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PACTEA II</w:t>
            </w:r>
          </w:p>
        </w:tc>
        <w:tc>
          <w:tcPr>
            <w:tcW w:w="2270" w:type="pct"/>
            <w:vAlign w:val="center"/>
          </w:tcPr>
          <w:p w14:paraId="1C8178CE" w14:textId="77777777" w:rsidR="001C59B7" w:rsidRPr="004B3056" w:rsidRDefault="001C59B7" w:rsidP="001C59B7">
            <w:pPr>
              <w:spacing w:after="0" w:line="240" w:lineRule="auto"/>
              <w:rPr>
                <w:rFonts w:cs="Tahoma"/>
                <w:sz w:val="17"/>
                <w:szCs w:val="17"/>
              </w:rPr>
            </w:pPr>
            <w:r w:rsidRPr="004B3056">
              <w:rPr>
                <w:rFonts w:cs="Tahoma"/>
                <w:sz w:val="17"/>
                <w:szCs w:val="17"/>
              </w:rPr>
              <w:t>Programme d’Appui aux Collectivités Territoriales pour l’Eau potable et l’Assainissement, Phase 2</w:t>
            </w:r>
          </w:p>
        </w:tc>
        <w:tc>
          <w:tcPr>
            <w:tcW w:w="844" w:type="pct"/>
            <w:vAlign w:val="center"/>
          </w:tcPr>
          <w:p w14:paraId="2E044A28" w14:textId="77777777" w:rsidR="001C59B7" w:rsidRPr="004B3056" w:rsidRDefault="001C59B7" w:rsidP="001C59B7">
            <w:pPr>
              <w:spacing w:after="0" w:line="240" w:lineRule="auto"/>
              <w:rPr>
                <w:rFonts w:cs="Arial"/>
                <w:bCs/>
                <w:caps/>
                <w:sz w:val="17"/>
                <w:szCs w:val="17"/>
                <w:lang w:val="fr-FR" w:eastAsia="zh-CN"/>
              </w:rPr>
            </w:pPr>
          </w:p>
        </w:tc>
        <w:tc>
          <w:tcPr>
            <w:tcW w:w="470" w:type="pct"/>
            <w:shd w:val="clear" w:color="auto" w:fill="auto"/>
            <w:vAlign w:val="center"/>
          </w:tcPr>
          <w:p w14:paraId="759DB9C5" w14:textId="77777777" w:rsidR="001C59B7" w:rsidRPr="004B3056" w:rsidRDefault="001C59B7" w:rsidP="001C59B7">
            <w:pPr>
              <w:spacing w:after="0" w:line="240" w:lineRule="auto"/>
              <w:rPr>
                <w:rFonts w:cs="Tahoma"/>
                <w:sz w:val="17"/>
                <w:szCs w:val="17"/>
                <w:lang w:val="fr-FR"/>
              </w:rPr>
            </w:pPr>
            <w:r w:rsidRPr="004B3056">
              <w:rPr>
                <w:rFonts w:cs="Tahoma"/>
                <w:sz w:val="17"/>
                <w:szCs w:val="17"/>
                <w:lang w:val="fr-FR"/>
              </w:rPr>
              <w:t>2013-2018</w:t>
            </w:r>
          </w:p>
        </w:tc>
        <w:tc>
          <w:tcPr>
            <w:tcW w:w="865" w:type="pct"/>
            <w:shd w:val="clear" w:color="auto" w:fill="auto"/>
            <w:vAlign w:val="center"/>
          </w:tcPr>
          <w:p w14:paraId="3EECA138"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30.900.000</w:t>
            </w:r>
          </w:p>
        </w:tc>
      </w:tr>
      <w:tr w:rsidR="004B3056" w:rsidRPr="004B3056" w14:paraId="5AC3EC59" w14:textId="77777777" w:rsidTr="00BA1953">
        <w:tc>
          <w:tcPr>
            <w:tcW w:w="551" w:type="pct"/>
            <w:vAlign w:val="center"/>
          </w:tcPr>
          <w:p w14:paraId="51CC5593" w14:textId="77777777" w:rsidR="001C59B7" w:rsidRPr="004B3056" w:rsidRDefault="001C59B7" w:rsidP="001C59B7">
            <w:pPr>
              <w:spacing w:after="0" w:line="240" w:lineRule="auto"/>
              <w:rPr>
                <w:rFonts w:cs="Arial"/>
                <w:bCs/>
                <w:caps/>
                <w:sz w:val="17"/>
                <w:szCs w:val="17"/>
                <w:lang w:val="fr-FR" w:eastAsia="zh-CN"/>
              </w:rPr>
            </w:pPr>
          </w:p>
        </w:tc>
        <w:tc>
          <w:tcPr>
            <w:tcW w:w="2270" w:type="pct"/>
            <w:vAlign w:val="center"/>
          </w:tcPr>
          <w:p w14:paraId="26FBC816" w14:textId="77777777" w:rsidR="001C59B7" w:rsidRPr="004B3056" w:rsidRDefault="001C59B7" w:rsidP="001C59B7">
            <w:pPr>
              <w:spacing w:after="0" w:line="240" w:lineRule="auto"/>
              <w:rPr>
                <w:rFonts w:cs="Tahoma"/>
                <w:sz w:val="17"/>
                <w:szCs w:val="17"/>
              </w:rPr>
            </w:pPr>
            <w:r w:rsidRPr="004B3056">
              <w:rPr>
                <w:rFonts w:cs="Tahoma"/>
                <w:sz w:val="17"/>
                <w:szCs w:val="17"/>
              </w:rPr>
              <w:t xml:space="preserve">Projet d'approvisionnement en eau potable de Bamako à partir de la localité de Kabala : Composante "Production" </w:t>
            </w:r>
          </w:p>
        </w:tc>
        <w:tc>
          <w:tcPr>
            <w:tcW w:w="844" w:type="pct"/>
            <w:vAlign w:val="center"/>
          </w:tcPr>
          <w:p w14:paraId="2437CC1C" w14:textId="77777777" w:rsidR="001C59B7" w:rsidRPr="004B3056" w:rsidRDefault="001C59B7" w:rsidP="001C59B7">
            <w:pPr>
              <w:spacing w:after="0" w:line="240" w:lineRule="auto"/>
              <w:rPr>
                <w:rFonts w:cs="Arial"/>
                <w:bCs/>
                <w:caps/>
                <w:sz w:val="17"/>
                <w:szCs w:val="17"/>
                <w:lang w:val="fr-FR" w:eastAsia="zh-CN"/>
              </w:rPr>
            </w:pPr>
          </w:p>
        </w:tc>
        <w:tc>
          <w:tcPr>
            <w:tcW w:w="470" w:type="pct"/>
            <w:shd w:val="clear" w:color="auto" w:fill="auto"/>
            <w:vAlign w:val="center"/>
          </w:tcPr>
          <w:p w14:paraId="0B9E1907" w14:textId="77777777" w:rsidR="001C59B7" w:rsidRPr="004B3056" w:rsidRDefault="001C59B7" w:rsidP="001C59B7">
            <w:pPr>
              <w:spacing w:after="0" w:line="240" w:lineRule="auto"/>
              <w:rPr>
                <w:rFonts w:cs="Tahoma"/>
                <w:sz w:val="17"/>
                <w:szCs w:val="17"/>
                <w:lang w:val="fr-FR"/>
              </w:rPr>
            </w:pPr>
            <w:r w:rsidRPr="004B3056">
              <w:rPr>
                <w:rFonts w:cs="Tahoma"/>
                <w:sz w:val="17"/>
                <w:szCs w:val="17"/>
                <w:lang w:val="fr-FR"/>
              </w:rPr>
              <w:t>2016-2018</w:t>
            </w:r>
          </w:p>
        </w:tc>
        <w:tc>
          <w:tcPr>
            <w:tcW w:w="865" w:type="pct"/>
            <w:shd w:val="clear" w:color="auto" w:fill="auto"/>
            <w:vAlign w:val="center"/>
          </w:tcPr>
          <w:p w14:paraId="4B32E6A0"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BEI : 50.000.000</w:t>
            </w:r>
          </w:p>
          <w:p w14:paraId="7AC67418"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AFD : 39.000.000</w:t>
            </w:r>
          </w:p>
          <w:p w14:paraId="2A60B31B"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UE : 18.000.000</w:t>
            </w:r>
          </w:p>
        </w:tc>
      </w:tr>
      <w:tr w:rsidR="004B3056" w:rsidRPr="004B3056" w14:paraId="0729E3CA" w14:textId="77777777" w:rsidTr="00BA1953">
        <w:tc>
          <w:tcPr>
            <w:tcW w:w="551" w:type="pct"/>
            <w:vAlign w:val="center"/>
          </w:tcPr>
          <w:p w14:paraId="294EEE7F"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PARADDER</w:t>
            </w:r>
          </w:p>
        </w:tc>
        <w:tc>
          <w:tcPr>
            <w:tcW w:w="2270" w:type="pct"/>
            <w:vAlign w:val="center"/>
          </w:tcPr>
          <w:p w14:paraId="542041A5" w14:textId="77777777" w:rsidR="001C59B7" w:rsidRPr="004B3056" w:rsidRDefault="001C59B7" w:rsidP="001C59B7">
            <w:pPr>
              <w:spacing w:after="0" w:line="240" w:lineRule="auto"/>
              <w:rPr>
                <w:rFonts w:cs="Tahoma"/>
                <w:sz w:val="17"/>
                <w:szCs w:val="17"/>
              </w:rPr>
            </w:pPr>
            <w:r w:rsidRPr="004B3056">
              <w:rPr>
                <w:rFonts w:cs="Tahoma"/>
                <w:sz w:val="17"/>
                <w:szCs w:val="17"/>
              </w:rPr>
              <w:t xml:space="preserve">Programme d'Appui à la Réforme Administrative, à la Décentralisation et au Développement Economique et Régional </w:t>
            </w:r>
          </w:p>
        </w:tc>
        <w:tc>
          <w:tcPr>
            <w:tcW w:w="844" w:type="pct"/>
            <w:vAlign w:val="center"/>
          </w:tcPr>
          <w:p w14:paraId="74834A07" w14:textId="77777777" w:rsidR="001C59B7" w:rsidRPr="004B3056" w:rsidRDefault="001C59B7" w:rsidP="001C59B7">
            <w:pPr>
              <w:spacing w:after="0" w:line="240" w:lineRule="auto"/>
              <w:rPr>
                <w:rFonts w:cs="Arial"/>
                <w:bCs/>
                <w:caps/>
                <w:sz w:val="17"/>
                <w:szCs w:val="17"/>
                <w:lang w:val="fr-FR" w:eastAsia="zh-CN"/>
              </w:rPr>
            </w:pPr>
          </w:p>
        </w:tc>
        <w:tc>
          <w:tcPr>
            <w:tcW w:w="470" w:type="pct"/>
            <w:shd w:val="clear" w:color="auto" w:fill="auto"/>
            <w:vAlign w:val="center"/>
          </w:tcPr>
          <w:p w14:paraId="6BBBEEBE" w14:textId="77777777" w:rsidR="001C59B7" w:rsidRPr="004B3056" w:rsidRDefault="001C59B7" w:rsidP="001C59B7">
            <w:pPr>
              <w:spacing w:after="0" w:line="240" w:lineRule="auto"/>
              <w:rPr>
                <w:rFonts w:cs="Tahoma"/>
                <w:sz w:val="17"/>
                <w:szCs w:val="17"/>
                <w:lang w:val="fr-FR"/>
              </w:rPr>
            </w:pPr>
            <w:r w:rsidRPr="004B3056">
              <w:rPr>
                <w:rFonts w:cs="Tahoma"/>
                <w:sz w:val="17"/>
                <w:szCs w:val="17"/>
              </w:rPr>
              <w:t>2010-2018</w:t>
            </w:r>
          </w:p>
        </w:tc>
        <w:tc>
          <w:tcPr>
            <w:tcW w:w="865" w:type="pct"/>
            <w:shd w:val="clear" w:color="auto" w:fill="auto"/>
            <w:vAlign w:val="center"/>
          </w:tcPr>
          <w:p w14:paraId="23C2E723"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51.000.000</w:t>
            </w:r>
          </w:p>
        </w:tc>
      </w:tr>
      <w:tr w:rsidR="004B3056" w:rsidRPr="004B3056" w14:paraId="251E7B0F" w14:textId="77777777" w:rsidTr="00BA1953">
        <w:tc>
          <w:tcPr>
            <w:tcW w:w="551" w:type="pct"/>
            <w:vAlign w:val="center"/>
          </w:tcPr>
          <w:p w14:paraId="6D146717" w14:textId="77777777" w:rsidR="001C59B7" w:rsidRPr="004B3056" w:rsidRDefault="001C59B7" w:rsidP="001C59B7">
            <w:pPr>
              <w:spacing w:after="0" w:line="240" w:lineRule="auto"/>
              <w:rPr>
                <w:rFonts w:cs="Arial"/>
                <w:bCs/>
                <w:caps/>
                <w:sz w:val="17"/>
                <w:szCs w:val="17"/>
                <w:lang w:val="fr-FR" w:eastAsia="zh-CN"/>
              </w:rPr>
            </w:pPr>
          </w:p>
        </w:tc>
        <w:tc>
          <w:tcPr>
            <w:tcW w:w="2270" w:type="pct"/>
            <w:vAlign w:val="center"/>
          </w:tcPr>
          <w:p w14:paraId="42C3CBBA" w14:textId="77777777" w:rsidR="001C59B7" w:rsidRPr="001C565E" w:rsidRDefault="001C59B7" w:rsidP="001C59B7">
            <w:pPr>
              <w:spacing w:after="0" w:line="240" w:lineRule="auto"/>
              <w:jc w:val="left"/>
              <w:rPr>
                <w:rFonts w:cs="Tahoma"/>
                <w:sz w:val="17"/>
                <w:szCs w:val="17"/>
              </w:rPr>
            </w:pPr>
            <w:r w:rsidRPr="001C565E">
              <w:rPr>
                <w:rFonts w:cs="Tahoma"/>
                <w:sz w:val="17"/>
                <w:szCs w:val="17"/>
              </w:rPr>
              <w:t>UE FACILITE ENERGIE 10</w:t>
            </w:r>
            <w:r w:rsidRPr="001C565E">
              <w:rPr>
                <w:rFonts w:cs="Tahoma"/>
                <w:sz w:val="17"/>
                <w:szCs w:val="17"/>
                <w:vertAlign w:val="superscript"/>
              </w:rPr>
              <w:t>ème</w:t>
            </w:r>
            <w:r w:rsidRPr="001C565E">
              <w:rPr>
                <w:rFonts w:cs="Tahoma"/>
                <w:sz w:val="17"/>
                <w:szCs w:val="17"/>
              </w:rPr>
              <w:t xml:space="preserve"> FED</w:t>
            </w:r>
          </w:p>
          <w:p w14:paraId="6C6B6779" w14:textId="77777777" w:rsidR="001C59B7" w:rsidRPr="004B3056" w:rsidRDefault="001C59B7" w:rsidP="00393CA8">
            <w:pPr>
              <w:numPr>
                <w:ilvl w:val="0"/>
                <w:numId w:val="58"/>
              </w:numPr>
              <w:spacing w:after="0" w:line="240" w:lineRule="auto"/>
              <w:contextualSpacing/>
              <w:jc w:val="left"/>
              <w:rPr>
                <w:rFonts w:cs="Tahoma"/>
                <w:sz w:val="17"/>
                <w:szCs w:val="17"/>
              </w:rPr>
            </w:pPr>
            <w:r w:rsidRPr="004B3056">
              <w:rPr>
                <w:rFonts w:cs="Tahoma"/>
                <w:sz w:val="17"/>
                <w:szCs w:val="17"/>
              </w:rPr>
              <w:t xml:space="preserve">Installation de bio-digesteurs  </w:t>
            </w:r>
          </w:p>
          <w:p w14:paraId="6F6D830B" w14:textId="77777777" w:rsidR="001C59B7" w:rsidRPr="004B3056" w:rsidRDefault="001C59B7" w:rsidP="00393CA8">
            <w:pPr>
              <w:numPr>
                <w:ilvl w:val="0"/>
                <w:numId w:val="58"/>
              </w:numPr>
              <w:spacing w:after="0" w:line="240" w:lineRule="auto"/>
              <w:contextualSpacing/>
              <w:jc w:val="left"/>
              <w:rPr>
                <w:rFonts w:cs="Tahoma"/>
                <w:sz w:val="17"/>
                <w:szCs w:val="17"/>
              </w:rPr>
            </w:pPr>
            <w:r w:rsidRPr="004B3056">
              <w:rPr>
                <w:rFonts w:cs="Tahoma"/>
                <w:sz w:val="17"/>
                <w:szCs w:val="17"/>
              </w:rPr>
              <w:t>Distribution de kits photovoltaïques et installation de mini-centrales</w:t>
            </w:r>
          </w:p>
          <w:p w14:paraId="57492106" w14:textId="77777777" w:rsidR="001C59B7" w:rsidRPr="004B3056" w:rsidRDefault="001C59B7" w:rsidP="00393CA8">
            <w:pPr>
              <w:numPr>
                <w:ilvl w:val="0"/>
                <w:numId w:val="58"/>
              </w:numPr>
              <w:spacing w:after="0" w:line="240" w:lineRule="auto"/>
              <w:contextualSpacing/>
              <w:jc w:val="left"/>
              <w:rPr>
                <w:rFonts w:cs="Tahoma"/>
                <w:sz w:val="17"/>
                <w:szCs w:val="17"/>
              </w:rPr>
            </w:pPr>
            <w:r w:rsidRPr="004B3056">
              <w:rPr>
                <w:rFonts w:cs="Tahoma"/>
                <w:sz w:val="17"/>
                <w:szCs w:val="17"/>
              </w:rPr>
              <w:t>Facilité l’accès à l’énergie : PASER-K</w:t>
            </w:r>
          </w:p>
        </w:tc>
        <w:tc>
          <w:tcPr>
            <w:tcW w:w="844" w:type="pct"/>
            <w:vAlign w:val="center"/>
          </w:tcPr>
          <w:p w14:paraId="2B84CFE7" w14:textId="77777777" w:rsidR="001C59B7" w:rsidRPr="004B3056" w:rsidRDefault="001C59B7" w:rsidP="001C59B7">
            <w:pPr>
              <w:spacing w:after="0" w:line="240" w:lineRule="auto"/>
              <w:rPr>
                <w:rFonts w:cs="Arial"/>
                <w:bCs/>
                <w:caps/>
                <w:sz w:val="17"/>
                <w:szCs w:val="17"/>
                <w:lang w:val="fr-FR" w:eastAsia="zh-CN"/>
              </w:rPr>
            </w:pPr>
          </w:p>
        </w:tc>
        <w:tc>
          <w:tcPr>
            <w:tcW w:w="470" w:type="pct"/>
            <w:shd w:val="clear" w:color="auto" w:fill="auto"/>
            <w:vAlign w:val="center"/>
          </w:tcPr>
          <w:p w14:paraId="212899E6" w14:textId="77777777" w:rsidR="001C59B7" w:rsidRPr="004B3056" w:rsidRDefault="001C59B7" w:rsidP="001C59B7">
            <w:pPr>
              <w:spacing w:after="0" w:line="240" w:lineRule="auto"/>
              <w:rPr>
                <w:rFonts w:cs="Tahoma"/>
                <w:sz w:val="17"/>
                <w:szCs w:val="17"/>
              </w:rPr>
            </w:pPr>
            <w:r w:rsidRPr="004B3056">
              <w:rPr>
                <w:rFonts w:cs="Tahoma"/>
                <w:sz w:val="17"/>
                <w:szCs w:val="17"/>
              </w:rPr>
              <w:t xml:space="preserve">2013 - </w:t>
            </w:r>
          </w:p>
        </w:tc>
        <w:tc>
          <w:tcPr>
            <w:tcW w:w="865" w:type="pct"/>
            <w:shd w:val="clear" w:color="auto" w:fill="auto"/>
            <w:vAlign w:val="center"/>
          </w:tcPr>
          <w:p w14:paraId="2DA4E340"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2.000.000</w:t>
            </w:r>
          </w:p>
          <w:p w14:paraId="29AEC7CC"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2.600.000</w:t>
            </w:r>
          </w:p>
          <w:p w14:paraId="3133A3C5"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2.600.000</w:t>
            </w:r>
          </w:p>
        </w:tc>
      </w:tr>
    </w:tbl>
    <w:p w14:paraId="1D63B4A9" w14:textId="77777777" w:rsidR="001C59B7" w:rsidRPr="004B3056" w:rsidRDefault="001C59B7" w:rsidP="001C59B7">
      <w:pPr>
        <w:spacing w:after="0" w:line="240" w:lineRule="auto"/>
        <w:rPr>
          <w:rFonts w:eastAsia="SimSun" w:cs="Arial"/>
          <w:sz w:val="18"/>
          <w:szCs w:val="18"/>
          <w:lang w:val="fr-FR" w:eastAsia="zh-CN"/>
        </w:rPr>
      </w:pPr>
    </w:p>
    <w:p w14:paraId="15167271" w14:textId="77777777" w:rsidR="001C59B7" w:rsidRPr="004B3056" w:rsidRDefault="001C59B7" w:rsidP="001C59B7">
      <w:pPr>
        <w:spacing w:after="0" w:line="240" w:lineRule="auto"/>
        <w:rPr>
          <w:rFonts w:eastAsia="SimSun" w:cs="Arial"/>
          <w:sz w:val="18"/>
          <w:szCs w:val="18"/>
          <w:lang w:val="fr-FR" w:eastAsia="zh-CN"/>
        </w:rPr>
      </w:pPr>
      <w:r w:rsidRPr="004B3056">
        <w:rPr>
          <w:rFonts w:eastAsia="SimSun" w:cs="Arial"/>
          <w:sz w:val="18"/>
          <w:szCs w:val="18"/>
          <w:lang w:val="fr-FR" w:eastAsia="zh-CN"/>
        </w:rPr>
        <w:t>France (AFD, FFEM)</w:t>
      </w:r>
    </w:p>
    <w:tbl>
      <w:tblPr>
        <w:tblStyle w:val="Tabellenraster3"/>
        <w:tblW w:w="5000" w:type="pct"/>
        <w:tblLook w:val="01E0" w:firstRow="1" w:lastRow="1" w:firstColumn="1" w:lastColumn="1" w:noHBand="0" w:noVBand="0"/>
      </w:tblPr>
      <w:tblGrid>
        <w:gridCol w:w="918"/>
        <w:gridCol w:w="3542"/>
        <w:gridCol w:w="1531"/>
        <w:gridCol w:w="1265"/>
        <w:gridCol w:w="1474"/>
        <w:gridCol w:w="1407"/>
      </w:tblGrid>
      <w:tr w:rsidR="001C59B7" w:rsidRPr="004B3056" w14:paraId="607DCC40" w14:textId="77777777" w:rsidTr="00BA1953">
        <w:tc>
          <w:tcPr>
            <w:tcW w:w="453" w:type="pct"/>
            <w:shd w:val="clear" w:color="auto" w:fill="D9D9D9"/>
            <w:vAlign w:val="center"/>
          </w:tcPr>
          <w:p w14:paraId="193111A0"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Projet Abr.</w:t>
            </w:r>
          </w:p>
        </w:tc>
        <w:tc>
          <w:tcPr>
            <w:tcW w:w="1747" w:type="pct"/>
            <w:shd w:val="clear" w:color="auto" w:fill="D9D9D9"/>
            <w:vAlign w:val="center"/>
          </w:tcPr>
          <w:p w14:paraId="0A7DDFED"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Projet</w:t>
            </w:r>
          </w:p>
        </w:tc>
        <w:tc>
          <w:tcPr>
            <w:tcW w:w="755" w:type="pct"/>
            <w:shd w:val="clear" w:color="auto" w:fill="D9D9D9"/>
            <w:vAlign w:val="center"/>
          </w:tcPr>
          <w:p w14:paraId="1A042E70"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 xml:space="preserve">Autres bailleurs </w:t>
            </w:r>
          </w:p>
          <w:p w14:paraId="2D764007"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de fonds</w:t>
            </w:r>
          </w:p>
        </w:tc>
        <w:tc>
          <w:tcPr>
            <w:tcW w:w="624" w:type="pct"/>
            <w:shd w:val="clear" w:color="auto" w:fill="D9D9D9"/>
            <w:vAlign w:val="center"/>
          </w:tcPr>
          <w:p w14:paraId="2C830F02"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Partenaire de la mise en oeuvre</w:t>
            </w:r>
          </w:p>
        </w:tc>
        <w:tc>
          <w:tcPr>
            <w:tcW w:w="727" w:type="pct"/>
            <w:shd w:val="clear" w:color="auto" w:fill="D9D9D9"/>
            <w:vAlign w:val="center"/>
          </w:tcPr>
          <w:p w14:paraId="3AE377A0"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Durée</w:t>
            </w:r>
          </w:p>
        </w:tc>
        <w:tc>
          <w:tcPr>
            <w:tcW w:w="694" w:type="pct"/>
            <w:shd w:val="clear" w:color="auto" w:fill="D9D9D9"/>
            <w:vAlign w:val="center"/>
          </w:tcPr>
          <w:p w14:paraId="4370FBEF"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Montant (€)</w:t>
            </w:r>
          </w:p>
        </w:tc>
      </w:tr>
      <w:tr w:rsidR="001C59B7" w:rsidRPr="004B3056" w14:paraId="2D78951E" w14:textId="77777777" w:rsidTr="00BA1953">
        <w:tc>
          <w:tcPr>
            <w:tcW w:w="453" w:type="pct"/>
            <w:vAlign w:val="center"/>
          </w:tcPr>
          <w:p w14:paraId="55119794" w14:textId="77777777" w:rsidR="001C59B7" w:rsidRPr="004B3056" w:rsidRDefault="001C59B7" w:rsidP="001C59B7">
            <w:pPr>
              <w:spacing w:line="240" w:lineRule="auto"/>
              <w:rPr>
                <w:rFonts w:cs="Arial"/>
                <w:sz w:val="17"/>
                <w:szCs w:val="17"/>
                <w:lang w:val="fr-FR" w:eastAsia="zh-CN"/>
              </w:rPr>
            </w:pPr>
          </w:p>
        </w:tc>
        <w:tc>
          <w:tcPr>
            <w:tcW w:w="1747" w:type="pct"/>
            <w:vAlign w:val="center"/>
          </w:tcPr>
          <w:p w14:paraId="1EF0EAED"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Extension de la zone de production agricole de l’Office du Niger</w:t>
            </w:r>
          </w:p>
        </w:tc>
        <w:tc>
          <w:tcPr>
            <w:tcW w:w="755" w:type="pct"/>
            <w:vAlign w:val="center"/>
          </w:tcPr>
          <w:p w14:paraId="1B7137A1" w14:textId="77777777" w:rsidR="001C59B7" w:rsidRPr="004B3056" w:rsidRDefault="001C59B7" w:rsidP="001C59B7">
            <w:pPr>
              <w:spacing w:line="240" w:lineRule="auto"/>
              <w:rPr>
                <w:rFonts w:cs="Arial"/>
                <w:sz w:val="17"/>
                <w:szCs w:val="17"/>
                <w:lang w:val="fr-FR" w:eastAsia="zh-CN"/>
              </w:rPr>
            </w:pPr>
          </w:p>
        </w:tc>
        <w:tc>
          <w:tcPr>
            <w:tcW w:w="624" w:type="pct"/>
            <w:vAlign w:val="center"/>
          </w:tcPr>
          <w:p w14:paraId="616FD16F"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ON</w:t>
            </w:r>
          </w:p>
        </w:tc>
        <w:tc>
          <w:tcPr>
            <w:tcW w:w="727" w:type="pct"/>
            <w:shd w:val="clear" w:color="auto" w:fill="auto"/>
            <w:vAlign w:val="center"/>
          </w:tcPr>
          <w:p w14:paraId="19C28723"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2010 -</w:t>
            </w:r>
          </w:p>
        </w:tc>
        <w:tc>
          <w:tcPr>
            <w:tcW w:w="694" w:type="pct"/>
            <w:shd w:val="clear" w:color="auto" w:fill="auto"/>
            <w:vAlign w:val="center"/>
          </w:tcPr>
          <w:p w14:paraId="56C70E33"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15 Millions</w:t>
            </w:r>
          </w:p>
        </w:tc>
      </w:tr>
      <w:tr w:rsidR="001C59B7" w:rsidRPr="004B3056" w14:paraId="763A1C58" w14:textId="77777777" w:rsidTr="00BA1953">
        <w:tc>
          <w:tcPr>
            <w:tcW w:w="453" w:type="pct"/>
            <w:vAlign w:val="center"/>
          </w:tcPr>
          <w:p w14:paraId="05FD6A88" w14:textId="77777777" w:rsidR="001C59B7" w:rsidRPr="004B3056" w:rsidRDefault="001C59B7" w:rsidP="001C59B7">
            <w:pPr>
              <w:spacing w:line="240" w:lineRule="auto"/>
              <w:rPr>
                <w:rFonts w:cs="Arial"/>
                <w:sz w:val="17"/>
                <w:szCs w:val="17"/>
                <w:lang w:val="fr-FR" w:eastAsia="zh-CN"/>
              </w:rPr>
            </w:pPr>
          </w:p>
        </w:tc>
        <w:tc>
          <w:tcPr>
            <w:tcW w:w="1747" w:type="pct"/>
            <w:vAlign w:val="center"/>
          </w:tcPr>
          <w:p w14:paraId="65EC9395"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Gestion écologique de la fertilité des sols dans les agrosystèmes de Polyculture-Élevage pour une Agriculture intelligente face au climat.</w:t>
            </w:r>
          </w:p>
        </w:tc>
        <w:tc>
          <w:tcPr>
            <w:tcW w:w="755" w:type="pct"/>
            <w:vAlign w:val="center"/>
          </w:tcPr>
          <w:p w14:paraId="3FE6B377" w14:textId="77777777" w:rsidR="001C59B7" w:rsidRPr="004B3056" w:rsidRDefault="001C59B7" w:rsidP="001C59B7">
            <w:pPr>
              <w:spacing w:line="240" w:lineRule="auto"/>
              <w:rPr>
                <w:rFonts w:cs="Arial"/>
                <w:sz w:val="17"/>
                <w:szCs w:val="17"/>
                <w:lang w:val="fr-FR" w:eastAsia="zh-CN"/>
              </w:rPr>
            </w:pPr>
          </w:p>
        </w:tc>
        <w:tc>
          <w:tcPr>
            <w:tcW w:w="624" w:type="pct"/>
            <w:vAlign w:val="center"/>
          </w:tcPr>
          <w:p w14:paraId="107FAB22"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IER</w:t>
            </w:r>
          </w:p>
        </w:tc>
        <w:tc>
          <w:tcPr>
            <w:tcW w:w="727" w:type="pct"/>
            <w:shd w:val="clear" w:color="auto" w:fill="auto"/>
            <w:vAlign w:val="center"/>
          </w:tcPr>
          <w:p w14:paraId="0CD4F519"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2016 - 2018</w:t>
            </w:r>
          </w:p>
        </w:tc>
        <w:tc>
          <w:tcPr>
            <w:tcW w:w="694" w:type="pct"/>
            <w:shd w:val="clear" w:color="auto" w:fill="auto"/>
            <w:vAlign w:val="center"/>
          </w:tcPr>
          <w:p w14:paraId="60CB66F8"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18.611.670 FCFA</w:t>
            </w:r>
          </w:p>
        </w:tc>
      </w:tr>
      <w:tr w:rsidR="001C59B7" w:rsidRPr="004B3056" w14:paraId="40A58E3B" w14:textId="77777777" w:rsidTr="00BA1953">
        <w:tc>
          <w:tcPr>
            <w:tcW w:w="453" w:type="pct"/>
            <w:vAlign w:val="center"/>
          </w:tcPr>
          <w:p w14:paraId="2E5E5D85" w14:textId="77777777" w:rsidR="001C59B7" w:rsidRPr="004B3056" w:rsidRDefault="001C59B7" w:rsidP="001C59B7">
            <w:pPr>
              <w:spacing w:line="240" w:lineRule="auto"/>
              <w:rPr>
                <w:rFonts w:cs="Arial"/>
                <w:sz w:val="17"/>
                <w:szCs w:val="17"/>
                <w:lang w:val="fr-FR" w:eastAsia="zh-CN"/>
              </w:rPr>
            </w:pPr>
          </w:p>
        </w:tc>
        <w:tc>
          <w:tcPr>
            <w:tcW w:w="1747" w:type="pct"/>
            <w:vAlign w:val="center"/>
          </w:tcPr>
          <w:p w14:paraId="75369366"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Programme d'Approvisionnement en Eau Potable dans Cinq Villes Secondaires</w:t>
            </w:r>
          </w:p>
        </w:tc>
        <w:tc>
          <w:tcPr>
            <w:tcW w:w="755" w:type="pct"/>
            <w:vAlign w:val="center"/>
          </w:tcPr>
          <w:p w14:paraId="49C1B953" w14:textId="77777777" w:rsidR="001C59B7" w:rsidRPr="004B3056" w:rsidRDefault="001C59B7" w:rsidP="001C59B7">
            <w:pPr>
              <w:spacing w:line="240" w:lineRule="auto"/>
              <w:rPr>
                <w:rFonts w:cs="Arial"/>
                <w:sz w:val="17"/>
                <w:szCs w:val="17"/>
                <w:lang w:val="fr-FR" w:eastAsia="zh-CN"/>
              </w:rPr>
            </w:pPr>
          </w:p>
        </w:tc>
        <w:tc>
          <w:tcPr>
            <w:tcW w:w="624" w:type="pct"/>
            <w:vAlign w:val="center"/>
          </w:tcPr>
          <w:p w14:paraId="27EF7600"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DNH</w:t>
            </w:r>
          </w:p>
        </w:tc>
        <w:tc>
          <w:tcPr>
            <w:tcW w:w="727" w:type="pct"/>
            <w:shd w:val="clear" w:color="auto" w:fill="auto"/>
            <w:vAlign w:val="center"/>
          </w:tcPr>
          <w:p w14:paraId="288EB777" w14:textId="77777777" w:rsidR="001C59B7" w:rsidRPr="004B3056" w:rsidRDefault="001C59B7" w:rsidP="001C59B7">
            <w:pPr>
              <w:spacing w:line="240" w:lineRule="auto"/>
              <w:rPr>
                <w:rFonts w:cs="Arial"/>
                <w:sz w:val="17"/>
                <w:szCs w:val="17"/>
                <w:lang w:val="fr-FR" w:eastAsia="zh-CN"/>
              </w:rPr>
            </w:pPr>
          </w:p>
        </w:tc>
        <w:tc>
          <w:tcPr>
            <w:tcW w:w="694" w:type="pct"/>
            <w:shd w:val="clear" w:color="auto" w:fill="auto"/>
            <w:vAlign w:val="center"/>
          </w:tcPr>
          <w:p w14:paraId="0621256E" w14:textId="77777777" w:rsidR="001C59B7" w:rsidRPr="004B3056" w:rsidRDefault="001C59B7" w:rsidP="001C59B7">
            <w:pPr>
              <w:spacing w:line="240" w:lineRule="auto"/>
              <w:rPr>
                <w:rFonts w:cs="Arial"/>
                <w:sz w:val="17"/>
                <w:szCs w:val="17"/>
                <w:lang w:val="fr-FR" w:eastAsia="zh-CN"/>
              </w:rPr>
            </w:pPr>
          </w:p>
        </w:tc>
      </w:tr>
      <w:tr w:rsidR="001C59B7" w:rsidRPr="004B3056" w14:paraId="2C27C248" w14:textId="77777777" w:rsidTr="00BA1953">
        <w:tc>
          <w:tcPr>
            <w:tcW w:w="453" w:type="pct"/>
            <w:vAlign w:val="center"/>
          </w:tcPr>
          <w:p w14:paraId="2A4E39CA" w14:textId="77777777" w:rsidR="001C59B7" w:rsidRPr="004B3056" w:rsidRDefault="001C59B7" w:rsidP="001C59B7">
            <w:pPr>
              <w:spacing w:line="240" w:lineRule="auto"/>
              <w:rPr>
                <w:rFonts w:cs="Arial"/>
                <w:sz w:val="17"/>
                <w:szCs w:val="17"/>
                <w:lang w:val="fr-FR" w:eastAsia="zh-CN"/>
              </w:rPr>
            </w:pPr>
          </w:p>
        </w:tc>
        <w:tc>
          <w:tcPr>
            <w:tcW w:w="1747" w:type="pct"/>
            <w:vAlign w:val="center"/>
          </w:tcPr>
          <w:p w14:paraId="160BB162"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Construction d’une station de traitement d’eau sur la rive droite du fleuve Niger à Bamako</w:t>
            </w:r>
          </w:p>
        </w:tc>
        <w:tc>
          <w:tcPr>
            <w:tcW w:w="755" w:type="pct"/>
            <w:vAlign w:val="center"/>
          </w:tcPr>
          <w:p w14:paraId="59A0BC84"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Multi-bailleurs</w:t>
            </w:r>
          </w:p>
        </w:tc>
        <w:tc>
          <w:tcPr>
            <w:tcW w:w="624" w:type="pct"/>
            <w:vAlign w:val="center"/>
          </w:tcPr>
          <w:p w14:paraId="066CEB79" w14:textId="77777777" w:rsidR="001C59B7" w:rsidRPr="004B3056" w:rsidRDefault="001C59B7" w:rsidP="001C59B7">
            <w:pPr>
              <w:spacing w:line="240" w:lineRule="auto"/>
              <w:rPr>
                <w:rFonts w:cs="Arial"/>
                <w:sz w:val="17"/>
                <w:szCs w:val="17"/>
                <w:lang w:val="fr-FR" w:eastAsia="zh-CN"/>
              </w:rPr>
            </w:pPr>
          </w:p>
        </w:tc>
        <w:tc>
          <w:tcPr>
            <w:tcW w:w="727" w:type="pct"/>
            <w:shd w:val="clear" w:color="auto" w:fill="auto"/>
            <w:vAlign w:val="center"/>
          </w:tcPr>
          <w:p w14:paraId="1B923A6E"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2011 -</w:t>
            </w:r>
          </w:p>
        </w:tc>
        <w:tc>
          <w:tcPr>
            <w:tcW w:w="694" w:type="pct"/>
            <w:shd w:val="clear" w:color="auto" w:fill="auto"/>
            <w:vAlign w:val="center"/>
          </w:tcPr>
          <w:p w14:paraId="53D84DA6"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39 Millions</w:t>
            </w:r>
          </w:p>
        </w:tc>
      </w:tr>
      <w:tr w:rsidR="001C59B7" w:rsidRPr="004B3056" w14:paraId="7358BCE8" w14:textId="77777777" w:rsidTr="00BA1953">
        <w:tc>
          <w:tcPr>
            <w:tcW w:w="453" w:type="pct"/>
            <w:vAlign w:val="center"/>
          </w:tcPr>
          <w:p w14:paraId="0C5509FE" w14:textId="77777777" w:rsidR="001C59B7" w:rsidRPr="004B3056" w:rsidRDefault="001C59B7" w:rsidP="001C59B7">
            <w:pPr>
              <w:spacing w:line="240" w:lineRule="auto"/>
              <w:rPr>
                <w:rFonts w:cs="Arial"/>
                <w:sz w:val="17"/>
                <w:szCs w:val="17"/>
                <w:lang w:val="fr-FR" w:eastAsia="zh-CN"/>
              </w:rPr>
            </w:pPr>
          </w:p>
        </w:tc>
        <w:tc>
          <w:tcPr>
            <w:tcW w:w="1747" w:type="pct"/>
            <w:vAlign w:val="center"/>
          </w:tcPr>
          <w:p w14:paraId="356D13D7"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projet d’appui au développement et à l’aménagement urbain du quartier de Baco-djicoroni (PADAB)</w:t>
            </w:r>
          </w:p>
        </w:tc>
        <w:tc>
          <w:tcPr>
            <w:tcW w:w="755" w:type="pct"/>
            <w:vAlign w:val="center"/>
          </w:tcPr>
          <w:p w14:paraId="349EEC48" w14:textId="77777777" w:rsidR="001C59B7" w:rsidRPr="004B3056" w:rsidRDefault="001C59B7" w:rsidP="001C59B7">
            <w:pPr>
              <w:spacing w:line="240" w:lineRule="auto"/>
              <w:rPr>
                <w:rFonts w:cs="Arial"/>
                <w:sz w:val="17"/>
                <w:szCs w:val="17"/>
                <w:lang w:val="fr-FR" w:eastAsia="zh-CN"/>
              </w:rPr>
            </w:pPr>
          </w:p>
        </w:tc>
        <w:tc>
          <w:tcPr>
            <w:tcW w:w="624" w:type="pct"/>
            <w:vAlign w:val="center"/>
          </w:tcPr>
          <w:p w14:paraId="4FDB6371" w14:textId="77777777" w:rsidR="001C59B7" w:rsidRPr="004B3056" w:rsidRDefault="001C59B7" w:rsidP="001C59B7">
            <w:pPr>
              <w:spacing w:line="240" w:lineRule="auto"/>
              <w:rPr>
                <w:rFonts w:cs="Arial"/>
                <w:sz w:val="17"/>
                <w:szCs w:val="17"/>
                <w:lang w:val="fr-FR" w:eastAsia="zh-CN"/>
              </w:rPr>
            </w:pPr>
          </w:p>
        </w:tc>
        <w:tc>
          <w:tcPr>
            <w:tcW w:w="727" w:type="pct"/>
            <w:shd w:val="clear" w:color="auto" w:fill="auto"/>
            <w:vAlign w:val="center"/>
          </w:tcPr>
          <w:p w14:paraId="2E82C55C"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 xml:space="preserve">2017 - </w:t>
            </w:r>
          </w:p>
        </w:tc>
        <w:tc>
          <w:tcPr>
            <w:tcW w:w="694" w:type="pct"/>
            <w:shd w:val="clear" w:color="auto" w:fill="auto"/>
            <w:vAlign w:val="center"/>
          </w:tcPr>
          <w:p w14:paraId="69DA360F"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2,5 Millions</w:t>
            </w:r>
          </w:p>
        </w:tc>
      </w:tr>
      <w:tr w:rsidR="001C59B7" w:rsidRPr="004B3056" w14:paraId="75C4F89D" w14:textId="77777777" w:rsidTr="00BA1953">
        <w:tc>
          <w:tcPr>
            <w:tcW w:w="453" w:type="pct"/>
            <w:vAlign w:val="center"/>
          </w:tcPr>
          <w:p w14:paraId="2E53F9DB" w14:textId="77777777" w:rsidR="001C59B7" w:rsidRPr="004B3056" w:rsidRDefault="001C59B7" w:rsidP="001C59B7">
            <w:pPr>
              <w:spacing w:line="240" w:lineRule="auto"/>
              <w:rPr>
                <w:rFonts w:cs="Arial"/>
                <w:sz w:val="17"/>
                <w:szCs w:val="17"/>
                <w:lang w:val="fr-FR" w:eastAsia="zh-CN"/>
              </w:rPr>
            </w:pPr>
          </w:p>
        </w:tc>
        <w:tc>
          <w:tcPr>
            <w:tcW w:w="1747" w:type="pct"/>
            <w:vAlign w:val="center"/>
          </w:tcPr>
          <w:p w14:paraId="66A51DD9"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Augmentation de la productivité de la filière cotonnière</w:t>
            </w:r>
          </w:p>
        </w:tc>
        <w:tc>
          <w:tcPr>
            <w:tcW w:w="755" w:type="pct"/>
            <w:vAlign w:val="center"/>
          </w:tcPr>
          <w:p w14:paraId="6776FF1F" w14:textId="77777777" w:rsidR="001C59B7" w:rsidRPr="004B3056" w:rsidRDefault="001C59B7" w:rsidP="001C59B7">
            <w:pPr>
              <w:spacing w:line="240" w:lineRule="auto"/>
              <w:rPr>
                <w:rFonts w:cs="Arial"/>
                <w:sz w:val="17"/>
                <w:szCs w:val="17"/>
                <w:lang w:val="fr-FR" w:eastAsia="zh-CN"/>
              </w:rPr>
            </w:pPr>
          </w:p>
        </w:tc>
        <w:tc>
          <w:tcPr>
            <w:tcW w:w="624" w:type="pct"/>
            <w:vAlign w:val="center"/>
          </w:tcPr>
          <w:p w14:paraId="5B263AAD"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DNA</w:t>
            </w:r>
          </w:p>
        </w:tc>
        <w:tc>
          <w:tcPr>
            <w:tcW w:w="727" w:type="pct"/>
            <w:shd w:val="clear" w:color="auto" w:fill="auto"/>
            <w:vAlign w:val="center"/>
          </w:tcPr>
          <w:p w14:paraId="64A5E6B2"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 xml:space="preserve">2007 - </w:t>
            </w:r>
          </w:p>
        </w:tc>
        <w:tc>
          <w:tcPr>
            <w:tcW w:w="694" w:type="pct"/>
            <w:shd w:val="clear" w:color="auto" w:fill="auto"/>
            <w:vAlign w:val="center"/>
          </w:tcPr>
          <w:p w14:paraId="4B90316D"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12,5 Millions</w:t>
            </w:r>
          </w:p>
        </w:tc>
      </w:tr>
      <w:tr w:rsidR="001C59B7" w:rsidRPr="004B3056" w14:paraId="4946426C" w14:textId="77777777" w:rsidTr="00BA1953">
        <w:tc>
          <w:tcPr>
            <w:tcW w:w="453" w:type="pct"/>
            <w:vAlign w:val="center"/>
          </w:tcPr>
          <w:p w14:paraId="20828CF5" w14:textId="77777777" w:rsidR="001C59B7" w:rsidRPr="004B3056" w:rsidRDefault="001C59B7" w:rsidP="001C59B7">
            <w:pPr>
              <w:spacing w:line="240" w:lineRule="auto"/>
              <w:rPr>
                <w:rFonts w:cs="Arial"/>
                <w:sz w:val="17"/>
                <w:szCs w:val="17"/>
                <w:lang w:val="fr-FR" w:eastAsia="zh-CN"/>
              </w:rPr>
            </w:pPr>
          </w:p>
        </w:tc>
        <w:tc>
          <w:tcPr>
            <w:tcW w:w="1747" w:type="pct"/>
            <w:vAlign w:val="center"/>
          </w:tcPr>
          <w:p w14:paraId="4B665876"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Lutte contre le réchauffement climatique grâce à des innovations énergétiques</w:t>
            </w:r>
          </w:p>
        </w:tc>
        <w:tc>
          <w:tcPr>
            <w:tcW w:w="755" w:type="pct"/>
            <w:vAlign w:val="center"/>
          </w:tcPr>
          <w:p w14:paraId="305C8F52" w14:textId="77777777" w:rsidR="001C59B7" w:rsidRPr="004B3056" w:rsidRDefault="001C59B7" w:rsidP="001C59B7">
            <w:pPr>
              <w:spacing w:line="240" w:lineRule="auto"/>
              <w:rPr>
                <w:rFonts w:cs="Arial"/>
                <w:sz w:val="17"/>
                <w:szCs w:val="17"/>
                <w:lang w:val="fr-FR" w:eastAsia="zh-CN"/>
              </w:rPr>
            </w:pPr>
          </w:p>
        </w:tc>
        <w:tc>
          <w:tcPr>
            <w:tcW w:w="624" w:type="pct"/>
            <w:vAlign w:val="center"/>
          </w:tcPr>
          <w:p w14:paraId="69F2F834"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DNE</w:t>
            </w:r>
          </w:p>
        </w:tc>
        <w:tc>
          <w:tcPr>
            <w:tcW w:w="727" w:type="pct"/>
            <w:shd w:val="clear" w:color="auto" w:fill="auto"/>
            <w:vAlign w:val="center"/>
          </w:tcPr>
          <w:p w14:paraId="2928E4AB"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2012 -</w:t>
            </w:r>
          </w:p>
        </w:tc>
        <w:tc>
          <w:tcPr>
            <w:tcW w:w="694" w:type="pct"/>
            <w:shd w:val="clear" w:color="auto" w:fill="auto"/>
            <w:vAlign w:val="center"/>
          </w:tcPr>
          <w:p w14:paraId="20D93EAD"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1,1 Millions</w:t>
            </w:r>
          </w:p>
        </w:tc>
      </w:tr>
      <w:tr w:rsidR="001C59B7" w:rsidRPr="004B3056" w14:paraId="6AFB3D60" w14:textId="77777777" w:rsidTr="00BA1953">
        <w:tc>
          <w:tcPr>
            <w:tcW w:w="453" w:type="pct"/>
            <w:vAlign w:val="center"/>
          </w:tcPr>
          <w:p w14:paraId="276EFF54" w14:textId="77777777" w:rsidR="001C59B7" w:rsidRPr="004B3056" w:rsidRDefault="001C59B7" w:rsidP="001C59B7">
            <w:pPr>
              <w:spacing w:line="240" w:lineRule="auto"/>
              <w:rPr>
                <w:rFonts w:cs="Arial"/>
                <w:sz w:val="17"/>
                <w:szCs w:val="17"/>
                <w:lang w:val="fr-FR" w:eastAsia="zh-CN"/>
              </w:rPr>
            </w:pPr>
          </w:p>
        </w:tc>
        <w:tc>
          <w:tcPr>
            <w:tcW w:w="1747" w:type="pct"/>
            <w:vAlign w:val="center"/>
          </w:tcPr>
          <w:p w14:paraId="6846080A"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Remise en état de l’alimentation en eau potable du Nord-Mali</w:t>
            </w:r>
          </w:p>
        </w:tc>
        <w:tc>
          <w:tcPr>
            <w:tcW w:w="755" w:type="pct"/>
            <w:vAlign w:val="center"/>
          </w:tcPr>
          <w:p w14:paraId="61AF4F42" w14:textId="77777777" w:rsidR="001C59B7" w:rsidRPr="004B3056" w:rsidRDefault="001C59B7" w:rsidP="001C59B7">
            <w:pPr>
              <w:spacing w:line="240" w:lineRule="auto"/>
              <w:rPr>
                <w:rFonts w:cs="Arial"/>
                <w:sz w:val="17"/>
                <w:szCs w:val="17"/>
                <w:lang w:val="fr-FR" w:eastAsia="zh-CN"/>
              </w:rPr>
            </w:pPr>
          </w:p>
        </w:tc>
        <w:tc>
          <w:tcPr>
            <w:tcW w:w="624" w:type="pct"/>
            <w:vAlign w:val="center"/>
          </w:tcPr>
          <w:p w14:paraId="1D8078D6"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DNH</w:t>
            </w:r>
          </w:p>
        </w:tc>
        <w:tc>
          <w:tcPr>
            <w:tcW w:w="727" w:type="pct"/>
            <w:shd w:val="clear" w:color="auto" w:fill="auto"/>
            <w:vAlign w:val="center"/>
          </w:tcPr>
          <w:p w14:paraId="64A865C2"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2013 -</w:t>
            </w:r>
          </w:p>
        </w:tc>
        <w:tc>
          <w:tcPr>
            <w:tcW w:w="694" w:type="pct"/>
            <w:shd w:val="clear" w:color="auto" w:fill="auto"/>
            <w:vAlign w:val="center"/>
          </w:tcPr>
          <w:p w14:paraId="2B54B046"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0,54 Millions</w:t>
            </w:r>
          </w:p>
        </w:tc>
      </w:tr>
      <w:tr w:rsidR="001C59B7" w:rsidRPr="004B3056" w14:paraId="6F4F42D9" w14:textId="77777777" w:rsidTr="00BA1953">
        <w:tc>
          <w:tcPr>
            <w:tcW w:w="453" w:type="pct"/>
            <w:vAlign w:val="center"/>
          </w:tcPr>
          <w:p w14:paraId="436E84CF" w14:textId="77777777" w:rsidR="001C59B7" w:rsidRPr="004B3056" w:rsidRDefault="001C59B7" w:rsidP="001C59B7">
            <w:pPr>
              <w:spacing w:line="240" w:lineRule="auto"/>
              <w:rPr>
                <w:rFonts w:cs="Arial"/>
                <w:sz w:val="17"/>
                <w:szCs w:val="17"/>
                <w:lang w:val="fr-FR" w:eastAsia="zh-CN"/>
              </w:rPr>
            </w:pPr>
          </w:p>
        </w:tc>
        <w:tc>
          <w:tcPr>
            <w:tcW w:w="1747" w:type="pct"/>
            <w:vAlign w:val="center"/>
          </w:tcPr>
          <w:p w14:paraId="01E9D9A3"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Soutenir le financement et la réalisation de projets d’infrastructures en Afrique (régional)</w:t>
            </w:r>
          </w:p>
        </w:tc>
        <w:tc>
          <w:tcPr>
            <w:tcW w:w="755" w:type="pct"/>
            <w:vAlign w:val="center"/>
          </w:tcPr>
          <w:p w14:paraId="034EECEE" w14:textId="77777777" w:rsidR="001C59B7" w:rsidRPr="004B3056" w:rsidRDefault="001C59B7" w:rsidP="001C59B7">
            <w:pPr>
              <w:spacing w:line="240" w:lineRule="auto"/>
              <w:rPr>
                <w:rFonts w:cs="Arial"/>
                <w:sz w:val="17"/>
                <w:szCs w:val="17"/>
                <w:lang w:val="fr-FR" w:eastAsia="zh-CN"/>
              </w:rPr>
            </w:pPr>
          </w:p>
        </w:tc>
        <w:tc>
          <w:tcPr>
            <w:tcW w:w="624" w:type="pct"/>
            <w:vAlign w:val="center"/>
          </w:tcPr>
          <w:p w14:paraId="05E4081C" w14:textId="77777777" w:rsidR="001C59B7" w:rsidRPr="004B3056" w:rsidRDefault="001C59B7" w:rsidP="001C59B7">
            <w:pPr>
              <w:spacing w:line="240" w:lineRule="auto"/>
              <w:rPr>
                <w:rFonts w:cs="Arial"/>
                <w:sz w:val="17"/>
                <w:szCs w:val="17"/>
                <w:lang w:val="fr-FR" w:eastAsia="zh-CN"/>
              </w:rPr>
            </w:pPr>
          </w:p>
        </w:tc>
        <w:tc>
          <w:tcPr>
            <w:tcW w:w="727" w:type="pct"/>
            <w:shd w:val="clear" w:color="auto" w:fill="auto"/>
            <w:vAlign w:val="center"/>
          </w:tcPr>
          <w:p w14:paraId="1817D3A4"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2017 - 2032</w:t>
            </w:r>
          </w:p>
        </w:tc>
        <w:tc>
          <w:tcPr>
            <w:tcW w:w="694" w:type="pct"/>
            <w:shd w:val="clear" w:color="auto" w:fill="auto"/>
            <w:vAlign w:val="center"/>
          </w:tcPr>
          <w:p w14:paraId="651EF2A3" w14:textId="77777777" w:rsidR="001C59B7" w:rsidRPr="004B3056" w:rsidRDefault="001C59B7" w:rsidP="001C59B7">
            <w:pPr>
              <w:spacing w:line="240" w:lineRule="auto"/>
              <w:rPr>
                <w:rFonts w:cs="Arial"/>
                <w:sz w:val="17"/>
                <w:szCs w:val="17"/>
                <w:lang w:val="fr-FR" w:eastAsia="zh-CN"/>
              </w:rPr>
            </w:pPr>
          </w:p>
        </w:tc>
      </w:tr>
      <w:tr w:rsidR="001C59B7" w:rsidRPr="004B3056" w14:paraId="503AC292" w14:textId="77777777" w:rsidTr="00BA1953">
        <w:tc>
          <w:tcPr>
            <w:tcW w:w="453" w:type="pct"/>
            <w:vAlign w:val="center"/>
          </w:tcPr>
          <w:p w14:paraId="4EC46914" w14:textId="77777777" w:rsidR="001C59B7" w:rsidRPr="004B3056" w:rsidRDefault="001C59B7" w:rsidP="001C59B7">
            <w:pPr>
              <w:spacing w:line="240" w:lineRule="auto"/>
              <w:rPr>
                <w:rFonts w:cs="Arial"/>
                <w:bCs/>
                <w:caps/>
                <w:sz w:val="17"/>
                <w:szCs w:val="17"/>
                <w:lang w:val="fr-FR" w:eastAsia="zh-CN"/>
              </w:rPr>
            </w:pPr>
          </w:p>
        </w:tc>
        <w:tc>
          <w:tcPr>
            <w:tcW w:w="1747" w:type="pct"/>
            <w:vAlign w:val="center"/>
          </w:tcPr>
          <w:p w14:paraId="600013FB" w14:textId="77777777" w:rsidR="001C59B7" w:rsidRPr="004B3056" w:rsidRDefault="001C59B7" w:rsidP="001C59B7">
            <w:pPr>
              <w:spacing w:line="240" w:lineRule="auto"/>
              <w:rPr>
                <w:rFonts w:cs="Arial"/>
                <w:bCs/>
                <w:caps/>
                <w:sz w:val="17"/>
                <w:szCs w:val="17"/>
                <w:lang w:val="fr-FR" w:eastAsia="zh-CN"/>
              </w:rPr>
            </w:pPr>
            <w:r w:rsidRPr="004B3056">
              <w:rPr>
                <w:rFonts w:cs="Arial"/>
                <w:bCs/>
                <w:sz w:val="17"/>
                <w:szCs w:val="17"/>
                <w:lang w:val="fr-FR" w:eastAsia="zh-CN"/>
              </w:rPr>
              <w:t>Hydraulique urbaine – AEP Bamako/Kabala</w:t>
            </w:r>
          </w:p>
        </w:tc>
        <w:tc>
          <w:tcPr>
            <w:tcW w:w="755" w:type="pct"/>
            <w:vAlign w:val="center"/>
          </w:tcPr>
          <w:p w14:paraId="7E0B7DB7" w14:textId="77777777" w:rsidR="001C59B7" w:rsidRPr="004B3056" w:rsidRDefault="001C59B7" w:rsidP="001C59B7">
            <w:pPr>
              <w:spacing w:line="240" w:lineRule="auto"/>
              <w:rPr>
                <w:rFonts w:cs="Arial"/>
                <w:bCs/>
                <w:caps/>
                <w:sz w:val="17"/>
                <w:szCs w:val="17"/>
                <w:lang w:val="fr-FR" w:eastAsia="zh-CN"/>
              </w:rPr>
            </w:pPr>
            <w:r w:rsidRPr="004B3056">
              <w:rPr>
                <w:rFonts w:cs="Arial"/>
                <w:bCs/>
                <w:sz w:val="17"/>
                <w:szCs w:val="17"/>
                <w:lang w:val="fr-FR" w:eastAsia="zh-CN"/>
              </w:rPr>
              <w:t>Multi-bailleurs</w:t>
            </w:r>
          </w:p>
        </w:tc>
        <w:tc>
          <w:tcPr>
            <w:tcW w:w="624" w:type="pct"/>
            <w:vAlign w:val="center"/>
          </w:tcPr>
          <w:p w14:paraId="19E2C726"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DNH</w:t>
            </w:r>
          </w:p>
        </w:tc>
        <w:tc>
          <w:tcPr>
            <w:tcW w:w="727" w:type="pct"/>
            <w:shd w:val="clear" w:color="auto" w:fill="auto"/>
            <w:vAlign w:val="center"/>
          </w:tcPr>
          <w:p w14:paraId="2BFEC569" w14:textId="77777777" w:rsidR="001C59B7" w:rsidRPr="004B3056" w:rsidRDefault="001C59B7" w:rsidP="001C59B7">
            <w:pPr>
              <w:spacing w:line="240" w:lineRule="auto"/>
              <w:rPr>
                <w:rFonts w:cs="Arial"/>
                <w:bCs/>
                <w:caps/>
                <w:sz w:val="17"/>
                <w:szCs w:val="17"/>
                <w:lang w:val="fr-FR" w:eastAsia="zh-CN"/>
              </w:rPr>
            </w:pPr>
            <w:r w:rsidRPr="004B3056">
              <w:rPr>
                <w:rFonts w:cs="Arial"/>
                <w:bCs/>
                <w:sz w:val="17"/>
                <w:szCs w:val="17"/>
                <w:lang w:val="fr-FR" w:eastAsia="zh-CN"/>
              </w:rPr>
              <w:t>en cours</w:t>
            </w:r>
          </w:p>
        </w:tc>
        <w:tc>
          <w:tcPr>
            <w:tcW w:w="694" w:type="pct"/>
            <w:shd w:val="clear" w:color="auto" w:fill="auto"/>
            <w:vAlign w:val="center"/>
          </w:tcPr>
          <w:p w14:paraId="67E8275B"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56.580.000</w:t>
            </w:r>
          </w:p>
        </w:tc>
      </w:tr>
      <w:tr w:rsidR="001C59B7" w:rsidRPr="004B3056" w14:paraId="3A001D23" w14:textId="77777777" w:rsidTr="00BA1953">
        <w:tc>
          <w:tcPr>
            <w:tcW w:w="453" w:type="pct"/>
            <w:vAlign w:val="center"/>
          </w:tcPr>
          <w:p w14:paraId="7947462F" w14:textId="77777777" w:rsidR="001C59B7" w:rsidRPr="004B3056" w:rsidRDefault="001C59B7" w:rsidP="001C59B7">
            <w:pPr>
              <w:spacing w:line="240" w:lineRule="auto"/>
              <w:rPr>
                <w:rFonts w:cs="Arial"/>
                <w:bCs/>
                <w:caps/>
                <w:sz w:val="17"/>
                <w:szCs w:val="17"/>
                <w:lang w:val="fr-FR" w:eastAsia="zh-CN"/>
              </w:rPr>
            </w:pPr>
          </w:p>
        </w:tc>
        <w:tc>
          <w:tcPr>
            <w:tcW w:w="1747" w:type="pct"/>
            <w:vAlign w:val="center"/>
          </w:tcPr>
          <w:p w14:paraId="3E5C6F89"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 xml:space="preserve">Amélioration de la desserte en eau potable de la </w:t>
            </w:r>
            <w:r w:rsidRPr="004B3056">
              <w:rPr>
                <w:rFonts w:cs="Arial"/>
                <w:bCs/>
                <w:sz w:val="17"/>
                <w:szCs w:val="17"/>
                <w:lang w:val="fr-FR" w:eastAsia="zh-CN"/>
              </w:rPr>
              <w:lastRenderedPageBreak/>
              <w:t>commune VI du district de Bamako</w:t>
            </w:r>
          </w:p>
        </w:tc>
        <w:tc>
          <w:tcPr>
            <w:tcW w:w="755" w:type="pct"/>
            <w:vAlign w:val="center"/>
          </w:tcPr>
          <w:p w14:paraId="7B2FBB59" w14:textId="77777777" w:rsidR="001C59B7" w:rsidRPr="004B3056" w:rsidRDefault="001C59B7" w:rsidP="001C59B7">
            <w:pPr>
              <w:spacing w:line="240" w:lineRule="auto"/>
              <w:rPr>
                <w:rFonts w:cs="Arial"/>
                <w:bCs/>
                <w:caps/>
                <w:sz w:val="17"/>
                <w:szCs w:val="17"/>
                <w:lang w:val="fr-FR" w:eastAsia="zh-CN"/>
              </w:rPr>
            </w:pPr>
          </w:p>
        </w:tc>
        <w:tc>
          <w:tcPr>
            <w:tcW w:w="624" w:type="pct"/>
            <w:vAlign w:val="center"/>
          </w:tcPr>
          <w:p w14:paraId="71334AB4"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DNH</w:t>
            </w:r>
          </w:p>
        </w:tc>
        <w:tc>
          <w:tcPr>
            <w:tcW w:w="727" w:type="pct"/>
            <w:shd w:val="clear" w:color="auto" w:fill="auto"/>
            <w:vAlign w:val="center"/>
          </w:tcPr>
          <w:p w14:paraId="57C5C184"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 xml:space="preserve">2009 - </w:t>
            </w:r>
          </w:p>
        </w:tc>
        <w:tc>
          <w:tcPr>
            <w:tcW w:w="694" w:type="pct"/>
            <w:shd w:val="clear" w:color="auto" w:fill="auto"/>
            <w:vAlign w:val="center"/>
          </w:tcPr>
          <w:p w14:paraId="589DD4F8" w14:textId="77777777" w:rsidR="001C59B7" w:rsidRPr="004B3056" w:rsidRDefault="001C59B7" w:rsidP="001C59B7">
            <w:pPr>
              <w:spacing w:line="240" w:lineRule="auto"/>
              <w:rPr>
                <w:rFonts w:cs="Arial"/>
                <w:bCs/>
                <w:caps/>
                <w:sz w:val="17"/>
                <w:szCs w:val="17"/>
                <w:lang w:val="fr-FR" w:eastAsia="zh-CN"/>
              </w:rPr>
            </w:pPr>
            <w:r w:rsidRPr="004B3056">
              <w:rPr>
                <w:rFonts w:cs="Arial"/>
                <w:sz w:val="17"/>
                <w:szCs w:val="17"/>
                <w:lang w:val="fr-FR" w:eastAsia="zh-CN"/>
              </w:rPr>
              <w:t>12 Millons</w:t>
            </w:r>
          </w:p>
        </w:tc>
      </w:tr>
      <w:tr w:rsidR="001C59B7" w:rsidRPr="004B3056" w14:paraId="5737BE40" w14:textId="77777777" w:rsidTr="00BA1953">
        <w:tc>
          <w:tcPr>
            <w:tcW w:w="453" w:type="pct"/>
            <w:vAlign w:val="center"/>
          </w:tcPr>
          <w:p w14:paraId="316AA8E6" w14:textId="77777777" w:rsidR="001C59B7" w:rsidRPr="004B3056" w:rsidRDefault="001C59B7" w:rsidP="001C59B7">
            <w:pPr>
              <w:spacing w:line="240" w:lineRule="auto"/>
              <w:rPr>
                <w:rFonts w:cs="Arial"/>
                <w:bCs/>
                <w:caps/>
                <w:sz w:val="17"/>
                <w:szCs w:val="17"/>
                <w:lang w:val="fr-FR" w:eastAsia="zh-CN"/>
              </w:rPr>
            </w:pPr>
          </w:p>
        </w:tc>
        <w:tc>
          <w:tcPr>
            <w:tcW w:w="1747" w:type="pct"/>
            <w:vAlign w:val="center"/>
          </w:tcPr>
          <w:p w14:paraId="63DE4995"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Agroécologie, une voie d’adaptation au changement climatique</w:t>
            </w:r>
          </w:p>
        </w:tc>
        <w:tc>
          <w:tcPr>
            <w:tcW w:w="755" w:type="pct"/>
            <w:vAlign w:val="center"/>
          </w:tcPr>
          <w:p w14:paraId="61B9C4A6"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FFEM</w:t>
            </w:r>
          </w:p>
        </w:tc>
        <w:tc>
          <w:tcPr>
            <w:tcW w:w="624" w:type="pct"/>
            <w:vAlign w:val="center"/>
          </w:tcPr>
          <w:p w14:paraId="2EBA073F" w14:textId="77777777" w:rsidR="001C59B7" w:rsidRPr="004B3056" w:rsidRDefault="001C59B7" w:rsidP="001C59B7">
            <w:pPr>
              <w:spacing w:line="240" w:lineRule="auto"/>
              <w:rPr>
                <w:rFonts w:cs="Arial"/>
                <w:bCs/>
                <w:caps/>
                <w:sz w:val="17"/>
                <w:szCs w:val="17"/>
                <w:lang w:val="fr-FR" w:eastAsia="zh-CN"/>
              </w:rPr>
            </w:pPr>
          </w:p>
        </w:tc>
        <w:tc>
          <w:tcPr>
            <w:tcW w:w="727" w:type="pct"/>
            <w:shd w:val="clear" w:color="auto" w:fill="auto"/>
            <w:vAlign w:val="center"/>
          </w:tcPr>
          <w:p w14:paraId="31B4C7CA"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2015-2018</w:t>
            </w:r>
          </w:p>
        </w:tc>
        <w:tc>
          <w:tcPr>
            <w:tcW w:w="694" w:type="pct"/>
            <w:shd w:val="clear" w:color="auto" w:fill="auto"/>
            <w:vAlign w:val="center"/>
          </w:tcPr>
          <w:p w14:paraId="7F616A4B"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régional</w:t>
            </w:r>
          </w:p>
        </w:tc>
      </w:tr>
      <w:tr w:rsidR="001C59B7" w:rsidRPr="004B3056" w14:paraId="25E91C70" w14:textId="77777777" w:rsidTr="00BA1953">
        <w:tc>
          <w:tcPr>
            <w:tcW w:w="453" w:type="pct"/>
            <w:vAlign w:val="center"/>
          </w:tcPr>
          <w:p w14:paraId="108A7299" w14:textId="77777777" w:rsidR="001C59B7" w:rsidRPr="004B3056" w:rsidRDefault="001C59B7" w:rsidP="001C59B7">
            <w:pPr>
              <w:spacing w:line="240" w:lineRule="auto"/>
              <w:rPr>
                <w:rFonts w:cs="Arial"/>
                <w:bCs/>
                <w:caps/>
                <w:sz w:val="17"/>
                <w:szCs w:val="17"/>
                <w:lang w:val="fr-FR" w:eastAsia="zh-CN"/>
              </w:rPr>
            </w:pPr>
          </w:p>
        </w:tc>
        <w:tc>
          <w:tcPr>
            <w:tcW w:w="1747" w:type="pct"/>
            <w:vAlign w:val="center"/>
          </w:tcPr>
          <w:p w14:paraId="2A5B06CA"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Jatropha curcas : résilience aux changements climatiques et filières agroforestières durables</w:t>
            </w:r>
          </w:p>
        </w:tc>
        <w:tc>
          <w:tcPr>
            <w:tcW w:w="755" w:type="pct"/>
            <w:vAlign w:val="center"/>
          </w:tcPr>
          <w:p w14:paraId="0120377F"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FFEM</w:t>
            </w:r>
          </w:p>
        </w:tc>
        <w:tc>
          <w:tcPr>
            <w:tcW w:w="624" w:type="pct"/>
            <w:vAlign w:val="center"/>
          </w:tcPr>
          <w:p w14:paraId="4BFDBAE2" w14:textId="77777777" w:rsidR="001C59B7" w:rsidRPr="004B3056" w:rsidRDefault="001C59B7" w:rsidP="001C59B7">
            <w:pPr>
              <w:spacing w:line="240" w:lineRule="auto"/>
              <w:rPr>
                <w:rFonts w:cs="Arial"/>
                <w:bCs/>
                <w:caps/>
                <w:sz w:val="17"/>
                <w:szCs w:val="17"/>
                <w:lang w:val="fr-FR" w:eastAsia="zh-CN"/>
              </w:rPr>
            </w:pPr>
          </w:p>
        </w:tc>
        <w:tc>
          <w:tcPr>
            <w:tcW w:w="727" w:type="pct"/>
            <w:shd w:val="clear" w:color="auto" w:fill="auto"/>
            <w:vAlign w:val="center"/>
          </w:tcPr>
          <w:p w14:paraId="5FF74F56"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2017 - 2021</w:t>
            </w:r>
          </w:p>
        </w:tc>
        <w:tc>
          <w:tcPr>
            <w:tcW w:w="694" w:type="pct"/>
            <w:shd w:val="clear" w:color="auto" w:fill="auto"/>
            <w:vAlign w:val="center"/>
          </w:tcPr>
          <w:p w14:paraId="2DAB7660"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3.378.413</w:t>
            </w:r>
          </w:p>
        </w:tc>
      </w:tr>
      <w:tr w:rsidR="001C59B7" w:rsidRPr="004B3056" w14:paraId="4E3660A6" w14:textId="77777777" w:rsidTr="00BA1953">
        <w:tc>
          <w:tcPr>
            <w:tcW w:w="453" w:type="pct"/>
            <w:vAlign w:val="center"/>
          </w:tcPr>
          <w:p w14:paraId="7AF4CD2D" w14:textId="77777777" w:rsidR="001C59B7" w:rsidRPr="004B3056" w:rsidRDefault="001C59B7" w:rsidP="001C59B7">
            <w:pPr>
              <w:spacing w:line="240" w:lineRule="auto"/>
              <w:rPr>
                <w:rFonts w:cs="Arial"/>
                <w:bCs/>
                <w:caps/>
                <w:sz w:val="17"/>
                <w:szCs w:val="17"/>
                <w:lang w:val="fr-FR" w:eastAsia="zh-CN"/>
              </w:rPr>
            </w:pPr>
          </w:p>
        </w:tc>
        <w:tc>
          <w:tcPr>
            <w:tcW w:w="1747" w:type="pct"/>
            <w:vAlign w:val="center"/>
          </w:tcPr>
          <w:p w14:paraId="1C70250C"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Soutenir la gestion durable des oiseaux d'eau et de leur habitat</w:t>
            </w:r>
          </w:p>
        </w:tc>
        <w:tc>
          <w:tcPr>
            <w:tcW w:w="755" w:type="pct"/>
            <w:vAlign w:val="center"/>
          </w:tcPr>
          <w:p w14:paraId="1549EDD7"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FFEM</w:t>
            </w:r>
          </w:p>
        </w:tc>
        <w:tc>
          <w:tcPr>
            <w:tcW w:w="624" w:type="pct"/>
            <w:vAlign w:val="center"/>
          </w:tcPr>
          <w:p w14:paraId="50361896" w14:textId="77777777" w:rsidR="001C59B7" w:rsidRPr="004B3056" w:rsidRDefault="001C59B7" w:rsidP="001C59B7">
            <w:pPr>
              <w:spacing w:line="240" w:lineRule="auto"/>
              <w:rPr>
                <w:rFonts w:cs="Arial"/>
                <w:bCs/>
                <w:caps/>
                <w:sz w:val="17"/>
                <w:szCs w:val="17"/>
                <w:lang w:val="fr-FR" w:eastAsia="zh-CN"/>
              </w:rPr>
            </w:pPr>
          </w:p>
        </w:tc>
        <w:tc>
          <w:tcPr>
            <w:tcW w:w="727" w:type="pct"/>
            <w:shd w:val="clear" w:color="auto" w:fill="auto"/>
            <w:vAlign w:val="center"/>
          </w:tcPr>
          <w:p w14:paraId="465A1745"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2017 - 2021</w:t>
            </w:r>
          </w:p>
        </w:tc>
        <w:tc>
          <w:tcPr>
            <w:tcW w:w="694" w:type="pct"/>
            <w:shd w:val="clear" w:color="auto" w:fill="auto"/>
            <w:vAlign w:val="center"/>
          </w:tcPr>
          <w:p w14:paraId="093B97AC"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régional</w:t>
            </w:r>
          </w:p>
        </w:tc>
      </w:tr>
    </w:tbl>
    <w:p w14:paraId="17269EDE" w14:textId="77777777" w:rsidR="001C59B7" w:rsidRPr="004B3056" w:rsidRDefault="001C59B7" w:rsidP="001C59B7">
      <w:pPr>
        <w:spacing w:after="0" w:line="240" w:lineRule="auto"/>
        <w:rPr>
          <w:rFonts w:eastAsia="SimSun" w:cs="Arial"/>
          <w:sz w:val="18"/>
          <w:szCs w:val="18"/>
          <w:lang w:val="fr-FR" w:eastAsia="zh-CN"/>
        </w:rPr>
      </w:pPr>
    </w:p>
    <w:p w14:paraId="3FA966F7" w14:textId="77777777" w:rsidR="001C59B7" w:rsidRPr="004B3056" w:rsidRDefault="001C59B7" w:rsidP="001C59B7">
      <w:pPr>
        <w:spacing w:after="0" w:line="240" w:lineRule="auto"/>
        <w:rPr>
          <w:rFonts w:eastAsia="SimSun" w:cs="Arial"/>
          <w:sz w:val="18"/>
          <w:szCs w:val="18"/>
          <w:lang w:val="fr-FR" w:eastAsia="zh-CN"/>
        </w:rPr>
      </w:pPr>
      <w:r w:rsidRPr="004B3056">
        <w:rPr>
          <w:rFonts w:eastAsia="SimSun" w:cs="Arial"/>
          <w:sz w:val="18"/>
          <w:szCs w:val="18"/>
          <w:lang w:val="fr-FR" w:eastAsia="zh-CN"/>
        </w:rPr>
        <w:t>Belgique (ENABEL)</w:t>
      </w:r>
    </w:p>
    <w:tbl>
      <w:tblPr>
        <w:tblStyle w:val="Tabellenraster3"/>
        <w:tblW w:w="5000" w:type="pct"/>
        <w:tblLook w:val="01E0" w:firstRow="1" w:lastRow="1" w:firstColumn="1" w:lastColumn="1" w:noHBand="0" w:noVBand="0"/>
      </w:tblPr>
      <w:tblGrid>
        <w:gridCol w:w="1275"/>
        <w:gridCol w:w="4967"/>
        <w:gridCol w:w="1786"/>
        <w:gridCol w:w="876"/>
        <w:gridCol w:w="1233"/>
      </w:tblGrid>
      <w:tr w:rsidR="001C59B7" w:rsidRPr="004B3056" w14:paraId="220AAB78" w14:textId="77777777" w:rsidTr="00BA1953">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60DFF409"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Projet Abr.</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0AA1E31A"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Projet</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7F920A26"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Partenaire de mise en oeuvre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209C4C5E"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Durée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272A6FAB"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Montant (€)</w:t>
            </w:r>
          </w:p>
        </w:tc>
      </w:tr>
      <w:tr w:rsidR="001C59B7" w:rsidRPr="004B3056" w14:paraId="4AB3F6F5" w14:textId="77777777" w:rsidTr="00BA1953">
        <w:tc>
          <w:tcPr>
            <w:tcW w:w="0" w:type="auto"/>
            <w:tcBorders>
              <w:top w:val="single" w:sz="4" w:space="0" w:color="auto"/>
              <w:left w:val="single" w:sz="4" w:space="0" w:color="auto"/>
              <w:bottom w:val="single" w:sz="4" w:space="0" w:color="auto"/>
              <w:right w:val="single" w:sz="4" w:space="0" w:color="auto"/>
            </w:tcBorders>
            <w:vAlign w:val="center"/>
          </w:tcPr>
          <w:p w14:paraId="0E60E4DA"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CONFIDES</w:t>
            </w:r>
          </w:p>
        </w:tc>
        <w:tc>
          <w:tcPr>
            <w:tcW w:w="0" w:type="auto"/>
            <w:tcBorders>
              <w:top w:val="single" w:sz="4" w:space="0" w:color="auto"/>
              <w:left w:val="single" w:sz="4" w:space="0" w:color="auto"/>
              <w:bottom w:val="single" w:sz="4" w:space="0" w:color="auto"/>
              <w:right w:val="single" w:sz="4" w:space="0" w:color="auto"/>
            </w:tcBorders>
            <w:vAlign w:val="center"/>
          </w:tcPr>
          <w:p w14:paraId="363832E6" w14:textId="77777777" w:rsidR="001C59B7" w:rsidRPr="004B3056" w:rsidRDefault="001C59B7" w:rsidP="001C59B7">
            <w:pPr>
              <w:spacing w:line="240" w:lineRule="auto"/>
              <w:rPr>
                <w:rFonts w:cs="Arial"/>
                <w:bCs/>
                <w:caps/>
                <w:sz w:val="17"/>
                <w:szCs w:val="17"/>
                <w:lang w:val="fr-FR" w:eastAsia="zh-CN"/>
              </w:rPr>
            </w:pPr>
            <w:r w:rsidRPr="004B3056">
              <w:rPr>
                <w:rFonts w:cs="Arial"/>
                <w:bCs/>
                <w:sz w:val="17"/>
                <w:szCs w:val="17"/>
                <w:lang w:val="fr-FR" w:eastAsia="zh-CN"/>
              </w:rPr>
              <w:t>Consolidation à la Filière de Transformation et Gestion des Déchets Solides de la ville de Sikasso</w:t>
            </w:r>
          </w:p>
        </w:tc>
        <w:tc>
          <w:tcPr>
            <w:tcW w:w="0" w:type="auto"/>
            <w:tcBorders>
              <w:top w:val="single" w:sz="4" w:space="0" w:color="auto"/>
              <w:left w:val="single" w:sz="4" w:space="0" w:color="auto"/>
              <w:bottom w:val="single" w:sz="4" w:space="0" w:color="auto"/>
              <w:right w:val="single" w:sz="4" w:space="0" w:color="auto"/>
            </w:tcBorders>
            <w:vAlign w:val="center"/>
          </w:tcPr>
          <w:p w14:paraId="250561C5" w14:textId="77777777" w:rsidR="001C59B7" w:rsidRPr="004B3056" w:rsidRDefault="001C59B7" w:rsidP="001C59B7">
            <w:pPr>
              <w:spacing w:line="240" w:lineRule="auto"/>
              <w:rPr>
                <w:rFonts w:cs="Arial"/>
                <w:bCs/>
                <w:caps/>
                <w:sz w:val="17"/>
                <w:szCs w:val="17"/>
                <w:lang w:val="fr-FR"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848F97"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2014-2017</w:t>
            </w:r>
          </w:p>
          <w:p w14:paraId="2A858992" w14:textId="77777777" w:rsidR="001C59B7" w:rsidRPr="004B3056" w:rsidRDefault="001C59B7" w:rsidP="001C59B7">
            <w:pPr>
              <w:spacing w:line="240" w:lineRule="auto"/>
              <w:rPr>
                <w:rFonts w:cs="Arial"/>
                <w:bCs/>
                <w:caps/>
                <w:sz w:val="17"/>
                <w:szCs w:val="17"/>
                <w:lang w:val="fr-FR"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FB673A" w14:textId="77777777" w:rsidR="001C59B7" w:rsidRPr="004B3056" w:rsidRDefault="001C59B7" w:rsidP="001C59B7">
            <w:pPr>
              <w:spacing w:line="240" w:lineRule="auto"/>
              <w:rPr>
                <w:rFonts w:cs="Arial"/>
                <w:bCs/>
                <w:caps/>
                <w:sz w:val="17"/>
                <w:szCs w:val="17"/>
                <w:lang w:val="fr-FR" w:eastAsia="zh-CN"/>
              </w:rPr>
            </w:pPr>
            <w:r w:rsidRPr="004B3056">
              <w:rPr>
                <w:rFonts w:cs="Arial"/>
                <w:bCs/>
                <w:sz w:val="17"/>
                <w:szCs w:val="17"/>
                <w:lang w:val="fr-FR" w:eastAsia="zh-CN"/>
              </w:rPr>
              <w:t>terminé</w:t>
            </w:r>
          </w:p>
        </w:tc>
      </w:tr>
      <w:tr w:rsidR="001C59B7" w:rsidRPr="004B3056" w14:paraId="6A956CAE" w14:textId="77777777" w:rsidTr="00BA1953">
        <w:tc>
          <w:tcPr>
            <w:tcW w:w="0" w:type="auto"/>
            <w:tcBorders>
              <w:top w:val="single" w:sz="4" w:space="0" w:color="auto"/>
              <w:left w:val="single" w:sz="4" w:space="0" w:color="auto"/>
              <w:bottom w:val="single" w:sz="4" w:space="0" w:color="auto"/>
              <w:right w:val="single" w:sz="4" w:space="0" w:color="auto"/>
            </w:tcBorders>
            <w:vAlign w:val="center"/>
          </w:tcPr>
          <w:p w14:paraId="7515FB81"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OSRO-RAF-605-BEL</w:t>
            </w:r>
          </w:p>
        </w:tc>
        <w:tc>
          <w:tcPr>
            <w:tcW w:w="0" w:type="auto"/>
            <w:tcBorders>
              <w:top w:val="single" w:sz="4" w:space="0" w:color="auto"/>
              <w:left w:val="single" w:sz="4" w:space="0" w:color="auto"/>
              <w:bottom w:val="single" w:sz="4" w:space="0" w:color="auto"/>
              <w:right w:val="single" w:sz="4" w:space="0" w:color="auto"/>
            </w:tcBorders>
            <w:vAlign w:val="center"/>
          </w:tcPr>
          <w:p w14:paraId="675E7048"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 xml:space="preserve">Réduire la vulnérabilité des moyens d’existence agricoles à travers l’approche « Caisses de Résilience » au Sahel </w:t>
            </w:r>
          </w:p>
        </w:tc>
        <w:tc>
          <w:tcPr>
            <w:tcW w:w="0" w:type="auto"/>
            <w:tcBorders>
              <w:top w:val="single" w:sz="4" w:space="0" w:color="auto"/>
              <w:left w:val="single" w:sz="4" w:space="0" w:color="auto"/>
              <w:bottom w:val="single" w:sz="4" w:space="0" w:color="auto"/>
              <w:right w:val="single" w:sz="4" w:space="0" w:color="auto"/>
            </w:tcBorders>
            <w:vAlign w:val="center"/>
          </w:tcPr>
          <w:p w14:paraId="2D067411" w14:textId="77777777" w:rsidR="001C59B7" w:rsidRPr="004B3056" w:rsidRDefault="001C59B7" w:rsidP="001C59B7">
            <w:pPr>
              <w:spacing w:line="240" w:lineRule="auto"/>
              <w:rPr>
                <w:rFonts w:cs="Arial"/>
                <w:bCs/>
                <w:caps/>
                <w:sz w:val="17"/>
                <w:szCs w:val="17"/>
                <w:lang w:val="en-GB" w:eastAsia="zh-CN"/>
              </w:rPr>
            </w:pPr>
            <w:r w:rsidRPr="004B3056">
              <w:rPr>
                <w:rFonts w:cs="Arial"/>
                <w:bCs/>
                <w:caps/>
                <w:sz w:val="17"/>
                <w:szCs w:val="17"/>
                <w:lang w:val="en-GB" w:eastAsia="zh-CN"/>
              </w:rPr>
              <w:t>GAAS  - Mali</w:t>
            </w:r>
          </w:p>
          <w:p w14:paraId="6B9F77F4" w14:textId="77777777" w:rsidR="001C59B7" w:rsidRPr="004B3056" w:rsidRDefault="001C59B7" w:rsidP="001C59B7">
            <w:pPr>
              <w:spacing w:line="240" w:lineRule="auto"/>
              <w:rPr>
                <w:rFonts w:cs="Arial"/>
                <w:bCs/>
                <w:caps/>
                <w:sz w:val="17"/>
                <w:szCs w:val="17"/>
                <w:lang w:val="en-GB" w:eastAsia="zh-CN"/>
              </w:rPr>
            </w:pPr>
            <w:r w:rsidRPr="004B3056">
              <w:rPr>
                <w:rFonts w:cs="Arial"/>
                <w:bCs/>
                <w:caps/>
                <w:sz w:val="17"/>
                <w:szCs w:val="17"/>
                <w:lang w:val="en-GB" w:eastAsia="zh-CN"/>
              </w:rPr>
              <w:t>DNA, DNPIA, MEADD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C9CC4A"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2016 - 2018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AF2E70"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1 170 568 560 F.CFA</w:t>
            </w:r>
          </w:p>
        </w:tc>
      </w:tr>
      <w:tr w:rsidR="001C59B7" w:rsidRPr="004B3056" w14:paraId="3B5C9040" w14:textId="77777777" w:rsidTr="00BA1953">
        <w:tc>
          <w:tcPr>
            <w:tcW w:w="0" w:type="auto"/>
            <w:tcBorders>
              <w:top w:val="single" w:sz="4" w:space="0" w:color="auto"/>
              <w:left w:val="single" w:sz="4" w:space="0" w:color="auto"/>
              <w:bottom w:val="single" w:sz="4" w:space="0" w:color="auto"/>
              <w:right w:val="single" w:sz="4" w:space="0" w:color="auto"/>
            </w:tcBorders>
            <w:vAlign w:val="center"/>
          </w:tcPr>
          <w:p w14:paraId="017741EE" w14:textId="77777777" w:rsidR="001C59B7" w:rsidRPr="004B3056" w:rsidRDefault="001C59B7" w:rsidP="001C59B7">
            <w:pPr>
              <w:spacing w:line="240" w:lineRule="auto"/>
              <w:rPr>
                <w:rFonts w:cs="Arial"/>
                <w:bCs/>
                <w:caps/>
                <w:sz w:val="17"/>
                <w:szCs w:val="17"/>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728FE75"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Projet d’appui aux investissements des Collectivités territoriales</w:t>
            </w:r>
          </w:p>
        </w:tc>
        <w:tc>
          <w:tcPr>
            <w:tcW w:w="0" w:type="auto"/>
            <w:tcBorders>
              <w:top w:val="single" w:sz="4" w:space="0" w:color="auto"/>
              <w:left w:val="single" w:sz="4" w:space="0" w:color="auto"/>
              <w:bottom w:val="single" w:sz="4" w:space="0" w:color="auto"/>
              <w:right w:val="single" w:sz="4" w:space="0" w:color="auto"/>
            </w:tcBorders>
            <w:vAlign w:val="center"/>
          </w:tcPr>
          <w:p w14:paraId="5AB6B4C8" w14:textId="77777777" w:rsidR="001C59B7" w:rsidRPr="004B3056" w:rsidRDefault="001C59B7" w:rsidP="001C59B7">
            <w:pPr>
              <w:spacing w:line="240" w:lineRule="auto"/>
              <w:rPr>
                <w:rFonts w:cs="Arial"/>
                <w:bCs/>
                <w:caps/>
                <w:sz w:val="17"/>
                <w:szCs w:val="17"/>
                <w:lang w:val="fr-FR"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423FA3"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2014 - 2020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902808"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7.170.000</w:t>
            </w:r>
          </w:p>
        </w:tc>
      </w:tr>
      <w:tr w:rsidR="001C59B7" w:rsidRPr="004B3056" w14:paraId="5316B5A1" w14:textId="77777777" w:rsidTr="00BA1953">
        <w:tc>
          <w:tcPr>
            <w:tcW w:w="0" w:type="auto"/>
            <w:tcBorders>
              <w:top w:val="single" w:sz="4" w:space="0" w:color="auto"/>
              <w:left w:val="single" w:sz="4" w:space="0" w:color="auto"/>
              <w:bottom w:val="single" w:sz="4" w:space="0" w:color="auto"/>
              <w:right w:val="single" w:sz="4" w:space="0" w:color="auto"/>
            </w:tcBorders>
            <w:vAlign w:val="center"/>
          </w:tcPr>
          <w:p w14:paraId="6916BCD1" w14:textId="77777777" w:rsidR="001C59B7" w:rsidRPr="004B3056" w:rsidRDefault="001C59B7" w:rsidP="001C59B7">
            <w:pPr>
              <w:spacing w:line="240" w:lineRule="auto"/>
              <w:rPr>
                <w:rFonts w:cs="Arial"/>
                <w:bCs/>
                <w:caps/>
                <w:sz w:val="17"/>
                <w:szCs w:val="17"/>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8568867"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Appui au renforcement de l’Elevage et de l’économie pastorale au niveau de la Région de Koulikoro</w:t>
            </w:r>
          </w:p>
        </w:tc>
        <w:tc>
          <w:tcPr>
            <w:tcW w:w="0" w:type="auto"/>
            <w:tcBorders>
              <w:top w:val="single" w:sz="4" w:space="0" w:color="auto"/>
              <w:left w:val="single" w:sz="4" w:space="0" w:color="auto"/>
              <w:bottom w:val="single" w:sz="4" w:space="0" w:color="auto"/>
              <w:right w:val="single" w:sz="4" w:space="0" w:color="auto"/>
            </w:tcBorders>
            <w:vAlign w:val="center"/>
          </w:tcPr>
          <w:p w14:paraId="1ABB8F2B"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DNPIA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701D7E"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2017 - 2022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283F71"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7.500.000</w:t>
            </w:r>
          </w:p>
        </w:tc>
      </w:tr>
      <w:tr w:rsidR="001C59B7" w:rsidRPr="004B3056" w14:paraId="7E8960CA" w14:textId="77777777" w:rsidTr="00BA1953">
        <w:tblPrEx>
          <w:tblLook w:val="04A0" w:firstRow="1" w:lastRow="0" w:firstColumn="1" w:lastColumn="0" w:noHBand="0" w:noVBand="1"/>
        </w:tblPrEx>
        <w:tc>
          <w:tcPr>
            <w:tcW w:w="629" w:type="pct"/>
          </w:tcPr>
          <w:p w14:paraId="2942CAC4"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PAFHA</w:t>
            </w:r>
          </w:p>
        </w:tc>
        <w:tc>
          <w:tcPr>
            <w:tcW w:w="2450" w:type="pct"/>
          </w:tcPr>
          <w:p w14:paraId="02697C8D" w14:textId="77777777" w:rsidR="001C59B7" w:rsidRPr="004B3056" w:rsidRDefault="001C59B7" w:rsidP="001C59B7">
            <w:pPr>
              <w:spacing w:after="0" w:line="240" w:lineRule="auto"/>
              <w:rPr>
                <w:rFonts w:cs="Tahoma"/>
                <w:sz w:val="17"/>
                <w:szCs w:val="17"/>
              </w:rPr>
            </w:pPr>
            <w:r w:rsidRPr="004B3056">
              <w:rPr>
                <w:rFonts w:cs="Tahoma"/>
                <w:sz w:val="17"/>
                <w:szCs w:val="17"/>
              </w:rPr>
              <w:t>Le</w:t>
            </w:r>
            <w:r w:rsidRPr="004B3056">
              <w:rPr>
                <w:bCs/>
                <w:sz w:val="17"/>
                <w:szCs w:val="17"/>
              </w:rPr>
              <w:t xml:space="preserve"> Projet d'Appui à la Filière Halieutique et aquacole (= composante 1 du PRORESA)</w:t>
            </w:r>
          </w:p>
        </w:tc>
        <w:tc>
          <w:tcPr>
            <w:tcW w:w="881" w:type="pct"/>
          </w:tcPr>
          <w:p w14:paraId="23DBDB4E" w14:textId="77777777" w:rsidR="001C59B7" w:rsidRPr="004B3056" w:rsidRDefault="001C59B7" w:rsidP="001C59B7">
            <w:pPr>
              <w:spacing w:line="240" w:lineRule="auto"/>
              <w:rPr>
                <w:rFonts w:cs="Arial"/>
                <w:bCs/>
                <w:caps/>
                <w:sz w:val="17"/>
                <w:szCs w:val="17"/>
                <w:lang w:val="fr-FR" w:eastAsia="zh-CN"/>
              </w:rPr>
            </w:pPr>
          </w:p>
        </w:tc>
        <w:tc>
          <w:tcPr>
            <w:tcW w:w="432" w:type="pct"/>
          </w:tcPr>
          <w:p w14:paraId="44790E03"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2016-2021</w:t>
            </w:r>
          </w:p>
        </w:tc>
        <w:tc>
          <w:tcPr>
            <w:tcW w:w="608" w:type="pct"/>
          </w:tcPr>
          <w:p w14:paraId="731B6F4A"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C1 : 8.000.000 (UE)</w:t>
            </w:r>
          </w:p>
        </w:tc>
      </w:tr>
      <w:tr w:rsidR="001C59B7" w:rsidRPr="004B3056" w14:paraId="072A5B77" w14:textId="77777777" w:rsidTr="00BA1953">
        <w:tc>
          <w:tcPr>
            <w:tcW w:w="0" w:type="auto"/>
            <w:tcBorders>
              <w:top w:val="single" w:sz="4" w:space="0" w:color="auto"/>
              <w:left w:val="single" w:sz="4" w:space="0" w:color="auto"/>
              <w:bottom w:val="single" w:sz="4" w:space="0" w:color="auto"/>
              <w:right w:val="single" w:sz="4" w:space="0" w:color="auto"/>
            </w:tcBorders>
            <w:vAlign w:val="center"/>
          </w:tcPr>
          <w:p w14:paraId="77532FC6" w14:textId="77777777" w:rsidR="001C59B7" w:rsidRPr="004B3056" w:rsidRDefault="001C59B7" w:rsidP="001C59B7">
            <w:pPr>
              <w:spacing w:line="240" w:lineRule="auto"/>
              <w:rPr>
                <w:rFonts w:cs="Arial"/>
                <w:bCs/>
                <w:caps/>
                <w:sz w:val="17"/>
                <w:szCs w:val="17"/>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D5CABA6"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Lutte contre l’insécurité alimentaire et la malnutrition au niveau du Cercle de Nara (Koulikoro)</w:t>
            </w:r>
          </w:p>
        </w:tc>
        <w:tc>
          <w:tcPr>
            <w:tcW w:w="0" w:type="auto"/>
            <w:tcBorders>
              <w:top w:val="single" w:sz="4" w:space="0" w:color="auto"/>
              <w:left w:val="single" w:sz="4" w:space="0" w:color="auto"/>
              <w:bottom w:val="single" w:sz="4" w:space="0" w:color="auto"/>
              <w:right w:val="single" w:sz="4" w:space="0" w:color="auto"/>
            </w:tcBorders>
            <w:vAlign w:val="center"/>
          </w:tcPr>
          <w:p w14:paraId="7731EEB8" w14:textId="77777777" w:rsidR="001C59B7" w:rsidRPr="004B3056" w:rsidRDefault="001C59B7" w:rsidP="001C59B7">
            <w:pPr>
              <w:spacing w:line="240" w:lineRule="auto"/>
              <w:rPr>
                <w:rFonts w:cs="Arial"/>
                <w:bCs/>
                <w:caps/>
                <w:sz w:val="17"/>
                <w:szCs w:val="17"/>
                <w:lang w:val="fr-FR"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A00CDE"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2017 - 2022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1A7C97"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6.500.000</w:t>
            </w:r>
          </w:p>
        </w:tc>
      </w:tr>
      <w:tr w:rsidR="001C59B7" w:rsidRPr="004B3056" w14:paraId="551FB681" w14:textId="77777777" w:rsidTr="00BA1953">
        <w:tc>
          <w:tcPr>
            <w:tcW w:w="0" w:type="auto"/>
            <w:tcBorders>
              <w:top w:val="single" w:sz="4" w:space="0" w:color="auto"/>
              <w:left w:val="single" w:sz="4" w:space="0" w:color="auto"/>
              <w:bottom w:val="single" w:sz="4" w:space="0" w:color="auto"/>
              <w:right w:val="single" w:sz="4" w:space="0" w:color="auto"/>
            </w:tcBorders>
            <w:vAlign w:val="center"/>
          </w:tcPr>
          <w:p w14:paraId="7F0396F4"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PRODEFA</w:t>
            </w:r>
          </w:p>
        </w:tc>
        <w:tc>
          <w:tcPr>
            <w:tcW w:w="0" w:type="auto"/>
            <w:tcBorders>
              <w:top w:val="single" w:sz="4" w:space="0" w:color="auto"/>
              <w:left w:val="single" w:sz="4" w:space="0" w:color="auto"/>
              <w:bottom w:val="single" w:sz="4" w:space="0" w:color="auto"/>
              <w:right w:val="single" w:sz="4" w:space="0" w:color="auto"/>
            </w:tcBorders>
            <w:vAlign w:val="center"/>
          </w:tcPr>
          <w:p w14:paraId="47C30DB8"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Projet d’Appui au Développement de la Filière Aquacole dans la région de Sikasso</w:t>
            </w:r>
          </w:p>
        </w:tc>
        <w:tc>
          <w:tcPr>
            <w:tcW w:w="0" w:type="auto"/>
            <w:tcBorders>
              <w:top w:val="single" w:sz="4" w:space="0" w:color="auto"/>
              <w:left w:val="single" w:sz="4" w:space="0" w:color="auto"/>
              <w:bottom w:val="single" w:sz="4" w:space="0" w:color="auto"/>
              <w:right w:val="single" w:sz="4" w:space="0" w:color="auto"/>
            </w:tcBorders>
            <w:vAlign w:val="center"/>
          </w:tcPr>
          <w:p w14:paraId="20F22815" w14:textId="77777777" w:rsidR="001C59B7" w:rsidRPr="004B3056" w:rsidRDefault="001C59B7" w:rsidP="001C59B7">
            <w:pPr>
              <w:spacing w:line="240" w:lineRule="auto"/>
              <w:rPr>
                <w:rFonts w:cs="Arial"/>
                <w:bCs/>
                <w:caps/>
                <w:sz w:val="17"/>
                <w:szCs w:val="17"/>
                <w:lang w:val="fr-FR"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F8781D"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2010-2018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2492C7"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7.050.000</w:t>
            </w:r>
          </w:p>
        </w:tc>
      </w:tr>
    </w:tbl>
    <w:p w14:paraId="3CA96761" w14:textId="77777777" w:rsidR="001C59B7" w:rsidRPr="004B3056" w:rsidRDefault="001C59B7" w:rsidP="001C59B7">
      <w:pPr>
        <w:spacing w:after="0" w:line="240" w:lineRule="auto"/>
        <w:rPr>
          <w:rFonts w:eastAsia="SimSun" w:cs="Arial"/>
          <w:sz w:val="18"/>
          <w:szCs w:val="18"/>
          <w:lang w:val="fr-FR" w:eastAsia="zh-CN"/>
        </w:rPr>
      </w:pPr>
      <w:r w:rsidRPr="004B3056">
        <w:rPr>
          <w:rFonts w:eastAsia="SimSun" w:cs="Arial"/>
          <w:sz w:val="18"/>
          <w:szCs w:val="18"/>
          <w:lang w:val="fr-FR" w:eastAsia="zh-CN"/>
        </w:rPr>
        <w:t xml:space="preserve"> </w:t>
      </w:r>
    </w:p>
    <w:p w14:paraId="49EFB906" w14:textId="77777777" w:rsidR="001C59B7" w:rsidRPr="004B3056" w:rsidRDefault="001C59B7" w:rsidP="001C59B7">
      <w:pPr>
        <w:spacing w:after="0" w:line="240" w:lineRule="auto"/>
        <w:rPr>
          <w:rFonts w:eastAsia="SimSun" w:cs="Arial"/>
          <w:sz w:val="18"/>
          <w:szCs w:val="18"/>
          <w:lang w:val="fr-FR" w:eastAsia="zh-CN"/>
        </w:rPr>
      </w:pPr>
      <w:r w:rsidRPr="004B3056">
        <w:rPr>
          <w:rFonts w:eastAsia="SimSun" w:cs="Arial"/>
          <w:sz w:val="18"/>
          <w:szCs w:val="18"/>
          <w:lang w:val="fr-FR" w:eastAsia="zh-CN"/>
        </w:rPr>
        <w:t>Allemagne (GIZ, KFW, BMU)</w:t>
      </w:r>
    </w:p>
    <w:tbl>
      <w:tblPr>
        <w:tblStyle w:val="Tabellenraster3"/>
        <w:tblW w:w="5000" w:type="pct"/>
        <w:tblLook w:val="01E0" w:firstRow="1" w:lastRow="1" w:firstColumn="1" w:lastColumn="1" w:noHBand="0" w:noVBand="0"/>
      </w:tblPr>
      <w:tblGrid>
        <w:gridCol w:w="1226"/>
        <w:gridCol w:w="3453"/>
        <w:gridCol w:w="1519"/>
        <w:gridCol w:w="1381"/>
        <w:gridCol w:w="995"/>
        <w:gridCol w:w="1563"/>
      </w:tblGrid>
      <w:tr w:rsidR="004B3056" w:rsidRPr="004B3056" w14:paraId="44FF71A8" w14:textId="77777777" w:rsidTr="004B3056">
        <w:trPr>
          <w:cantSplit/>
          <w:tblHeader/>
        </w:trPr>
        <w:tc>
          <w:tcPr>
            <w:tcW w:w="605" w:type="pct"/>
            <w:shd w:val="clear" w:color="auto" w:fill="D9D9D9"/>
            <w:vAlign w:val="center"/>
          </w:tcPr>
          <w:p w14:paraId="0C99EB48"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Projet Abr.</w:t>
            </w:r>
          </w:p>
        </w:tc>
        <w:tc>
          <w:tcPr>
            <w:tcW w:w="1703" w:type="pct"/>
            <w:shd w:val="clear" w:color="auto" w:fill="D9D9D9"/>
            <w:vAlign w:val="center"/>
          </w:tcPr>
          <w:p w14:paraId="07E3E34E"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Projet</w:t>
            </w:r>
          </w:p>
        </w:tc>
        <w:tc>
          <w:tcPr>
            <w:tcW w:w="749" w:type="pct"/>
            <w:shd w:val="clear" w:color="auto" w:fill="D9D9D9"/>
            <w:vAlign w:val="center"/>
          </w:tcPr>
          <w:p w14:paraId="4C93D903"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Autres bailleurs de fonds</w:t>
            </w:r>
          </w:p>
        </w:tc>
        <w:tc>
          <w:tcPr>
            <w:tcW w:w="681" w:type="pct"/>
            <w:shd w:val="clear" w:color="auto" w:fill="D9D9D9"/>
            <w:vAlign w:val="center"/>
          </w:tcPr>
          <w:p w14:paraId="5EF93256"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Partenaire de mise en oeuvre</w:t>
            </w:r>
          </w:p>
        </w:tc>
        <w:tc>
          <w:tcPr>
            <w:tcW w:w="491" w:type="pct"/>
            <w:shd w:val="clear" w:color="auto" w:fill="D9D9D9"/>
            <w:vAlign w:val="center"/>
          </w:tcPr>
          <w:p w14:paraId="190CFCD0"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Durée</w:t>
            </w:r>
          </w:p>
        </w:tc>
        <w:tc>
          <w:tcPr>
            <w:tcW w:w="772" w:type="pct"/>
            <w:shd w:val="clear" w:color="auto" w:fill="D9D9D9"/>
            <w:vAlign w:val="center"/>
          </w:tcPr>
          <w:p w14:paraId="224B7CCC"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Montant (€)</w:t>
            </w:r>
          </w:p>
        </w:tc>
      </w:tr>
      <w:tr w:rsidR="004B3056" w:rsidRPr="004B3056" w14:paraId="05362570" w14:textId="77777777" w:rsidTr="004B3056">
        <w:tc>
          <w:tcPr>
            <w:tcW w:w="605" w:type="pct"/>
            <w:vAlign w:val="center"/>
          </w:tcPr>
          <w:p w14:paraId="16B801D1"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PASSIP</w:t>
            </w:r>
          </w:p>
        </w:tc>
        <w:tc>
          <w:tcPr>
            <w:tcW w:w="1703" w:type="pct"/>
            <w:vAlign w:val="center"/>
          </w:tcPr>
          <w:p w14:paraId="2C2A62DA" w14:textId="77777777" w:rsidR="001C59B7" w:rsidRPr="004B3056" w:rsidRDefault="001C59B7" w:rsidP="001C59B7">
            <w:pPr>
              <w:spacing w:line="240" w:lineRule="auto"/>
              <w:rPr>
                <w:rFonts w:cs="Arial"/>
                <w:bCs/>
                <w:caps/>
                <w:sz w:val="17"/>
                <w:szCs w:val="17"/>
                <w:lang w:val="fr-FR" w:eastAsia="zh-CN"/>
              </w:rPr>
            </w:pPr>
            <w:r w:rsidRPr="004B3056">
              <w:rPr>
                <w:rFonts w:cs="Arial"/>
                <w:bCs/>
                <w:sz w:val="17"/>
                <w:szCs w:val="17"/>
                <w:lang w:val="fr-FR" w:eastAsia="zh-CN"/>
              </w:rPr>
              <w:t>Programme d’appui au sous-secteur d’irrigation de proximité</w:t>
            </w:r>
          </w:p>
        </w:tc>
        <w:tc>
          <w:tcPr>
            <w:tcW w:w="749" w:type="pct"/>
            <w:vAlign w:val="center"/>
          </w:tcPr>
          <w:p w14:paraId="711F1A50"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Canada</w:t>
            </w:r>
          </w:p>
          <w:p w14:paraId="51415617"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UE, KFW</w:t>
            </w:r>
          </w:p>
        </w:tc>
        <w:tc>
          <w:tcPr>
            <w:tcW w:w="681" w:type="pct"/>
            <w:vAlign w:val="center"/>
          </w:tcPr>
          <w:p w14:paraId="529080E7" w14:textId="77777777" w:rsidR="001C59B7" w:rsidRPr="004B3056" w:rsidRDefault="001C59B7" w:rsidP="001C59B7">
            <w:pPr>
              <w:spacing w:line="240" w:lineRule="auto"/>
              <w:rPr>
                <w:rFonts w:cs="Arial"/>
                <w:bCs/>
                <w:caps/>
                <w:sz w:val="17"/>
                <w:szCs w:val="17"/>
                <w:lang w:val="fr-FR" w:eastAsia="zh-CN"/>
              </w:rPr>
            </w:pPr>
          </w:p>
        </w:tc>
        <w:tc>
          <w:tcPr>
            <w:tcW w:w="491" w:type="pct"/>
            <w:shd w:val="clear" w:color="auto" w:fill="auto"/>
            <w:vAlign w:val="center"/>
          </w:tcPr>
          <w:p w14:paraId="0CAE01E0"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2014 - 2019</w:t>
            </w:r>
          </w:p>
        </w:tc>
        <w:tc>
          <w:tcPr>
            <w:tcW w:w="772" w:type="pct"/>
            <w:shd w:val="clear" w:color="auto" w:fill="auto"/>
            <w:vAlign w:val="center"/>
          </w:tcPr>
          <w:p w14:paraId="0A8AADB1"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28.700.000 (GIZ)</w:t>
            </w:r>
          </w:p>
        </w:tc>
      </w:tr>
      <w:tr w:rsidR="004B3056" w:rsidRPr="004B3056" w14:paraId="5B27209B" w14:textId="77777777" w:rsidTr="004B3056">
        <w:tc>
          <w:tcPr>
            <w:tcW w:w="605" w:type="pct"/>
            <w:vAlign w:val="center"/>
          </w:tcPr>
          <w:p w14:paraId="0946EDC4"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ASNaCC</w:t>
            </w:r>
          </w:p>
        </w:tc>
        <w:tc>
          <w:tcPr>
            <w:tcW w:w="1703" w:type="pct"/>
            <w:vAlign w:val="center"/>
          </w:tcPr>
          <w:p w14:paraId="011C34E6"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Projet d’Appui à la mise en œuvre de la stratégie nationale sur les Changements Climatiques au Mali</w:t>
            </w:r>
          </w:p>
        </w:tc>
        <w:tc>
          <w:tcPr>
            <w:tcW w:w="749" w:type="pct"/>
            <w:vAlign w:val="center"/>
          </w:tcPr>
          <w:p w14:paraId="322613FA" w14:textId="77777777" w:rsidR="001C59B7" w:rsidRPr="004B3056" w:rsidRDefault="001C59B7" w:rsidP="001C59B7">
            <w:pPr>
              <w:spacing w:line="240" w:lineRule="auto"/>
              <w:rPr>
                <w:rFonts w:cs="Arial"/>
                <w:bCs/>
                <w:caps/>
                <w:sz w:val="17"/>
                <w:szCs w:val="17"/>
                <w:lang w:val="fr-FR" w:eastAsia="zh-CN"/>
              </w:rPr>
            </w:pPr>
          </w:p>
        </w:tc>
        <w:tc>
          <w:tcPr>
            <w:tcW w:w="681" w:type="pct"/>
            <w:vAlign w:val="center"/>
          </w:tcPr>
          <w:p w14:paraId="79D92F0A"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AEDD</w:t>
            </w:r>
          </w:p>
        </w:tc>
        <w:tc>
          <w:tcPr>
            <w:tcW w:w="491" w:type="pct"/>
            <w:shd w:val="clear" w:color="auto" w:fill="auto"/>
            <w:vAlign w:val="center"/>
          </w:tcPr>
          <w:p w14:paraId="1BEE9A71"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2014 - 2019</w:t>
            </w:r>
          </w:p>
        </w:tc>
        <w:tc>
          <w:tcPr>
            <w:tcW w:w="772" w:type="pct"/>
            <w:shd w:val="clear" w:color="auto" w:fill="auto"/>
            <w:vAlign w:val="center"/>
          </w:tcPr>
          <w:p w14:paraId="2BA7B067"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4.900.000 (GIZ)</w:t>
            </w:r>
          </w:p>
        </w:tc>
      </w:tr>
      <w:tr w:rsidR="004B3056" w:rsidRPr="004B3056" w14:paraId="2AAE021F" w14:textId="77777777" w:rsidTr="004B3056">
        <w:tc>
          <w:tcPr>
            <w:tcW w:w="605" w:type="pct"/>
            <w:vAlign w:val="center"/>
          </w:tcPr>
          <w:p w14:paraId="071AB533"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PICP</w:t>
            </w:r>
          </w:p>
        </w:tc>
        <w:tc>
          <w:tcPr>
            <w:tcW w:w="1703" w:type="pct"/>
            <w:vAlign w:val="center"/>
          </w:tcPr>
          <w:p w14:paraId="26A625AB"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Planification du développement innovante pour l’adaptation au changement climatique</w:t>
            </w:r>
          </w:p>
        </w:tc>
        <w:tc>
          <w:tcPr>
            <w:tcW w:w="749" w:type="pct"/>
            <w:vAlign w:val="center"/>
          </w:tcPr>
          <w:p w14:paraId="4EFFD72E" w14:textId="77777777" w:rsidR="001C59B7" w:rsidRPr="004B3056" w:rsidRDefault="001C59B7" w:rsidP="001C59B7">
            <w:pPr>
              <w:spacing w:line="240" w:lineRule="auto"/>
              <w:rPr>
                <w:rFonts w:cs="Arial"/>
                <w:bCs/>
                <w:caps/>
                <w:sz w:val="17"/>
                <w:szCs w:val="17"/>
                <w:lang w:val="fr-FR" w:eastAsia="zh-CN"/>
              </w:rPr>
            </w:pPr>
          </w:p>
        </w:tc>
        <w:tc>
          <w:tcPr>
            <w:tcW w:w="681" w:type="pct"/>
            <w:vAlign w:val="center"/>
          </w:tcPr>
          <w:p w14:paraId="47EED32E"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AEDD</w:t>
            </w:r>
          </w:p>
        </w:tc>
        <w:tc>
          <w:tcPr>
            <w:tcW w:w="491" w:type="pct"/>
            <w:shd w:val="clear" w:color="auto" w:fill="auto"/>
            <w:vAlign w:val="center"/>
          </w:tcPr>
          <w:p w14:paraId="302872E3"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2011 - 2018</w:t>
            </w:r>
          </w:p>
        </w:tc>
        <w:tc>
          <w:tcPr>
            <w:tcW w:w="772" w:type="pct"/>
            <w:shd w:val="clear" w:color="auto" w:fill="auto"/>
            <w:vAlign w:val="center"/>
          </w:tcPr>
          <w:p w14:paraId="1ACC4CE1"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2.164.658.100 FCFA</w:t>
            </w:r>
          </w:p>
        </w:tc>
      </w:tr>
      <w:tr w:rsidR="004B3056" w:rsidRPr="004B3056" w14:paraId="12B3F6B9" w14:textId="77777777" w:rsidTr="004B3056">
        <w:tc>
          <w:tcPr>
            <w:tcW w:w="605" w:type="pct"/>
            <w:vAlign w:val="center"/>
          </w:tcPr>
          <w:p w14:paraId="70942372" w14:textId="77777777" w:rsidR="001C59B7" w:rsidRPr="004B3056" w:rsidRDefault="001C59B7" w:rsidP="001C59B7">
            <w:pPr>
              <w:spacing w:line="240" w:lineRule="auto"/>
              <w:rPr>
                <w:rFonts w:cs="Arial"/>
                <w:bCs/>
                <w:caps/>
                <w:sz w:val="17"/>
                <w:szCs w:val="17"/>
                <w:lang w:val="fr-FR" w:eastAsia="zh-CN"/>
              </w:rPr>
            </w:pPr>
          </w:p>
        </w:tc>
        <w:tc>
          <w:tcPr>
            <w:tcW w:w="1703" w:type="pct"/>
            <w:vAlign w:val="center"/>
          </w:tcPr>
          <w:p w14:paraId="7E20B17D"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Facilitation du partenariat pour la CPN</w:t>
            </w:r>
          </w:p>
        </w:tc>
        <w:tc>
          <w:tcPr>
            <w:tcW w:w="749" w:type="pct"/>
            <w:vAlign w:val="center"/>
          </w:tcPr>
          <w:p w14:paraId="474609F6" w14:textId="77777777" w:rsidR="001C59B7" w:rsidRPr="004B3056" w:rsidRDefault="001C59B7" w:rsidP="001C59B7">
            <w:pPr>
              <w:spacing w:line="240" w:lineRule="auto"/>
              <w:rPr>
                <w:rFonts w:cs="Arial"/>
                <w:bCs/>
                <w:caps/>
                <w:sz w:val="17"/>
                <w:szCs w:val="17"/>
                <w:lang w:val="fr-FR" w:eastAsia="zh-CN"/>
              </w:rPr>
            </w:pPr>
          </w:p>
        </w:tc>
        <w:tc>
          <w:tcPr>
            <w:tcW w:w="681" w:type="pct"/>
            <w:vAlign w:val="center"/>
          </w:tcPr>
          <w:p w14:paraId="64F8FE74" w14:textId="77777777" w:rsidR="001C59B7" w:rsidRPr="004B3056" w:rsidRDefault="001C59B7" w:rsidP="001C59B7">
            <w:pPr>
              <w:spacing w:line="240" w:lineRule="auto"/>
              <w:rPr>
                <w:rFonts w:cs="Arial"/>
                <w:bCs/>
                <w:caps/>
                <w:sz w:val="17"/>
                <w:szCs w:val="17"/>
                <w:lang w:val="fr-FR" w:eastAsia="zh-CN"/>
              </w:rPr>
            </w:pPr>
          </w:p>
        </w:tc>
        <w:tc>
          <w:tcPr>
            <w:tcW w:w="491" w:type="pct"/>
            <w:shd w:val="clear" w:color="auto" w:fill="auto"/>
            <w:vAlign w:val="center"/>
          </w:tcPr>
          <w:p w14:paraId="3F468B0C"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2017 - 2019</w:t>
            </w:r>
          </w:p>
        </w:tc>
        <w:tc>
          <w:tcPr>
            <w:tcW w:w="772" w:type="pct"/>
            <w:shd w:val="clear" w:color="auto" w:fill="auto"/>
            <w:vAlign w:val="center"/>
          </w:tcPr>
          <w:p w14:paraId="10511C36"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260.000 (GIZ)</w:t>
            </w:r>
          </w:p>
        </w:tc>
      </w:tr>
      <w:tr w:rsidR="004B3056" w:rsidRPr="004B3056" w14:paraId="58A579C2" w14:textId="77777777" w:rsidTr="004B3056">
        <w:tc>
          <w:tcPr>
            <w:tcW w:w="605" w:type="pct"/>
            <w:vAlign w:val="center"/>
          </w:tcPr>
          <w:p w14:paraId="1D0CC60A" w14:textId="77777777" w:rsidR="001C59B7" w:rsidRPr="004B3056" w:rsidRDefault="001C59B7" w:rsidP="001C59B7">
            <w:pPr>
              <w:spacing w:line="240" w:lineRule="auto"/>
              <w:rPr>
                <w:rFonts w:cs="Arial"/>
                <w:bCs/>
                <w:caps/>
                <w:sz w:val="17"/>
                <w:szCs w:val="17"/>
                <w:lang w:val="fr-FR" w:eastAsia="zh-CN"/>
              </w:rPr>
            </w:pPr>
          </w:p>
        </w:tc>
        <w:tc>
          <w:tcPr>
            <w:tcW w:w="1703" w:type="pct"/>
            <w:vAlign w:val="center"/>
          </w:tcPr>
          <w:p w14:paraId="0E163545"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Alimentation en eau potable et assainissement en milieu rural et semi-urbain</w:t>
            </w:r>
          </w:p>
        </w:tc>
        <w:tc>
          <w:tcPr>
            <w:tcW w:w="749" w:type="pct"/>
            <w:vAlign w:val="center"/>
          </w:tcPr>
          <w:p w14:paraId="05063E0F"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KFW</w:t>
            </w:r>
          </w:p>
        </w:tc>
        <w:tc>
          <w:tcPr>
            <w:tcW w:w="681" w:type="pct"/>
            <w:vAlign w:val="center"/>
          </w:tcPr>
          <w:p w14:paraId="5B877C72"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MEE</w:t>
            </w:r>
          </w:p>
        </w:tc>
        <w:tc>
          <w:tcPr>
            <w:tcW w:w="491" w:type="pct"/>
            <w:shd w:val="clear" w:color="auto" w:fill="auto"/>
            <w:vAlign w:val="center"/>
          </w:tcPr>
          <w:p w14:paraId="77BE07B0"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2015 - 2019</w:t>
            </w:r>
          </w:p>
        </w:tc>
        <w:tc>
          <w:tcPr>
            <w:tcW w:w="772" w:type="pct"/>
            <w:shd w:val="clear" w:color="auto" w:fill="auto"/>
            <w:vAlign w:val="center"/>
          </w:tcPr>
          <w:p w14:paraId="5039E8D1"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16.000.000 (GIZ)</w:t>
            </w:r>
          </w:p>
        </w:tc>
      </w:tr>
      <w:tr w:rsidR="004B3056" w:rsidRPr="004B3056" w14:paraId="57689C39" w14:textId="77777777" w:rsidTr="004B3056">
        <w:tc>
          <w:tcPr>
            <w:tcW w:w="605" w:type="pct"/>
            <w:vAlign w:val="center"/>
          </w:tcPr>
          <w:p w14:paraId="5F3CED87"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CIV</w:t>
            </w:r>
          </w:p>
        </w:tc>
        <w:tc>
          <w:tcPr>
            <w:tcW w:w="1703" w:type="pct"/>
            <w:vAlign w:val="center"/>
          </w:tcPr>
          <w:p w14:paraId="3F713D05"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Centres d’innovations vertes (CIV)</w:t>
            </w:r>
          </w:p>
        </w:tc>
        <w:tc>
          <w:tcPr>
            <w:tcW w:w="749" w:type="pct"/>
            <w:vAlign w:val="center"/>
          </w:tcPr>
          <w:p w14:paraId="763EAEA6" w14:textId="77777777" w:rsidR="001C59B7" w:rsidRPr="004B3056" w:rsidRDefault="001C59B7" w:rsidP="001C59B7">
            <w:pPr>
              <w:spacing w:line="240" w:lineRule="auto"/>
              <w:rPr>
                <w:rFonts w:cs="Arial"/>
                <w:bCs/>
                <w:caps/>
                <w:sz w:val="17"/>
                <w:szCs w:val="17"/>
                <w:lang w:val="fr-FR" w:eastAsia="zh-CN"/>
              </w:rPr>
            </w:pPr>
          </w:p>
        </w:tc>
        <w:tc>
          <w:tcPr>
            <w:tcW w:w="681" w:type="pct"/>
            <w:vAlign w:val="center"/>
          </w:tcPr>
          <w:p w14:paraId="5DBEFB3B" w14:textId="77777777" w:rsidR="001C59B7" w:rsidRPr="004B3056" w:rsidRDefault="001C59B7" w:rsidP="001C59B7">
            <w:pPr>
              <w:spacing w:line="240" w:lineRule="auto"/>
              <w:rPr>
                <w:rFonts w:cs="Arial"/>
                <w:bCs/>
                <w:caps/>
                <w:sz w:val="17"/>
                <w:szCs w:val="17"/>
                <w:lang w:val="fr-FR" w:eastAsia="zh-CN"/>
              </w:rPr>
            </w:pPr>
          </w:p>
        </w:tc>
        <w:tc>
          <w:tcPr>
            <w:tcW w:w="491" w:type="pct"/>
            <w:shd w:val="clear" w:color="auto" w:fill="auto"/>
            <w:vAlign w:val="center"/>
          </w:tcPr>
          <w:p w14:paraId="02B8FA0D"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2014 - 2022</w:t>
            </w:r>
          </w:p>
        </w:tc>
        <w:tc>
          <w:tcPr>
            <w:tcW w:w="772" w:type="pct"/>
            <w:shd w:val="clear" w:color="auto" w:fill="auto"/>
            <w:vAlign w:val="center"/>
          </w:tcPr>
          <w:p w14:paraId="0D5D829E"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28.000.000 (GIZ)</w:t>
            </w:r>
          </w:p>
        </w:tc>
      </w:tr>
      <w:tr w:rsidR="004B3056" w:rsidRPr="004B3056" w14:paraId="5BB5B30D" w14:textId="77777777" w:rsidTr="004B3056">
        <w:tc>
          <w:tcPr>
            <w:tcW w:w="605" w:type="pct"/>
            <w:vAlign w:val="center"/>
          </w:tcPr>
          <w:p w14:paraId="633E29B8"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ELCOM/PACT</w:t>
            </w:r>
          </w:p>
        </w:tc>
        <w:tc>
          <w:tcPr>
            <w:tcW w:w="1703" w:type="pct"/>
            <w:vAlign w:val="center"/>
          </w:tcPr>
          <w:p w14:paraId="62D37113"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Electrification communale</w:t>
            </w:r>
          </w:p>
        </w:tc>
        <w:tc>
          <w:tcPr>
            <w:tcW w:w="749" w:type="pct"/>
            <w:vAlign w:val="center"/>
          </w:tcPr>
          <w:p w14:paraId="64A5E20E"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multi bailleur</w:t>
            </w:r>
          </w:p>
          <w:p w14:paraId="4ADE3277"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KFW</w:t>
            </w:r>
          </w:p>
        </w:tc>
        <w:tc>
          <w:tcPr>
            <w:tcW w:w="681" w:type="pct"/>
            <w:vAlign w:val="center"/>
          </w:tcPr>
          <w:p w14:paraId="4942D0FA" w14:textId="77777777" w:rsidR="001C59B7" w:rsidRPr="004B3056" w:rsidRDefault="001C59B7" w:rsidP="001C59B7">
            <w:pPr>
              <w:spacing w:line="240" w:lineRule="auto"/>
              <w:rPr>
                <w:rFonts w:cs="Arial"/>
                <w:bCs/>
                <w:caps/>
                <w:sz w:val="17"/>
                <w:szCs w:val="17"/>
                <w:lang w:val="fr-FR" w:eastAsia="zh-CN"/>
              </w:rPr>
            </w:pPr>
          </w:p>
        </w:tc>
        <w:tc>
          <w:tcPr>
            <w:tcW w:w="491" w:type="pct"/>
            <w:shd w:val="clear" w:color="auto" w:fill="auto"/>
            <w:vAlign w:val="center"/>
          </w:tcPr>
          <w:p w14:paraId="2357E72E"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2009 - 2018</w:t>
            </w:r>
          </w:p>
        </w:tc>
        <w:tc>
          <w:tcPr>
            <w:tcW w:w="772" w:type="pct"/>
            <w:shd w:val="clear" w:color="auto" w:fill="auto"/>
            <w:vAlign w:val="center"/>
          </w:tcPr>
          <w:p w14:paraId="7E4C99D0"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6,500,000 (GIZ)</w:t>
            </w:r>
          </w:p>
        </w:tc>
      </w:tr>
      <w:tr w:rsidR="004B3056" w:rsidRPr="004B3056" w14:paraId="1420DC8F" w14:textId="77777777" w:rsidTr="004B3056">
        <w:tc>
          <w:tcPr>
            <w:tcW w:w="605" w:type="pct"/>
            <w:vAlign w:val="center"/>
          </w:tcPr>
          <w:p w14:paraId="64A2E88A"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PACT</w:t>
            </w:r>
          </w:p>
        </w:tc>
        <w:tc>
          <w:tcPr>
            <w:tcW w:w="1703" w:type="pct"/>
            <w:vAlign w:val="center"/>
          </w:tcPr>
          <w:p w14:paraId="58BFE8C6"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Programme d’Appui aux Collectivités Territoriales</w:t>
            </w:r>
          </w:p>
        </w:tc>
        <w:tc>
          <w:tcPr>
            <w:tcW w:w="749" w:type="pct"/>
            <w:vAlign w:val="center"/>
          </w:tcPr>
          <w:p w14:paraId="5551CA52" w14:textId="77777777" w:rsidR="001C59B7" w:rsidRPr="004B3056" w:rsidRDefault="001C59B7" w:rsidP="001C59B7">
            <w:pPr>
              <w:spacing w:line="240" w:lineRule="auto"/>
              <w:rPr>
                <w:rFonts w:cs="Arial"/>
                <w:bCs/>
                <w:caps/>
                <w:sz w:val="17"/>
                <w:szCs w:val="17"/>
                <w:lang w:val="fr-FR" w:eastAsia="zh-CN"/>
              </w:rPr>
            </w:pPr>
          </w:p>
        </w:tc>
        <w:tc>
          <w:tcPr>
            <w:tcW w:w="681" w:type="pct"/>
            <w:vAlign w:val="center"/>
          </w:tcPr>
          <w:p w14:paraId="3DCB9630" w14:textId="77777777" w:rsidR="001C59B7" w:rsidRPr="004B3056" w:rsidRDefault="001C59B7" w:rsidP="001C59B7">
            <w:pPr>
              <w:spacing w:line="240" w:lineRule="auto"/>
              <w:rPr>
                <w:rFonts w:cs="Arial"/>
                <w:bCs/>
                <w:caps/>
                <w:sz w:val="17"/>
                <w:szCs w:val="17"/>
                <w:lang w:val="fr-FR" w:eastAsia="zh-CN"/>
              </w:rPr>
            </w:pPr>
          </w:p>
        </w:tc>
        <w:tc>
          <w:tcPr>
            <w:tcW w:w="491" w:type="pct"/>
            <w:shd w:val="clear" w:color="auto" w:fill="auto"/>
            <w:vAlign w:val="center"/>
          </w:tcPr>
          <w:p w14:paraId="464D8694" w14:textId="77777777" w:rsidR="001C59B7" w:rsidRPr="004B3056" w:rsidRDefault="001C59B7" w:rsidP="001C59B7">
            <w:pPr>
              <w:spacing w:line="240" w:lineRule="auto"/>
              <w:rPr>
                <w:rFonts w:cs="Arial"/>
                <w:bCs/>
                <w:caps/>
                <w:sz w:val="17"/>
                <w:szCs w:val="17"/>
                <w:lang w:val="fr-FR" w:eastAsia="zh-CN"/>
              </w:rPr>
            </w:pPr>
          </w:p>
        </w:tc>
        <w:tc>
          <w:tcPr>
            <w:tcW w:w="772" w:type="pct"/>
            <w:shd w:val="clear" w:color="auto" w:fill="auto"/>
            <w:vAlign w:val="center"/>
          </w:tcPr>
          <w:p w14:paraId="2730BF1F" w14:textId="77777777" w:rsidR="001C59B7" w:rsidRPr="004B3056" w:rsidRDefault="001C59B7" w:rsidP="001C59B7">
            <w:pPr>
              <w:spacing w:line="240" w:lineRule="auto"/>
              <w:rPr>
                <w:rFonts w:cs="Arial"/>
                <w:bCs/>
                <w:caps/>
                <w:sz w:val="17"/>
                <w:szCs w:val="17"/>
                <w:lang w:val="fr-FR" w:eastAsia="zh-CN"/>
              </w:rPr>
            </w:pPr>
          </w:p>
        </w:tc>
      </w:tr>
      <w:tr w:rsidR="004B3056" w:rsidRPr="004B3056" w14:paraId="2AE0C34E" w14:textId="77777777" w:rsidTr="004B3056">
        <w:tc>
          <w:tcPr>
            <w:tcW w:w="605" w:type="pct"/>
            <w:vAlign w:val="center"/>
          </w:tcPr>
          <w:p w14:paraId="4BBA1AB0"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PADRE</w:t>
            </w:r>
          </w:p>
        </w:tc>
        <w:tc>
          <w:tcPr>
            <w:tcW w:w="1703" w:type="pct"/>
            <w:vAlign w:val="center"/>
          </w:tcPr>
          <w:p w14:paraId="3D9EA961"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Décentralisation et réforme de l’État</w:t>
            </w:r>
          </w:p>
        </w:tc>
        <w:tc>
          <w:tcPr>
            <w:tcW w:w="749" w:type="pct"/>
            <w:vAlign w:val="center"/>
          </w:tcPr>
          <w:p w14:paraId="0AD4C71B"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KFW</w:t>
            </w:r>
          </w:p>
        </w:tc>
        <w:tc>
          <w:tcPr>
            <w:tcW w:w="681" w:type="pct"/>
            <w:vAlign w:val="center"/>
          </w:tcPr>
          <w:p w14:paraId="1FE71A9F" w14:textId="77777777" w:rsidR="001C59B7" w:rsidRPr="004B3056" w:rsidRDefault="001C59B7" w:rsidP="001C59B7">
            <w:pPr>
              <w:spacing w:line="240" w:lineRule="auto"/>
              <w:rPr>
                <w:rFonts w:cs="Arial"/>
                <w:bCs/>
                <w:caps/>
                <w:sz w:val="17"/>
                <w:szCs w:val="17"/>
                <w:lang w:val="fr-FR" w:eastAsia="zh-CN"/>
              </w:rPr>
            </w:pPr>
          </w:p>
        </w:tc>
        <w:tc>
          <w:tcPr>
            <w:tcW w:w="491" w:type="pct"/>
            <w:shd w:val="clear" w:color="auto" w:fill="auto"/>
            <w:vAlign w:val="center"/>
          </w:tcPr>
          <w:p w14:paraId="7FF507FF"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2015 - 2019</w:t>
            </w:r>
          </w:p>
        </w:tc>
        <w:tc>
          <w:tcPr>
            <w:tcW w:w="772" w:type="pct"/>
            <w:shd w:val="clear" w:color="auto" w:fill="auto"/>
            <w:vAlign w:val="center"/>
          </w:tcPr>
          <w:p w14:paraId="7640B15A"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29.500.000</w:t>
            </w:r>
          </w:p>
        </w:tc>
      </w:tr>
      <w:tr w:rsidR="004B3056" w:rsidRPr="004B3056" w14:paraId="33600632" w14:textId="77777777" w:rsidTr="004B3056">
        <w:tc>
          <w:tcPr>
            <w:tcW w:w="605" w:type="pct"/>
            <w:vAlign w:val="center"/>
          </w:tcPr>
          <w:p w14:paraId="0BB159B0" w14:textId="77777777" w:rsidR="001C59B7" w:rsidRPr="004B3056" w:rsidRDefault="001C59B7" w:rsidP="001C59B7">
            <w:pPr>
              <w:spacing w:line="240" w:lineRule="auto"/>
              <w:rPr>
                <w:rFonts w:cs="Arial"/>
                <w:bCs/>
                <w:caps/>
                <w:sz w:val="17"/>
                <w:szCs w:val="17"/>
                <w:lang w:val="fr-FR" w:eastAsia="zh-CN"/>
              </w:rPr>
            </w:pPr>
          </w:p>
        </w:tc>
        <w:tc>
          <w:tcPr>
            <w:tcW w:w="1703" w:type="pct"/>
            <w:vAlign w:val="center"/>
          </w:tcPr>
          <w:p w14:paraId="2DCA59F4"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Projet d’appui à la gouvernance des industries extractives au Mali</w:t>
            </w:r>
          </w:p>
        </w:tc>
        <w:tc>
          <w:tcPr>
            <w:tcW w:w="749" w:type="pct"/>
            <w:vAlign w:val="center"/>
          </w:tcPr>
          <w:p w14:paraId="46E9B524" w14:textId="77777777" w:rsidR="001C59B7" w:rsidRPr="004B3056" w:rsidRDefault="001C59B7" w:rsidP="001C59B7">
            <w:pPr>
              <w:spacing w:line="240" w:lineRule="auto"/>
              <w:rPr>
                <w:rFonts w:cs="Arial"/>
                <w:bCs/>
                <w:caps/>
                <w:sz w:val="17"/>
                <w:szCs w:val="17"/>
                <w:lang w:val="fr-FR" w:eastAsia="zh-CN"/>
              </w:rPr>
            </w:pPr>
          </w:p>
        </w:tc>
        <w:tc>
          <w:tcPr>
            <w:tcW w:w="681" w:type="pct"/>
            <w:vAlign w:val="center"/>
          </w:tcPr>
          <w:p w14:paraId="0ED6F535"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MEP</w:t>
            </w:r>
          </w:p>
        </w:tc>
        <w:tc>
          <w:tcPr>
            <w:tcW w:w="491" w:type="pct"/>
            <w:shd w:val="clear" w:color="auto" w:fill="auto"/>
            <w:vAlign w:val="center"/>
          </w:tcPr>
          <w:p w14:paraId="67899E89"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2017 - 2019</w:t>
            </w:r>
          </w:p>
        </w:tc>
        <w:tc>
          <w:tcPr>
            <w:tcW w:w="772" w:type="pct"/>
            <w:shd w:val="clear" w:color="auto" w:fill="auto"/>
            <w:vAlign w:val="center"/>
          </w:tcPr>
          <w:p w14:paraId="2593D506" w14:textId="77777777" w:rsidR="001C59B7" w:rsidRPr="004B3056" w:rsidRDefault="001C59B7" w:rsidP="001C59B7">
            <w:pPr>
              <w:spacing w:line="240" w:lineRule="auto"/>
              <w:rPr>
                <w:rFonts w:cs="Arial"/>
                <w:bCs/>
                <w:caps/>
                <w:sz w:val="17"/>
                <w:szCs w:val="17"/>
                <w:lang w:val="fr-FR" w:eastAsia="zh-CN"/>
              </w:rPr>
            </w:pPr>
          </w:p>
        </w:tc>
      </w:tr>
      <w:tr w:rsidR="004B3056" w:rsidRPr="004B3056" w14:paraId="12979B6C" w14:textId="77777777" w:rsidTr="004B3056">
        <w:tc>
          <w:tcPr>
            <w:tcW w:w="605" w:type="pct"/>
            <w:vAlign w:val="center"/>
          </w:tcPr>
          <w:p w14:paraId="05DA7CCA" w14:textId="77777777" w:rsidR="001C59B7" w:rsidRPr="004B3056" w:rsidRDefault="001C59B7" w:rsidP="001C59B7">
            <w:pPr>
              <w:spacing w:line="240" w:lineRule="auto"/>
              <w:rPr>
                <w:rFonts w:cs="Arial"/>
                <w:bCs/>
                <w:caps/>
                <w:sz w:val="17"/>
                <w:szCs w:val="17"/>
                <w:lang w:val="fr-FR" w:eastAsia="zh-CN"/>
              </w:rPr>
            </w:pPr>
          </w:p>
        </w:tc>
        <w:tc>
          <w:tcPr>
            <w:tcW w:w="1703" w:type="pct"/>
            <w:vAlign w:val="center"/>
          </w:tcPr>
          <w:p w14:paraId="29F215F2" w14:textId="77777777" w:rsidR="001C59B7" w:rsidRPr="004B3056" w:rsidRDefault="001C59B7" w:rsidP="001C59B7">
            <w:pPr>
              <w:spacing w:line="240" w:lineRule="auto"/>
              <w:rPr>
                <w:rFonts w:cs="Arial"/>
                <w:sz w:val="16"/>
                <w:szCs w:val="16"/>
                <w:lang w:val="fr-FR" w:eastAsia="zh-CN"/>
              </w:rPr>
            </w:pPr>
            <w:r w:rsidRPr="004B3056">
              <w:rPr>
                <w:rFonts w:cs="Arial"/>
                <w:bCs/>
                <w:caps/>
                <w:sz w:val="17"/>
                <w:szCs w:val="17"/>
                <w:lang w:val="fr-FR" w:eastAsia="zh-CN"/>
              </w:rPr>
              <w:t xml:space="preserve">KFW : </w:t>
            </w:r>
            <w:r w:rsidRPr="004B3056">
              <w:rPr>
                <w:rFonts w:cs="Arial"/>
                <w:sz w:val="16"/>
                <w:szCs w:val="16"/>
                <w:lang w:val="fr-FR" w:eastAsia="zh-CN"/>
              </w:rPr>
              <w:t>Program. Nat de Mobilisation des Ressources en Eau /Assainissement AEP Mopti, Tombouctou, phase 3</w:t>
            </w:r>
            <w:r w:rsidRPr="004B3056">
              <w:rPr>
                <w:sz w:val="16"/>
                <w:szCs w:val="16"/>
                <w:lang w:val="fr-FR" w:eastAsia="zh-CN"/>
              </w:rPr>
              <w:t xml:space="preserve"> </w:t>
            </w:r>
          </w:p>
        </w:tc>
        <w:tc>
          <w:tcPr>
            <w:tcW w:w="749" w:type="pct"/>
            <w:vAlign w:val="center"/>
          </w:tcPr>
          <w:p w14:paraId="4740A01B" w14:textId="77777777" w:rsidR="001C59B7" w:rsidRPr="004B3056" w:rsidRDefault="001C59B7" w:rsidP="001C59B7">
            <w:pPr>
              <w:spacing w:line="240" w:lineRule="auto"/>
              <w:rPr>
                <w:rFonts w:cs="Arial"/>
                <w:bCs/>
                <w:caps/>
                <w:sz w:val="17"/>
                <w:szCs w:val="17"/>
                <w:lang w:val="fr-FR" w:eastAsia="zh-CN"/>
              </w:rPr>
            </w:pPr>
          </w:p>
        </w:tc>
        <w:tc>
          <w:tcPr>
            <w:tcW w:w="681" w:type="pct"/>
            <w:vAlign w:val="center"/>
          </w:tcPr>
          <w:p w14:paraId="154B18AF"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SOMAREP</w:t>
            </w:r>
          </w:p>
        </w:tc>
        <w:tc>
          <w:tcPr>
            <w:tcW w:w="491" w:type="pct"/>
            <w:shd w:val="clear" w:color="auto" w:fill="auto"/>
            <w:vAlign w:val="center"/>
          </w:tcPr>
          <w:p w14:paraId="7CFEA220"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2011-2016</w:t>
            </w:r>
          </w:p>
        </w:tc>
        <w:tc>
          <w:tcPr>
            <w:tcW w:w="772" w:type="pct"/>
            <w:shd w:val="clear" w:color="auto" w:fill="auto"/>
            <w:vAlign w:val="center"/>
          </w:tcPr>
          <w:p w14:paraId="4F9E9A70"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~32.900.000</w:t>
            </w:r>
          </w:p>
        </w:tc>
      </w:tr>
    </w:tbl>
    <w:p w14:paraId="5D3244D1" w14:textId="77777777" w:rsidR="001C59B7" w:rsidRPr="004B3056" w:rsidRDefault="001C59B7" w:rsidP="001C59B7">
      <w:pPr>
        <w:spacing w:after="0" w:line="240" w:lineRule="auto"/>
        <w:rPr>
          <w:rFonts w:eastAsia="SimSun" w:cs="Arial"/>
          <w:sz w:val="18"/>
          <w:szCs w:val="18"/>
          <w:lang w:val="fr-FR" w:eastAsia="zh-CN"/>
        </w:rPr>
      </w:pPr>
    </w:p>
    <w:p w14:paraId="6C86E3CF" w14:textId="77777777" w:rsidR="001C59B7" w:rsidRPr="004B3056" w:rsidRDefault="001C59B7" w:rsidP="004B3056">
      <w:pPr>
        <w:spacing w:after="0" w:line="240" w:lineRule="auto"/>
        <w:rPr>
          <w:sz w:val="18"/>
          <w:szCs w:val="18"/>
          <w:lang w:val="fr-FR" w:eastAsia="zh-CN"/>
        </w:rPr>
      </w:pPr>
      <w:r w:rsidRPr="004B3056">
        <w:rPr>
          <w:sz w:val="18"/>
          <w:szCs w:val="18"/>
          <w:lang w:val="fr-FR" w:eastAsia="zh-CN"/>
        </w:rPr>
        <w:t>Pays – Bas</w:t>
      </w:r>
    </w:p>
    <w:tbl>
      <w:tblPr>
        <w:tblStyle w:val="Tabellenraster3"/>
        <w:tblW w:w="5000" w:type="pct"/>
        <w:tblLook w:val="01E0" w:firstRow="1" w:lastRow="1" w:firstColumn="1" w:lastColumn="1" w:noHBand="0" w:noVBand="0"/>
      </w:tblPr>
      <w:tblGrid>
        <w:gridCol w:w="991"/>
        <w:gridCol w:w="3538"/>
        <w:gridCol w:w="1360"/>
        <w:gridCol w:w="1456"/>
        <w:gridCol w:w="1255"/>
        <w:gridCol w:w="1537"/>
      </w:tblGrid>
      <w:tr w:rsidR="001C59B7" w:rsidRPr="004B3056" w14:paraId="7B5C7E54" w14:textId="77777777" w:rsidTr="00BA1953">
        <w:tc>
          <w:tcPr>
            <w:tcW w:w="489" w:type="pct"/>
            <w:tcBorders>
              <w:top w:val="single" w:sz="4" w:space="0" w:color="auto"/>
              <w:left w:val="single" w:sz="4" w:space="0" w:color="auto"/>
              <w:bottom w:val="single" w:sz="4" w:space="0" w:color="auto"/>
              <w:right w:val="single" w:sz="4" w:space="0" w:color="auto"/>
            </w:tcBorders>
            <w:shd w:val="clear" w:color="auto" w:fill="D9D9D9"/>
            <w:vAlign w:val="center"/>
          </w:tcPr>
          <w:p w14:paraId="0DDE6CE5"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Projet Abr.</w:t>
            </w:r>
          </w:p>
        </w:tc>
        <w:tc>
          <w:tcPr>
            <w:tcW w:w="1745" w:type="pct"/>
            <w:tcBorders>
              <w:top w:val="single" w:sz="4" w:space="0" w:color="auto"/>
              <w:left w:val="single" w:sz="4" w:space="0" w:color="auto"/>
              <w:bottom w:val="single" w:sz="4" w:space="0" w:color="auto"/>
              <w:right w:val="single" w:sz="4" w:space="0" w:color="auto"/>
            </w:tcBorders>
            <w:shd w:val="clear" w:color="auto" w:fill="D9D9D9"/>
            <w:vAlign w:val="center"/>
          </w:tcPr>
          <w:p w14:paraId="290447DD"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Projet</w:t>
            </w:r>
          </w:p>
        </w:tc>
        <w:tc>
          <w:tcPr>
            <w:tcW w:w="671" w:type="pct"/>
            <w:tcBorders>
              <w:top w:val="single" w:sz="4" w:space="0" w:color="auto"/>
              <w:left w:val="single" w:sz="4" w:space="0" w:color="auto"/>
              <w:bottom w:val="single" w:sz="4" w:space="0" w:color="auto"/>
              <w:right w:val="single" w:sz="4" w:space="0" w:color="auto"/>
            </w:tcBorders>
            <w:shd w:val="clear" w:color="auto" w:fill="D9D9D9"/>
            <w:vAlign w:val="center"/>
          </w:tcPr>
          <w:p w14:paraId="2445A561"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Autres bailleurs de fonds</w:t>
            </w:r>
          </w:p>
        </w:tc>
        <w:tc>
          <w:tcPr>
            <w:tcW w:w="718" w:type="pct"/>
            <w:tcBorders>
              <w:top w:val="single" w:sz="4" w:space="0" w:color="auto"/>
              <w:left w:val="single" w:sz="4" w:space="0" w:color="auto"/>
              <w:bottom w:val="single" w:sz="4" w:space="0" w:color="auto"/>
              <w:right w:val="single" w:sz="4" w:space="0" w:color="auto"/>
            </w:tcBorders>
            <w:shd w:val="clear" w:color="auto" w:fill="D9D9D9"/>
            <w:vAlign w:val="center"/>
          </w:tcPr>
          <w:p w14:paraId="1EE647A4"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Partenaire de mise en oeuvre</w:t>
            </w:r>
          </w:p>
        </w:tc>
        <w:tc>
          <w:tcPr>
            <w:tcW w:w="619" w:type="pct"/>
            <w:tcBorders>
              <w:top w:val="single" w:sz="4" w:space="0" w:color="auto"/>
              <w:left w:val="single" w:sz="4" w:space="0" w:color="auto"/>
              <w:bottom w:val="single" w:sz="4" w:space="0" w:color="auto"/>
              <w:right w:val="single" w:sz="4" w:space="0" w:color="auto"/>
            </w:tcBorders>
            <w:shd w:val="clear" w:color="auto" w:fill="D9D9D9"/>
            <w:vAlign w:val="center"/>
          </w:tcPr>
          <w:p w14:paraId="03572A69"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Durée</w:t>
            </w:r>
          </w:p>
        </w:tc>
        <w:tc>
          <w:tcPr>
            <w:tcW w:w="758" w:type="pct"/>
            <w:tcBorders>
              <w:top w:val="single" w:sz="4" w:space="0" w:color="auto"/>
              <w:left w:val="single" w:sz="4" w:space="0" w:color="auto"/>
              <w:bottom w:val="single" w:sz="4" w:space="0" w:color="auto"/>
              <w:right w:val="single" w:sz="4" w:space="0" w:color="auto"/>
            </w:tcBorders>
            <w:shd w:val="clear" w:color="auto" w:fill="D9D9D9"/>
            <w:vAlign w:val="center"/>
          </w:tcPr>
          <w:p w14:paraId="4202AABA"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Montant (€)</w:t>
            </w:r>
          </w:p>
        </w:tc>
      </w:tr>
      <w:tr w:rsidR="001C59B7" w:rsidRPr="004B3056" w14:paraId="3FEB0EAB" w14:textId="77777777" w:rsidTr="00BA1953">
        <w:tc>
          <w:tcPr>
            <w:tcW w:w="489" w:type="pct"/>
            <w:tcBorders>
              <w:top w:val="single" w:sz="4" w:space="0" w:color="auto"/>
              <w:left w:val="single" w:sz="4" w:space="0" w:color="auto"/>
              <w:bottom w:val="single" w:sz="4" w:space="0" w:color="auto"/>
              <w:right w:val="single" w:sz="4" w:space="0" w:color="auto"/>
            </w:tcBorders>
            <w:vAlign w:val="center"/>
          </w:tcPr>
          <w:p w14:paraId="266757C6" w14:textId="77777777" w:rsidR="001C59B7" w:rsidRPr="004B3056" w:rsidRDefault="001C59B7" w:rsidP="001C59B7">
            <w:pPr>
              <w:spacing w:line="240" w:lineRule="auto"/>
              <w:rPr>
                <w:rFonts w:cs="Arial"/>
                <w:bCs/>
                <w:caps/>
                <w:sz w:val="17"/>
                <w:szCs w:val="17"/>
                <w:lang w:val="fr-FR" w:eastAsia="zh-CN"/>
              </w:rPr>
            </w:pPr>
          </w:p>
        </w:tc>
        <w:tc>
          <w:tcPr>
            <w:tcW w:w="1745" w:type="pct"/>
            <w:tcBorders>
              <w:top w:val="single" w:sz="4" w:space="0" w:color="auto"/>
              <w:left w:val="single" w:sz="4" w:space="0" w:color="auto"/>
              <w:bottom w:val="single" w:sz="4" w:space="0" w:color="auto"/>
              <w:right w:val="single" w:sz="4" w:space="0" w:color="auto"/>
            </w:tcBorders>
            <w:vAlign w:val="center"/>
          </w:tcPr>
          <w:p w14:paraId="659F1920" w14:textId="77777777" w:rsidR="001C59B7" w:rsidRPr="004B3056" w:rsidRDefault="001C59B7" w:rsidP="001C59B7">
            <w:pPr>
              <w:spacing w:line="240" w:lineRule="auto"/>
              <w:rPr>
                <w:rFonts w:cs="Arial"/>
                <w:bCs/>
                <w:caps/>
                <w:sz w:val="17"/>
                <w:szCs w:val="17"/>
                <w:lang w:val="fr-FR" w:eastAsia="zh-CN"/>
              </w:rPr>
            </w:pPr>
            <w:r w:rsidRPr="004B3056">
              <w:rPr>
                <w:rFonts w:cs="Arial"/>
                <w:bCs/>
                <w:sz w:val="17"/>
                <w:szCs w:val="17"/>
                <w:lang w:val="fr-FR" w:eastAsia="zh-CN"/>
              </w:rPr>
              <w:t>Partners for resilience</w:t>
            </w:r>
          </w:p>
        </w:tc>
        <w:tc>
          <w:tcPr>
            <w:tcW w:w="671" w:type="pct"/>
            <w:tcBorders>
              <w:top w:val="single" w:sz="4" w:space="0" w:color="auto"/>
              <w:left w:val="single" w:sz="4" w:space="0" w:color="auto"/>
              <w:bottom w:val="single" w:sz="4" w:space="0" w:color="auto"/>
              <w:right w:val="single" w:sz="4" w:space="0" w:color="auto"/>
            </w:tcBorders>
            <w:vAlign w:val="center"/>
          </w:tcPr>
          <w:p w14:paraId="2393C46E" w14:textId="77777777" w:rsidR="001C59B7" w:rsidRPr="004B3056" w:rsidRDefault="001C59B7" w:rsidP="001C59B7">
            <w:pPr>
              <w:spacing w:line="240" w:lineRule="auto"/>
              <w:rPr>
                <w:rFonts w:cs="Arial"/>
                <w:bCs/>
                <w:caps/>
                <w:sz w:val="17"/>
                <w:szCs w:val="17"/>
                <w:lang w:val="fr-FR" w:eastAsia="zh-CN"/>
              </w:rPr>
            </w:pPr>
          </w:p>
        </w:tc>
        <w:tc>
          <w:tcPr>
            <w:tcW w:w="718" w:type="pct"/>
            <w:tcBorders>
              <w:top w:val="single" w:sz="4" w:space="0" w:color="auto"/>
              <w:left w:val="single" w:sz="4" w:space="0" w:color="auto"/>
              <w:bottom w:val="single" w:sz="4" w:space="0" w:color="auto"/>
              <w:right w:val="single" w:sz="4" w:space="0" w:color="auto"/>
            </w:tcBorders>
            <w:vAlign w:val="center"/>
          </w:tcPr>
          <w:p w14:paraId="76E387B3"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CARE Mali</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14:paraId="11D9D2C5"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2016 - 2020</w:t>
            </w:r>
          </w:p>
        </w:tc>
        <w:tc>
          <w:tcPr>
            <w:tcW w:w="758" w:type="pct"/>
            <w:tcBorders>
              <w:top w:val="single" w:sz="4" w:space="0" w:color="auto"/>
              <w:left w:val="single" w:sz="4" w:space="0" w:color="auto"/>
              <w:bottom w:val="single" w:sz="4" w:space="0" w:color="auto"/>
              <w:right w:val="single" w:sz="4" w:space="0" w:color="auto"/>
            </w:tcBorders>
            <w:shd w:val="clear" w:color="auto" w:fill="auto"/>
            <w:vAlign w:val="center"/>
          </w:tcPr>
          <w:p w14:paraId="6C77830A"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655.957.000 FCFA</w:t>
            </w:r>
          </w:p>
        </w:tc>
      </w:tr>
      <w:tr w:rsidR="001C59B7" w:rsidRPr="004B3056" w14:paraId="55C4D685" w14:textId="77777777" w:rsidTr="00BA1953">
        <w:tc>
          <w:tcPr>
            <w:tcW w:w="489" w:type="pct"/>
            <w:tcBorders>
              <w:top w:val="single" w:sz="4" w:space="0" w:color="auto"/>
              <w:left w:val="single" w:sz="4" w:space="0" w:color="auto"/>
              <w:bottom w:val="single" w:sz="4" w:space="0" w:color="auto"/>
              <w:right w:val="single" w:sz="4" w:space="0" w:color="auto"/>
            </w:tcBorders>
            <w:vAlign w:val="center"/>
          </w:tcPr>
          <w:p w14:paraId="379E8FA9"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PADIN II</w:t>
            </w:r>
          </w:p>
        </w:tc>
        <w:tc>
          <w:tcPr>
            <w:tcW w:w="1745" w:type="pct"/>
            <w:tcBorders>
              <w:top w:val="single" w:sz="4" w:space="0" w:color="auto"/>
              <w:left w:val="single" w:sz="4" w:space="0" w:color="auto"/>
              <w:bottom w:val="single" w:sz="4" w:space="0" w:color="auto"/>
              <w:right w:val="single" w:sz="4" w:space="0" w:color="auto"/>
            </w:tcBorders>
            <w:vAlign w:val="center"/>
          </w:tcPr>
          <w:p w14:paraId="58FA228E"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Programme d’aménagement du Delta Intérieur du Niger (PADIN II)</w:t>
            </w:r>
          </w:p>
        </w:tc>
        <w:tc>
          <w:tcPr>
            <w:tcW w:w="671" w:type="pct"/>
            <w:tcBorders>
              <w:top w:val="single" w:sz="4" w:space="0" w:color="auto"/>
              <w:left w:val="single" w:sz="4" w:space="0" w:color="auto"/>
              <w:bottom w:val="single" w:sz="4" w:space="0" w:color="auto"/>
              <w:right w:val="single" w:sz="4" w:space="0" w:color="auto"/>
            </w:tcBorders>
            <w:vAlign w:val="center"/>
          </w:tcPr>
          <w:p w14:paraId="0F0C8B77" w14:textId="77777777" w:rsidR="001C59B7" w:rsidRPr="004B3056" w:rsidRDefault="001C59B7" w:rsidP="001C59B7">
            <w:pPr>
              <w:spacing w:line="240" w:lineRule="auto"/>
              <w:rPr>
                <w:rFonts w:cs="Arial"/>
                <w:bCs/>
                <w:caps/>
                <w:sz w:val="17"/>
                <w:szCs w:val="17"/>
                <w:lang w:val="fr-FR" w:eastAsia="zh-CN"/>
              </w:rPr>
            </w:pPr>
          </w:p>
        </w:tc>
        <w:tc>
          <w:tcPr>
            <w:tcW w:w="718" w:type="pct"/>
            <w:tcBorders>
              <w:top w:val="single" w:sz="4" w:space="0" w:color="auto"/>
              <w:left w:val="single" w:sz="4" w:space="0" w:color="auto"/>
              <w:bottom w:val="single" w:sz="4" w:space="0" w:color="auto"/>
              <w:right w:val="single" w:sz="4" w:space="0" w:color="auto"/>
            </w:tcBorders>
            <w:vAlign w:val="center"/>
          </w:tcPr>
          <w:p w14:paraId="6F4EFA97"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CARE Mali</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14:paraId="43F0730F"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2011 - 2018</w:t>
            </w:r>
          </w:p>
        </w:tc>
        <w:tc>
          <w:tcPr>
            <w:tcW w:w="758" w:type="pct"/>
            <w:tcBorders>
              <w:top w:val="single" w:sz="4" w:space="0" w:color="auto"/>
              <w:left w:val="single" w:sz="4" w:space="0" w:color="auto"/>
              <w:bottom w:val="single" w:sz="4" w:space="0" w:color="auto"/>
              <w:right w:val="single" w:sz="4" w:space="0" w:color="auto"/>
            </w:tcBorders>
            <w:shd w:val="clear" w:color="auto" w:fill="auto"/>
            <w:vAlign w:val="center"/>
          </w:tcPr>
          <w:p w14:paraId="7A7AD831"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7.871.484.000 FCFA</w:t>
            </w:r>
          </w:p>
        </w:tc>
      </w:tr>
      <w:tr w:rsidR="001C59B7" w:rsidRPr="004B3056" w14:paraId="4E847FD8" w14:textId="77777777" w:rsidTr="00BA1953">
        <w:tc>
          <w:tcPr>
            <w:tcW w:w="489" w:type="pct"/>
            <w:tcBorders>
              <w:top w:val="single" w:sz="4" w:space="0" w:color="auto"/>
              <w:left w:val="single" w:sz="4" w:space="0" w:color="auto"/>
              <w:bottom w:val="single" w:sz="4" w:space="0" w:color="auto"/>
              <w:right w:val="single" w:sz="4" w:space="0" w:color="auto"/>
            </w:tcBorders>
            <w:vAlign w:val="center"/>
          </w:tcPr>
          <w:p w14:paraId="7B669CEE" w14:textId="77777777" w:rsidR="001C59B7" w:rsidRPr="004B3056" w:rsidRDefault="001C59B7" w:rsidP="001C59B7">
            <w:pPr>
              <w:spacing w:line="240" w:lineRule="auto"/>
              <w:rPr>
                <w:rFonts w:cs="Arial"/>
                <w:bCs/>
                <w:caps/>
                <w:sz w:val="17"/>
                <w:szCs w:val="17"/>
                <w:lang w:val="fr-FR" w:eastAsia="zh-CN"/>
              </w:rPr>
            </w:pPr>
          </w:p>
        </w:tc>
        <w:tc>
          <w:tcPr>
            <w:tcW w:w="1745" w:type="pct"/>
            <w:tcBorders>
              <w:top w:val="single" w:sz="4" w:space="0" w:color="auto"/>
              <w:left w:val="single" w:sz="4" w:space="0" w:color="auto"/>
              <w:bottom w:val="single" w:sz="4" w:space="0" w:color="auto"/>
              <w:right w:val="single" w:sz="4" w:space="0" w:color="auto"/>
            </w:tcBorders>
            <w:vAlign w:val="center"/>
          </w:tcPr>
          <w:p w14:paraId="2A9F56E4"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Chaines de Valeur agricoles</w:t>
            </w:r>
          </w:p>
        </w:tc>
        <w:tc>
          <w:tcPr>
            <w:tcW w:w="671" w:type="pct"/>
            <w:tcBorders>
              <w:top w:val="single" w:sz="4" w:space="0" w:color="auto"/>
              <w:left w:val="single" w:sz="4" w:space="0" w:color="auto"/>
              <w:bottom w:val="single" w:sz="4" w:space="0" w:color="auto"/>
              <w:right w:val="single" w:sz="4" w:space="0" w:color="auto"/>
            </w:tcBorders>
            <w:vAlign w:val="center"/>
          </w:tcPr>
          <w:p w14:paraId="3DD52931" w14:textId="77777777" w:rsidR="001C59B7" w:rsidRPr="004B3056" w:rsidRDefault="001C59B7" w:rsidP="001C59B7">
            <w:pPr>
              <w:spacing w:line="240" w:lineRule="auto"/>
              <w:rPr>
                <w:rFonts w:cs="Arial"/>
                <w:bCs/>
                <w:caps/>
                <w:sz w:val="17"/>
                <w:szCs w:val="17"/>
                <w:lang w:val="fr-FR" w:eastAsia="zh-CN"/>
              </w:rPr>
            </w:pPr>
          </w:p>
        </w:tc>
        <w:tc>
          <w:tcPr>
            <w:tcW w:w="718" w:type="pct"/>
            <w:tcBorders>
              <w:top w:val="single" w:sz="4" w:space="0" w:color="auto"/>
              <w:left w:val="single" w:sz="4" w:space="0" w:color="auto"/>
              <w:bottom w:val="single" w:sz="4" w:space="0" w:color="auto"/>
              <w:right w:val="single" w:sz="4" w:space="0" w:color="auto"/>
            </w:tcBorders>
            <w:vAlign w:val="center"/>
          </w:tcPr>
          <w:p w14:paraId="359A17C4"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Groupement SNC-Lavalin Inc/ICCO Cooperation</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14:paraId="738E814F"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2014 - 2019</w:t>
            </w:r>
          </w:p>
        </w:tc>
        <w:tc>
          <w:tcPr>
            <w:tcW w:w="758" w:type="pct"/>
            <w:tcBorders>
              <w:top w:val="single" w:sz="4" w:space="0" w:color="auto"/>
              <w:left w:val="single" w:sz="4" w:space="0" w:color="auto"/>
              <w:bottom w:val="single" w:sz="4" w:space="0" w:color="auto"/>
              <w:right w:val="single" w:sz="4" w:space="0" w:color="auto"/>
            </w:tcBorders>
            <w:shd w:val="clear" w:color="auto" w:fill="auto"/>
            <w:vAlign w:val="center"/>
          </w:tcPr>
          <w:p w14:paraId="3D039C00"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5.247.656.593 FCFA</w:t>
            </w:r>
          </w:p>
        </w:tc>
      </w:tr>
      <w:tr w:rsidR="001C59B7" w:rsidRPr="004B3056" w14:paraId="15B67732" w14:textId="77777777" w:rsidTr="00BA1953">
        <w:tc>
          <w:tcPr>
            <w:tcW w:w="489" w:type="pct"/>
            <w:tcBorders>
              <w:top w:val="single" w:sz="4" w:space="0" w:color="auto"/>
              <w:left w:val="single" w:sz="4" w:space="0" w:color="auto"/>
              <w:bottom w:val="single" w:sz="4" w:space="0" w:color="auto"/>
              <w:right w:val="single" w:sz="4" w:space="0" w:color="auto"/>
            </w:tcBorders>
            <w:vAlign w:val="center"/>
          </w:tcPr>
          <w:p w14:paraId="4C29651F"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OYEM</w:t>
            </w:r>
          </w:p>
        </w:tc>
        <w:tc>
          <w:tcPr>
            <w:tcW w:w="1745" w:type="pct"/>
            <w:tcBorders>
              <w:top w:val="single" w:sz="4" w:space="0" w:color="auto"/>
              <w:left w:val="single" w:sz="4" w:space="0" w:color="auto"/>
              <w:bottom w:val="single" w:sz="4" w:space="0" w:color="auto"/>
              <w:right w:val="single" w:sz="4" w:space="0" w:color="auto"/>
            </w:tcBorders>
            <w:vAlign w:val="center"/>
          </w:tcPr>
          <w:p w14:paraId="6B19466D"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Chaines de Valeur et emploi des jeunes</w:t>
            </w:r>
          </w:p>
        </w:tc>
        <w:tc>
          <w:tcPr>
            <w:tcW w:w="671" w:type="pct"/>
            <w:tcBorders>
              <w:top w:val="single" w:sz="4" w:space="0" w:color="auto"/>
              <w:left w:val="single" w:sz="4" w:space="0" w:color="auto"/>
              <w:bottom w:val="single" w:sz="4" w:space="0" w:color="auto"/>
              <w:right w:val="single" w:sz="4" w:space="0" w:color="auto"/>
            </w:tcBorders>
            <w:vAlign w:val="center"/>
          </w:tcPr>
          <w:p w14:paraId="43AFC094" w14:textId="77777777" w:rsidR="001C59B7" w:rsidRPr="004B3056" w:rsidRDefault="001C59B7" w:rsidP="001C59B7">
            <w:pPr>
              <w:spacing w:line="240" w:lineRule="auto"/>
              <w:rPr>
                <w:rFonts w:cs="Arial"/>
                <w:bCs/>
                <w:caps/>
                <w:sz w:val="17"/>
                <w:szCs w:val="17"/>
                <w:lang w:val="fr-FR" w:eastAsia="zh-CN"/>
              </w:rPr>
            </w:pPr>
          </w:p>
        </w:tc>
        <w:tc>
          <w:tcPr>
            <w:tcW w:w="718" w:type="pct"/>
            <w:tcBorders>
              <w:top w:val="single" w:sz="4" w:space="0" w:color="auto"/>
              <w:left w:val="single" w:sz="4" w:space="0" w:color="auto"/>
              <w:bottom w:val="single" w:sz="4" w:space="0" w:color="auto"/>
              <w:right w:val="single" w:sz="4" w:space="0" w:color="auto"/>
            </w:tcBorders>
            <w:vAlign w:val="center"/>
          </w:tcPr>
          <w:p w14:paraId="487BC6B5" w14:textId="77777777" w:rsidR="001C59B7" w:rsidRPr="004B3056" w:rsidRDefault="001C59B7" w:rsidP="001C59B7">
            <w:pPr>
              <w:spacing w:line="240" w:lineRule="auto"/>
              <w:rPr>
                <w:rFonts w:cs="Arial"/>
                <w:bCs/>
                <w:caps/>
                <w:sz w:val="17"/>
                <w:szCs w:val="17"/>
                <w:lang w:val="fr-FR" w:eastAsia="zh-CN"/>
              </w:rPr>
            </w:pP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14:paraId="4F82D888" w14:textId="77777777" w:rsidR="001C59B7" w:rsidRPr="004B3056" w:rsidRDefault="001C59B7" w:rsidP="001C59B7">
            <w:pPr>
              <w:spacing w:line="240" w:lineRule="auto"/>
              <w:rPr>
                <w:rFonts w:cs="Arial"/>
                <w:bCs/>
                <w:caps/>
                <w:sz w:val="17"/>
                <w:szCs w:val="17"/>
                <w:lang w:val="fr-FR" w:eastAsia="zh-CN"/>
              </w:rPr>
            </w:pPr>
          </w:p>
        </w:tc>
        <w:tc>
          <w:tcPr>
            <w:tcW w:w="758" w:type="pct"/>
            <w:tcBorders>
              <w:top w:val="single" w:sz="4" w:space="0" w:color="auto"/>
              <w:left w:val="single" w:sz="4" w:space="0" w:color="auto"/>
              <w:bottom w:val="single" w:sz="4" w:space="0" w:color="auto"/>
              <w:right w:val="single" w:sz="4" w:space="0" w:color="auto"/>
            </w:tcBorders>
            <w:shd w:val="clear" w:color="auto" w:fill="auto"/>
            <w:vAlign w:val="center"/>
          </w:tcPr>
          <w:p w14:paraId="69B9BDE2" w14:textId="77777777" w:rsidR="001C59B7" w:rsidRPr="004B3056" w:rsidRDefault="001C59B7" w:rsidP="001C59B7">
            <w:pPr>
              <w:spacing w:line="240" w:lineRule="auto"/>
              <w:rPr>
                <w:rFonts w:cs="Arial"/>
                <w:bCs/>
                <w:caps/>
                <w:sz w:val="17"/>
                <w:szCs w:val="17"/>
                <w:lang w:val="fr-FR" w:eastAsia="zh-CN"/>
              </w:rPr>
            </w:pPr>
          </w:p>
        </w:tc>
      </w:tr>
      <w:tr w:rsidR="001C59B7" w:rsidRPr="004B3056" w14:paraId="768F666F" w14:textId="77777777" w:rsidTr="00BA1953">
        <w:tc>
          <w:tcPr>
            <w:tcW w:w="489" w:type="pct"/>
            <w:tcBorders>
              <w:top w:val="single" w:sz="4" w:space="0" w:color="auto"/>
              <w:left w:val="single" w:sz="4" w:space="0" w:color="auto"/>
              <w:bottom w:val="single" w:sz="4" w:space="0" w:color="auto"/>
              <w:right w:val="single" w:sz="4" w:space="0" w:color="auto"/>
            </w:tcBorders>
            <w:vAlign w:val="center"/>
          </w:tcPr>
          <w:p w14:paraId="140788D1"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PCA - GIRE</w:t>
            </w:r>
          </w:p>
        </w:tc>
        <w:tc>
          <w:tcPr>
            <w:tcW w:w="1745" w:type="pct"/>
            <w:tcBorders>
              <w:top w:val="single" w:sz="4" w:space="0" w:color="auto"/>
              <w:left w:val="single" w:sz="4" w:space="0" w:color="auto"/>
              <w:bottom w:val="single" w:sz="4" w:space="0" w:color="auto"/>
              <w:right w:val="single" w:sz="4" w:space="0" w:color="auto"/>
            </w:tcBorders>
            <w:vAlign w:val="center"/>
          </w:tcPr>
          <w:p w14:paraId="001870A1"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Programme Conjoint d'Appui à la Gestion Intégrée des Ressources en Eau (GIRE)</w:t>
            </w:r>
          </w:p>
        </w:tc>
        <w:tc>
          <w:tcPr>
            <w:tcW w:w="671" w:type="pct"/>
            <w:tcBorders>
              <w:top w:val="single" w:sz="4" w:space="0" w:color="auto"/>
              <w:left w:val="single" w:sz="4" w:space="0" w:color="auto"/>
              <w:bottom w:val="single" w:sz="4" w:space="0" w:color="auto"/>
              <w:right w:val="single" w:sz="4" w:space="0" w:color="auto"/>
            </w:tcBorders>
            <w:vAlign w:val="center"/>
          </w:tcPr>
          <w:p w14:paraId="44A57487"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Suède</w:t>
            </w:r>
          </w:p>
        </w:tc>
        <w:tc>
          <w:tcPr>
            <w:tcW w:w="718" w:type="pct"/>
            <w:tcBorders>
              <w:top w:val="single" w:sz="4" w:space="0" w:color="auto"/>
              <w:left w:val="single" w:sz="4" w:space="0" w:color="auto"/>
              <w:bottom w:val="single" w:sz="4" w:space="0" w:color="auto"/>
              <w:right w:val="single" w:sz="4" w:space="0" w:color="auto"/>
            </w:tcBorders>
            <w:vAlign w:val="center"/>
          </w:tcPr>
          <w:p w14:paraId="1A74470C"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DNH, MEADD, MA, MElevage et pêche, Wetland international</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14:paraId="79D65CF7"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2015 - 2019</w:t>
            </w:r>
          </w:p>
        </w:tc>
        <w:tc>
          <w:tcPr>
            <w:tcW w:w="758" w:type="pct"/>
            <w:tcBorders>
              <w:top w:val="single" w:sz="4" w:space="0" w:color="auto"/>
              <w:left w:val="single" w:sz="4" w:space="0" w:color="auto"/>
              <w:bottom w:val="single" w:sz="4" w:space="0" w:color="auto"/>
              <w:right w:val="single" w:sz="4" w:space="0" w:color="auto"/>
            </w:tcBorders>
            <w:shd w:val="clear" w:color="auto" w:fill="auto"/>
            <w:vAlign w:val="center"/>
          </w:tcPr>
          <w:p w14:paraId="2FB9661E"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11.346.956.031 FCFA</w:t>
            </w:r>
          </w:p>
        </w:tc>
      </w:tr>
      <w:tr w:rsidR="001C59B7" w:rsidRPr="004B3056" w14:paraId="63169766" w14:textId="77777777" w:rsidTr="00BA1953">
        <w:tc>
          <w:tcPr>
            <w:tcW w:w="489" w:type="pct"/>
            <w:tcBorders>
              <w:top w:val="single" w:sz="4" w:space="0" w:color="auto"/>
              <w:left w:val="single" w:sz="4" w:space="0" w:color="auto"/>
              <w:bottom w:val="single" w:sz="4" w:space="0" w:color="auto"/>
              <w:right w:val="single" w:sz="4" w:space="0" w:color="auto"/>
            </w:tcBorders>
            <w:vAlign w:val="center"/>
          </w:tcPr>
          <w:p w14:paraId="7659B2D9" w14:textId="77777777" w:rsidR="001C59B7" w:rsidRPr="004B3056" w:rsidRDefault="001C59B7" w:rsidP="001C59B7">
            <w:pPr>
              <w:spacing w:line="240" w:lineRule="auto"/>
              <w:rPr>
                <w:rFonts w:cs="Arial"/>
                <w:bCs/>
                <w:caps/>
                <w:sz w:val="17"/>
                <w:szCs w:val="17"/>
                <w:lang w:val="fr-FR" w:eastAsia="zh-CN"/>
              </w:rPr>
            </w:pPr>
          </w:p>
        </w:tc>
        <w:tc>
          <w:tcPr>
            <w:tcW w:w="1745" w:type="pct"/>
            <w:tcBorders>
              <w:top w:val="single" w:sz="4" w:space="0" w:color="auto"/>
              <w:left w:val="single" w:sz="4" w:space="0" w:color="auto"/>
              <w:bottom w:val="single" w:sz="4" w:space="0" w:color="auto"/>
              <w:right w:val="single" w:sz="4" w:space="0" w:color="auto"/>
            </w:tcBorders>
            <w:vAlign w:val="center"/>
          </w:tcPr>
          <w:p w14:paraId="6A2F18DA"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Résilience des populations aux crises climatiques</w:t>
            </w:r>
          </w:p>
        </w:tc>
        <w:tc>
          <w:tcPr>
            <w:tcW w:w="671" w:type="pct"/>
            <w:tcBorders>
              <w:top w:val="single" w:sz="4" w:space="0" w:color="auto"/>
              <w:left w:val="single" w:sz="4" w:space="0" w:color="auto"/>
              <w:bottom w:val="single" w:sz="4" w:space="0" w:color="auto"/>
              <w:right w:val="single" w:sz="4" w:space="0" w:color="auto"/>
            </w:tcBorders>
            <w:vAlign w:val="center"/>
          </w:tcPr>
          <w:p w14:paraId="2BD9644C" w14:textId="77777777" w:rsidR="001C59B7" w:rsidRPr="004B3056" w:rsidRDefault="001C59B7" w:rsidP="001C59B7">
            <w:pPr>
              <w:spacing w:line="240" w:lineRule="auto"/>
              <w:rPr>
                <w:rFonts w:cs="Arial"/>
                <w:bCs/>
                <w:caps/>
                <w:sz w:val="17"/>
                <w:szCs w:val="17"/>
                <w:lang w:val="fr-FR" w:eastAsia="zh-CN"/>
              </w:rPr>
            </w:pPr>
          </w:p>
        </w:tc>
        <w:tc>
          <w:tcPr>
            <w:tcW w:w="718" w:type="pct"/>
            <w:tcBorders>
              <w:top w:val="single" w:sz="4" w:space="0" w:color="auto"/>
              <w:left w:val="single" w:sz="4" w:space="0" w:color="auto"/>
              <w:bottom w:val="single" w:sz="4" w:space="0" w:color="auto"/>
              <w:right w:val="single" w:sz="4" w:space="0" w:color="auto"/>
            </w:tcBorders>
            <w:vAlign w:val="center"/>
          </w:tcPr>
          <w:p w14:paraId="4DE9902D" w14:textId="77777777" w:rsidR="001C59B7" w:rsidRPr="004B3056" w:rsidRDefault="001C59B7" w:rsidP="001C59B7">
            <w:pPr>
              <w:spacing w:line="240" w:lineRule="auto"/>
              <w:rPr>
                <w:rFonts w:cs="Arial"/>
                <w:bCs/>
                <w:caps/>
                <w:sz w:val="17"/>
                <w:szCs w:val="17"/>
                <w:lang w:val="fr-FR" w:eastAsia="zh-CN"/>
              </w:rPr>
            </w:pP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14:paraId="144CDCA7" w14:textId="77777777" w:rsidR="001C59B7" w:rsidRPr="004B3056" w:rsidRDefault="001C59B7" w:rsidP="001C59B7">
            <w:pPr>
              <w:spacing w:line="240" w:lineRule="auto"/>
              <w:rPr>
                <w:rFonts w:cs="Arial"/>
                <w:bCs/>
                <w:caps/>
                <w:sz w:val="17"/>
                <w:szCs w:val="17"/>
                <w:lang w:val="fr-FR" w:eastAsia="zh-CN"/>
              </w:rPr>
            </w:pPr>
          </w:p>
        </w:tc>
        <w:tc>
          <w:tcPr>
            <w:tcW w:w="758" w:type="pct"/>
            <w:tcBorders>
              <w:top w:val="single" w:sz="4" w:space="0" w:color="auto"/>
              <w:left w:val="single" w:sz="4" w:space="0" w:color="auto"/>
              <w:bottom w:val="single" w:sz="4" w:space="0" w:color="auto"/>
              <w:right w:val="single" w:sz="4" w:space="0" w:color="auto"/>
            </w:tcBorders>
            <w:shd w:val="clear" w:color="auto" w:fill="auto"/>
            <w:vAlign w:val="center"/>
          </w:tcPr>
          <w:p w14:paraId="63B99F06" w14:textId="77777777" w:rsidR="001C59B7" w:rsidRPr="004B3056" w:rsidRDefault="001C59B7" w:rsidP="001C59B7">
            <w:pPr>
              <w:spacing w:line="240" w:lineRule="auto"/>
              <w:rPr>
                <w:rFonts w:cs="Arial"/>
                <w:bCs/>
                <w:caps/>
                <w:sz w:val="17"/>
                <w:szCs w:val="17"/>
                <w:lang w:val="fr-FR" w:eastAsia="zh-CN"/>
              </w:rPr>
            </w:pPr>
          </w:p>
        </w:tc>
      </w:tr>
      <w:tr w:rsidR="001C59B7" w:rsidRPr="004B3056" w14:paraId="0402EA25" w14:textId="77777777" w:rsidTr="00BA1953">
        <w:tc>
          <w:tcPr>
            <w:tcW w:w="489" w:type="pct"/>
            <w:tcBorders>
              <w:top w:val="single" w:sz="4" w:space="0" w:color="auto"/>
              <w:left w:val="single" w:sz="4" w:space="0" w:color="auto"/>
              <w:bottom w:val="single" w:sz="4" w:space="0" w:color="auto"/>
              <w:right w:val="single" w:sz="4" w:space="0" w:color="auto"/>
            </w:tcBorders>
            <w:vAlign w:val="center"/>
          </w:tcPr>
          <w:p w14:paraId="74BB054F" w14:textId="77777777" w:rsidR="001C59B7" w:rsidRPr="004B3056" w:rsidRDefault="001C59B7" w:rsidP="001C59B7">
            <w:pPr>
              <w:spacing w:line="240" w:lineRule="auto"/>
              <w:rPr>
                <w:rFonts w:cs="Arial"/>
                <w:bCs/>
                <w:caps/>
                <w:sz w:val="17"/>
                <w:szCs w:val="17"/>
                <w:lang w:val="fr-FR" w:eastAsia="zh-CN"/>
              </w:rPr>
            </w:pPr>
          </w:p>
        </w:tc>
        <w:tc>
          <w:tcPr>
            <w:tcW w:w="1745" w:type="pct"/>
            <w:tcBorders>
              <w:top w:val="single" w:sz="4" w:space="0" w:color="auto"/>
              <w:left w:val="single" w:sz="4" w:space="0" w:color="auto"/>
              <w:bottom w:val="single" w:sz="4" w:space="0" w:color="auto"/>
              <w:right w:val="single" w:sz="4" w:space="0" w:color="auto"/>
            </w:tcBorders>
            <w:vAlign w:val="center"/>
          </w:tcPr>
          <w:p w14:paraId="45C79F0F"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Satellites, pastoralism and climate change (STAMP)</w:t>
            </w:r>
          </w:p>
        </w:tc>
        <w:tc>
          <w:tcPr>
            <w:tcW w:w="671" w:type="pct"/>
            <w:tcBorders>
              <w:top w:val="single" w:sz="4" w:space="0" w:color="auto"/>
              <w:left w:val="single" w:sz="4" w:space="0" w:color="auto"/>
              <w:bottom w:val="single" w:sz="4" w:space="0" w:color="auto"/>
              <w:right w:val="single" w:sz="4" w:space="0" w:color="auto"/>
            </w:tcBorders>
            <w:vAlign w:val="center"/>
          </w:tcPr>
          <w:p w14:paraId="162DE9EE" w14:textId="77777777" w:rsidR="001C59B7" w:rsidRPr="004B3056" w:rsidRDefault="001C59B7" w:rsidP="001C59B7">
            <w:pPr>
              <w:spacing w:line="240" w:lineRule="auto"/>
              <w:rPr>
                <w:rFonts w:cs="Arial"/>
                <w:bCs/>
                <w:caps/>
                <w:sz w:val="17"/>
                <w:szCs w:val="17"/>
                <w:lang w:val="fr-FR" w:eastAsia="zh-CN"/>
              </w:rPr>
            </w:pPr>
          </w:p>
        </w:tc>
        <w:tc>
          <w:tcPr>
            <w:tcW w:w="718" w:type="pct"/>
            <w:tcBorders>
              <w:top w:val="single" w:sz="4" w:space="0" w:color="auto"/>
              <w:left w:val="single" w:sz="4" w:space="0" w:color="auto"/>
              <w:bottom w:val="single" w:sz="4" w:space="0" w:color="auto"/>
              <w:right w:val="single" w:sz="4" w:space="0" w:color="auto"/>
            </w:tcBorders>
            <w:vAlign w:val="center"/>
          </w:tcPr>
          <w:p w14:paraId="7A73FD04" w14:textId="77777777" w:rsidR="001C59B7" w:rsidRPr="004B3056" w:rsidRDefault="001C59B7" w:rsidP="001C59B7">
            <w:pPr>
              <w:spacing w:line="240" w:lineRule="auto"/>
              <w:rPr>
                <w:rFonts w:cs="Arial"/>
                <w:bCs/>
                <w:caps/>
                <w:sz w:val="17"/>
                <w:szCs w:val="17"/>
                <w:lang w:val="fr-FR" w:eastAsia="zh-CN"/>
              </w:rPr>
            </w:pP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14:paraId="4EBE6D13"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2015 - 2018</w:t>
            </w:r>
          </w:p>
        </w:tc>
        <w:tc>
          <w:tcPr>
            <w:tcW w:w="758" w:type="pct"/>
            <w:tcBorders>
              <w:top w:val="single" w:sz="4" w:space="0" w:color="auto"/>
              <w:left w:val="single" w:sz="4" w:space="0" w:color="auto"/>
              <w:bottom w:val="single" w:sz="4" w:space="0" w:color="auto"/>
              <w:right w:val="single" w:sz="4" w:space="0" w:color="auto"/>
            </w:tcBorders>
            <w:shd w:val="clear" w:color="auto" w:fill="auto"/>
            <w:vAlign w:val="center"/>
          </w:tcPr>
          <w:p w14:paraId="7A6B5E05" w14:textId="77777777" w:rsidR="001C59B7" w:rsidRPr="004B3056" w:rsidRDefault="001C59B7" w:rsidP="001C59B7">
            <w:pPr>
              <w:spacing w:line="240" w:lineRule="auto"/>
              <w:rPr>
                <w:rFonts w:cs="Arial"/>
                <w:bCs/>
                <w:caps/>
                <w:sz w:val="17"/>
                <w:szCs w:val="17"/>
                <w:lang w:val="fr-FR" w:eastAsia="zh-CN"/>
              </w:rPr>
            </w:pPr>
          </w:p>
        </w:tc>
      </w:tr>
      <w:tr w:rsidR="001C59B7" w:rsidRPr="004B3056" w14:paraId="0671ECA3" w14:textId="77777777" w:rsidTr="00BA1953">
        <w:tc>
          <w:tcPr>
            <w:tcW w:w="489" w:type="pct"/>
            <w:tcBorders>
              <w:top w:val="single" w:sz="4" w:space="0" w:color="auto"/>
              <w:left w:val="single" w:sz="4" w:space="0" w:color="auto"/>
              <w:bottom w:val="single" w:sz="4" w:space="0" w:color="auto"/>
              <w:right w:val="single" w:sz="4" w:space="0" w:color="auto"/>
            </w:tcBorders>
            <w:vAlign w:val="center"/>
          </w:tcPr>
          <w:p w14:paraId="7EDD3886" w14:textId="77777777" w:rsidR="001C59B7" w:rsidRPr="004B3056" w:rsidRDefault="001C59B7" w:rsidP="001C59B7">
            <w:pPr>
              <w:spacing w:line="240" w:lineRule="auto"/>
              <w:rPr>
                <w:rFonts w:cs="Arial"/>
                <w:bCs/>
                <w:caps/>
                <w:sz w:val="17"/>
                <w:szCs w:val="17"/>
                <w:lang w:val="fr-FR" w:eastAsia="zh-CN"/>
              </w:rPr>
            </w:pPr>
          </w:p>
        </w:tc>
        <w:tc>
          <w:tcPr>
            <w:tcW w:w="1745" w:type="pct"/>
            <w:tcBorders>
              <w:top w:val="single" w:sz="4" w:space="0" w:color="auto"/>
              <w:left w:val="single" w:sz="4" w:space="0" w:color="auto"/>
              <w:bottom w:val="single" w:sz="4" w:space="0" w:color="auto"/>
              <w:right w:val="single" w:sz="4" w:space="0" w:color="auto"/>
            </w:tcBorders>
            <w:vAlign w:val="center"/>
          </w:tcPr>
          <w:p w14:paraId="07CE5788"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UDUMA (eau potable et pompes électriques)</w:t>
            </w:r>
          </w:p>
        </w:tc>
        <w:tc>
          <w:tcPr>
            <w:tcW w:w="671" w:type="pct"/>
            <w:tcBorders>
              <w:top w:val="single" w:sz="4" w:space="0" w:color="auto"/>
              <w:left w:val="single" w:sz="4" w:space="0" w:color="auto"/>
              <w:bottom w:val="single" w:sz="4" w:space="0" w:color="auto"/>
              <w:right w:val="single" w:sz="4" w:space="0" w:color="auto"/>
            </w:tcBorders>
            <w:vAlign w:val="center"/>
          </w:tcPr>
          <w:p w14:paraId="1200B0C9" w14:textId="77777777" w:rsidR="001C59B7" w:rsidRPr="004B3056" w:rsidRDefault="001C59B7" w:rsidP="001C59B7">
            <w:pPr>
              <w:spacing w:line="240" w:lineRule="auto"/>
              <w:rPr>
                <w:rFonts w:cs="Arial"/>
                <w:bCs/>
                <w:caps/>
                <w:sz w:val="17"/>
                <w:szCs w:val="17"/>
                <w:lang w:val="fr-FR" w:eastAsia="zh-CN"/>
              </w:rPr>
            </w:pPr>
          </w:p>
        </w:tc>
        <w:tc>
          <w:tcPr>
            <w:tcW w:w="718" w:type="pct"/>
            <w:tcBorders>
              <w:top w:val="single" w:sz="4" w:space="0" w:color="auto"/>
              <w:left w:val="single" w:sz="4" w:space="0" w:color="auto"/>
              <w:bottom w:val="single" w:sz="4" w:space="0" w:color="auto"/>
              <w:right w:val="single" w:sz="4" w:space="0" w:color="auto"/>
            </w:tcBorders>
            <w:vAlign w:val="center"/>
          </w:tcPr>
          <w:p w14:paraId="3F8AC139"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Vergnet-Hydro (PPP)</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14:paraId="49237602"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2017 - 2022</w:t>
            </w:r>
          </w:p>
        </w:tc>
        <w:tc>
          <w:tcPr>
            <w:tcW w:w="758" w:type="pct"/>
            <w:tcBorders>
              <w:top w:val="single" w:sz="4" w:space="0" w:color="auto"/>
              <w:left w:val="single" w:sz="4" w:space="0" w:color="auto"/>
              <w:bottom w:val="single" w:sz="4" w:space="0" w:color="auto"/>
              <w:right w:val="single" w:sz="4" w:space="0" w:color="auto"/>
            </w:tcBorders>
            <w:shd w:val="clear" w:color="auto" w:fill="auto"/>
            <w:vAlign w:val="center"/>
          </w:tcPr>
          <w:p w14:paraId="7072FD72" w14:textId="77777777" w:rsidR="001C59B7" w:rsidRPr="004B3056" w:rsidRDefault="001C59B7" w:rsidP="001C59B7">
            <w:pPr>
              <w:spacing w:line="240" w:lineRule="auto"/>
              <w:rPr>
                <w:rFonts w:cs="Arial"/>
                <w:bCs/>
                <w:caps/>
                <w:sz w:val="17"/>
                <w:szCs w:val="17"/>
                <w:lang w:val="fr-FR" w:eastAsia="zh-CN"/>
              </w:rPr>
            </w:pPr>
          </w:p>
        </w:tc>
      </w:tr>
      <w:tr w:rsidR="001C59B7" w:rsidRPr="004B3056" w14:paraId="483F829D" w14:textId="77777777" w:rsidTr="00BA1953">
        <w:tc>
          <w:tcPr>
            <w:tcW w:w="489" w:type="pct"/>
            <w:tcBorders>
              <w:top w:val="single" w:sz="4" w:space="0" w:color="auto"/>
              <w:left w:val="single" w:sz="4" w:space="0" w:color="auto"/>
              <w:bottom w:val="single" w:sz="4" w:space="0" w:color="auto"/>
              <w:right w:val="single" w:sz="4" w:space="0" w:color="auto"/>
            </w:tcBorders>
            <w:vAlign w:val="center"/>
          </w:tcPr>
          <w:p w14:paraId="5B8FE42F"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PGLR</w:t>
            </w:r>
          </w:p>
        </w:tc>
        <w:tc>
          <w:tcPr>
            <w:tcW w:w="1745" w:type="pct"/>
            <w:tcBorders>
              <w:top w:val="single" w:sz="4" w:space="0" w:color="auto"/>
              <w:left w:val="single" w:sz="4" w:space="0" w:color="auto"/>
              <w:bottom w:val="single" w:sz="4" w:space="0" w:color="auto"/>
              <w:right w:val="single" w:sz="4" w:space="0" w:color="auto"/>
            </w:tcBorders>
            <w:vAlign w:val="center"/>
          </w:tcPr>
          <w:p w14:paraId="3A31B70A"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 xml:space="preserve">Projet de gouvernance locale démocratique </w:t>
            </w:r>
          </w:p>
        </w:tc>
        <w:tc>
          <w:tcPr>
            <w:tcW w:w="671" w:type="pct"/>
            <w:tcBorders>
              <w:top w:val="single" w:sz="4" w:space="0" w:color="auto"/>
              <w:left w:val="single" w:sz="4" w:space="0" w:color="auto"/>
              <w:bottom w:val="single" w:sz="4" w:space="0" w:color="auto"/>
              <w:right w:val="single" w:sz="4" w:space="0" w:color="auto"/>
            </w:tcBorders>
            <w:vAlign w:val="center"/>
          </w:tcPr>
          <w:p w14:paraId="2047DDEA" w14:textId="77777777" w:rsidR="001C59B7" w:rsidRPr="004B3056" w:rsidRDefault="001C59B7" w:rsidP="001C59B7">
            <w:pPr>
              <w:spacing w:line="240" w:lineRule="auto"/>
              <w:rPr>
                <w:rFonts w:cs="Arial"/>
                <w:bCs/>
                <w:caps/>
                <w:sz w:val="17"/>
                <w:szCs w:val="17"/>
                <w:lang w:val="fr-FR" w:eastAsia="zh-CN"/>
              </w:rPr>
            </w:pPr>
          </w:p>
        </w:tc>
        <w:tc>
          <w:tcPr>
            <w:tcW w:w="718" w:type="pct"/>
            <w:tcBorders>
              <w:top w:val="single" w:sz="4" w:space="0" w:color="auto"/>
              <w:left w:val="single" w:sz="4" w:space="0" w:color="auto"/>
              <w:bottom w:val="single" w:sz="4" w:space="0" w:color="auto"/>
              <w:right w:val="single" w:sz="4" w:space="0" w:color="auto"/>
            </w:tcBorders>
            <w:vAlign w:val="center"/>
          </w:tcPr>
          <w:p w14:paraId="00192757"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OXFAM, ICCO</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14:paraId="6006D31A"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2017 - 2020</w:t>
            </w:r>
          </w:p>
        </w:tc>
        <w:tc>
          <w:tcPr>
            <w:tcW w:w="758" w:type="pct"/>
            <w:tcBorders>
              <w:top w:val="single" w:sz="4" w:space="0" w:color="auto"/>
              <w:left w:val="single" w:sz="4" w:space="0" w:color="auto"/>
              <w:bottom w:val="single" w:sz="4" w:space="0" w:color="auto"/>
              <w:right w:val="single" w:sz="4" w:space="0" w:color="auto"/>
            </w:tcBorders>
            <w:shd w:val="clear" w:color="auto" w:fill="auto"/>
            <w:vAlign w:val="center"/>
          </w:tcPr>
          <w:p w14:paraId="00DD6384"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6,7 Million €</w:t>
            </w:r>
          </w:p>
        </w:tc>
      </w:tr>
    </w:tbl>
    <w:p w14:paraId="47829BB3" w14:textId="77777777" w:rsidR="001C59B7" w:rsidRPr="004B3056" w:rsidRDefault="001C59B7" w:rsidP="001C59B7">
      <w:pPr>
        <w:spacing w:after="0" w:line="240" w:lineRule="auto"/>
        <w:rPr>
          <w:rFonts w:eastAsia="SimSun" w:cs="Arial"/>
          <w:sz w:val="18"/>
          <w:szCs w:val="18"/>
          <w:lang w:val="fr-FR" w:eastAsia="zh-CN"/>
        </w:rPr>
      </w:pPr>
    </w:p>
    <w:p w14:paraId="789BFF16" w14:textId="77777777" w:rsidR="001C59B7" w:rsidRPr="004B3056" w:rsidRDefault="001C59B7" w:rsidP="001C59B7">
      <w:pPr>
        <w:spacing w:after="0" w:line="240" w:lineRule="auto"/>
        <w:rPr>
          <w:rFonts w:eastAsia="SimSun" w:cs="Arial"/>
          <w:sz w:val="18"/>
          <w:szCs w:val="18"/>
          <w:lang w:val="fr-FR" w:eastAsia="zh-CN"/>
        </w:rPr>
      </w:pPr>
      <w:r w:rsidRPr="004B3056">
        <w:rPr>
          <w:rFonts w:eastAsia="SimSun" w:cs="Arial"/>
          <w:sz w:val="18"/>
          <w:szCs w:val="18"/>
          <w:lang w:val="fr-FR" w:eastAsia="zh-CN"/>
        </w:rPr>
        <w:t>Suède (ASDI)</w:t>
      </w:r>
    </w:p>
    <w:tbl>
      <w:tblPr>
        <w:tblStyle w:val="Tabellenraster3"/>
        <w:tblW w:w="5000" w:type="pct"/>
        <w:tblLayout w:type="fixed"/>
        <w:tblLook w:val="01E0" w:firstRow="1" w:lastRow="1" w:firstColumn="1" w:lastColumn="1" w:noHBand="0" w:noVBand="0"/>
      </w:tblPr>
      <w:tblGrid>
        <w:gridCol w:w="1244"/>
        <w:gridCol w:w="3404"/>
        <w:gridCol w:w="1263"/>
        <w:gridCol w:w="1492"/>
        <w:gridCol w:w="1220"/>
        <w:gridCol w:w="1514"/>
      </w:tblGrid>
      <w:tr w:rsidR="001C59B7" w:rsidRPr="004B3056" w14:paraId="427DA738" w14:textId="77777777" w:rsidTr="00BA1953">
        <w:trPr>
          <w:cantSplit/>
          <w:tblHeader/>
        </w:trPr>
        <w:tc>
          <w:tcPr>
            <w:tcW w:w="613" w:type="pct"/>
            <w:shd w:val="clear" w:color="auto" w:fill="D9D9D9"/>
            <w:vAlign w:val="center"/>
          </w:tcPr>
          <w:p w14:paraId="1395DFC3" w14:textId="77777777" w:rsidR="001C59B7" w:rsidRPr="004B3056" w:rsidRDefault="001C59B7" w:rsidP="001C59B7">
            <w:pPr>
              <w:spacing w:after="0" w:line="240" w:lineRule="auto"/>
              <w:jc w:val="center"/>
              <w:rPr>
                <w:rFonts w:cs="Arial"/>
                <w:caps/>
                <w:sz w:val="18"/>
                <w:szCs w:val="18"/>
                <w:lang w:val="fr-FR" w:eastAsia="zh-CN"/>
              </w:rPr>
            </w:pPr>
            <w:r w:rsidRPr="004B3056">
              <w:rPr>
                <w:rFonts w:cs="Arial"/>
                <w:caps/>
                <w:sz w:val="18"/>
                <w:szCs w:val="18"/>
                <w:lang w:val="fr-FR" w:eastAsia="zh-CN"/>
              </w:rPr>
              <w:t>Projet Abr.</w:t>
            </w:r>
          </w:p>
        </w:tc>
        <w:tc>
          <w:tcPr>
            <w:tcW w:w="1679" w:type="pct"/>
            <w:shd w:val="clear" w:color="auto" w:fill="D9D9D9"/>
            <w:vAlign w:val="center"/>
          </w:tcPr>
          <w:p w14:paraId="77B5FD8D" w14:textId="77777777" w:rsidR="001C59B7" w:rsidRPr="004B3056" w:rsidRDefault="001C59B7" w:rsidP="001C59B7">
            <w:pPr>
              <w:spacing w:after="0" w:line="240" w:lineRule="auto"/>
              <w:jc w:val="center"/>
              <w:rPr>
                <w:rFonts w:cs="Arial"/>
                <w:caps/>
                <w:sz w:val="18"/>
                <w:szCs w:val="18"/>
                <w:lang w:val="fr-FR" w:eastAsia="zh-CN"/>
              </w:rPr>
            </w:pPr>
            <w:r w:rsidRPr="004B3056">
              <w:rPr>
                <w:rFonts w:cs="Arial"/>
                <w:caps/>
                <w:sz w:val="18"/>
                <w:szCs w:val="18"/>
                <w:lang w:val="fr-FR" w:eastAsia="zh-CN"/>
              </w:rPr>
              <w:t>Projet</w:t>
            </w:r>
          </w:p>
        </w:tc>
        <w:tc>
          <w:tcPr>
            <w:tcW w:w="623" w:type="pct"/>
            <w:shd w:val="clear" w:color="auto" w:fill="D9D9D9"/>
            <w:vAlign w:val="center"/>
          </w:tcPr>
          <w:p w14:paraId="1BCCEF87" w14:textId="77777777" w:rsidR="001C59B7" w:rsidRPr="004B3056" w:rsidRDefault="001C59B7" w:rsidP="001C59B7">
            <w:pPr>
              <w:spacing w:after="0" w:line="240" w:lineRule="auto"/>
              <w:jc w:val="center"/>
              <w:rPr>
                <w:rFonts w:cs="Arial"/>
                <w:caps/>
                <w:sz w:val="18"/>
                <w:szCs w:val="18"/>
                <w:lang w:val="fr-FR" w:eastAsia="zh-CN"/>
              </w:rPr>
            </w:pPr>
            <w:r w:rsidRPr="004B3056">
              <w:rPr>
                <w:rFonts w:cs="Arial"/>
                <w:caps/>
                <w:sz w:val="18"/>
                <w:szCs w:val="18"/>
                <w:lang w:val="fr-FR" w:eastAsia="zh-CN"/>
              </w:rPr>
              <w:t>Autres bailleurs de fonds</w:t>
            </w:r>
          </w:p>
        </w:tc>
        <w:tc>
          <w:tcPr>
            <w:tcW w:w="736" w:type="pct"/>
            <w:shd w:val="clear" w:color="auto" w:fill="D9D9D9"/>
            <w:vAlign w:val="center"/>
          </w:tcPr>
          <w:p w14:paraId="200DD7B3" w14:textId="77777777" w:rsidR="001C59B7" w:rsidRPr="004B3056" w:rsidRDefault="001C59B7" w:rsidP="001C59B7">
            <w:pPr>
              <w:spacing w:after="0" w:line="240" w:lineRule="auto"/>
              <w:jc w:val="center"/>
              <w:rPr>
                <w:rFonts w:cs="Arial"/>
                <w:caps/>
                <w:sz w:val="18"/>
                <w:szCs w:val="18"/>
                <w:lang w:val="fr-FR" w:eastAsia="zh-CN"/>
              </w:rPr>
            </w:pPr>
            <w:r w:rsidRPr="004B3056">
              <w:rPr>
                <w:rFonts w:cs="Arial"/>
                <w:caps/>
                <w:sz w:val="18"/>
                <w:szCs w:val="18"/>
                <w:lang w:val="fr-FR" w:eastAsia="zh-CN"/>
              </w:rPr>
              <w:t>Partenaire de mise en oeuvre</w:t>
            </w:r>
          </w:p>
        </w:tc>
        <w:tc>
          <w:tcPr>
            <w:tcW w:w="602" w:type="pct"/>
            <w:shd w:val="clear" w:color="auto" w:fill="D9D9D9"/>
            <w:vAlign w:val="center"/>
          </w:tcPr>
          <w:p w14:paraId="4E18B6B5" w14:textId="77777777" w:rsidR="001C59B7" w:rsidRPr="004B3056" w:rsidRDefault="001C59B7" w:rsidP="001C59B7">
            <w:pPr>
              <w:spacing w:after="0" w:line="240" w:lineRule="auto"/>
              <w:jc w:val="center"/>
              <w:rPr>
                <w:rFonts w:cs="Arial"/>
                <w:caps/>
                <w:sz w:val="18"/>
                <w:szCs w:val="18"/>
                <w:lang w:val="fr-FR" w:eastAsia="zh-CN"/>
              </w:rPr>
            </w:pPr>
            <w:r w:rsidRPr="004B3056">
              <w:rPr>
                <w:rFonts w:cs="Arial"/>
                <w:caps/>
                <w:sz w:val="18"/>
                <w:szCs w:val="18"/>
                <w:lang w:val="fr-FR" w:eastAsia="zh-CN"/>
              </w:rPr>
              <w:t>Durée</w:t>
            </w:r>
          </w:p>
        </w:tc>
        <w:tc>
          <w:tcPr>
            <w:tcW w:w="747" w:type="pct"/>
            <w:shd w:val="clear" w:color="auto" w:fill="D9D9D9"/>
            <w:vAlign w:val="center"/>
          </w:tcPr>
          <w:p w14:paraId="25261EF0" w14:textId="77777777" w:rsidR="001C59B7" w:rsidRPr="004B3056" w:rsidRDefault="001C59B7" w:rsidP="001C59B7">
            <w:pPr>
              <w:spacing w:after="0" w:line="240" w:lineRule="auto"/>
              <w:jc w:val="center"/>
              <w:rPr>
                <w:rFonts w:cs="Arial"/>
                <w:caps/>
                <w:sz w:val="18"/>
                <w:szCs w:val="18"/>
                <w:lang w:val="fr-FR" w:eastAsia="zh-CN"/>
              </w:rPr>
            </w:pPr>
            <w:r w:rsidRPr="004B3056">
              <w:rPr>
                <w:rFonts w:cs="Arial"/>
                <w:caps/>
                <w:sz w:val="18"/>
                <w:szCs w:val="18"/>
                <w:lang w:val="fr-FR" w:eastAsia="zh-CN"/>
              </w:rPr>
              <w:t>Montant (€)</w:t>
            </w:r>
          </w:p>
        </w:tc>
      </w:tr>
      <w:tr w:rsidR="001C59B7" w:rsidRPr="004B3056" w14:paraId="54C4A569" w14:textId="77777777" w:rsidTr="00BA1953">
        <w:tc>
          <w:tcPr>
            <w:tcW w:w="613" w:type="pct"/>
            <w:vAlign w:val="center"/>
          </w:tcPr>
          <w:p w14:paraId="6984D480"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GEDEFOR 2</w:t>
            </w:r>
          </w:p>
        </w:tc>
        <w:tc>
          <w:tcPr>
            <w:tcW w:w="1679" w:type="pct"/>
            <w:vAlign w:val="center"/>
          </w:tcPr>
          <w:p w14:paraId="27D92571" w14:textId="77777777" w:rsidR="001C59B7" w:rsidRPr="004B3056" w:rsidRDefault="001C59B7" w:rsidP="001C59B7">
            <w:pPr>
              <w:spacing w:after="0" w:line="240" w:lineRule="auto"/>
              <w:rPr>
                <w:rFonts w:cs="Arial"/>
                <w:bCs/>
                <w:caps/>
                <w:sz w:val="17"/>
                <w:szCs w:val="17"/>
                <w:lang w:val="fr-FR" w:eastAsia="zh-CN"/>
              </w:rPr>
            </w:pPr>
            <w:r w:rsidRPr="004B3056">
              <w:rPr>
                <w:rFonts w:cs="Arial"/>
                <w:bCs/>
                <w:sz w:val="17"/>
                <w:szCs w:val="17"/>
                <w:lang w:val="fr-FR" w:eastAsia="zh-CN"/>
              </w:rPr>
              <w:t>Programme de gestion décentralisée des forets</w:t>
            </w:r>
          </w:p>
        </w:tc>
        <w:tc>
          <w:tcPr>
            <w:tcW w:w="623" w:type="pct"/>
            <w:vAlign w:val="center"/>
          </w:tcPr>
          <w:p w14:paraId="507E2BF4" w14:textId="77777777" w:rsidR="001C59B7" w:rsidRPr="004B3056" w:rsidRDefault="001C59B7" w:rsidP="001C59B7">
            <w:pPr>
              <w:spacing w:after="0" w:line="240" w:lineRule="auto"/>
              <w:rPr>
                <w:rFonts w:cs="Arial"/>
                <w:bCs/>
                <w:caps/>
                <w:sz w:val="17"/>
                <w:szCs w:val="17"/>
                <w:lang w:val="fr-FR" w:eastAsia="zh-CN"/>
              </w:rPr>
            </w:pPr>
          </w:p>
        </w:tc>
        <w:tc>
          <w:tcPr>
            <w:tcW w:w="736" w:type="pct"/>
            <w:vAlign w:val="center"/>
          </w:tcPr>
          <w:p w14:paraId="1369098F"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MEADD, DNEF</w:t>
            </w:r>
          </w:p>
        </w:tc>
        <w:tc>
          <w:tcPr>
            <w:tcW w:w="602" w:type="pct"/>
            <w:shd w:val="clear" w:color="auto" w:fill="auto"/>
            <w:vAlign w:val="center"/>
          </w:tcPr>
          <w:p w14:paraId="3FA0653A"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2014 – 2018</w:t>
            </w:r>
          </w:p>
          <w:p w14:paraId="07583758"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 xml:space="preserve">GEDEFOR 3 </w:t>
            </w:r>
            <w:r w:rsidRPr="004B3056">
              <w:rPr>
                <w:rFonts w:cs="Arial"/>
                <w:bCs/>
                <w:sz w:val="17"/>
                <w:szCs w:val="17"/>
                <w:lang w:val="fr-FR" w:eastAsia="zh-CN"/>
              </w:rPr>
              <w:t>en préparation</w:t>
            </w:r>
          </w:p>
        </w:tc>
        <w:tc>
          <w:tcPr>
            <w:tcW w:w="747" w:type="pct"/>
            <w:shd w:val="clear" w:color="auto" w:fill="auto"/>
            <w:vAlign w:val="center"/>
          </w:tcPr>
          <w:p w14:paraId="5E4FD334"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vertAlign w:val="superscript"/>
                <w:lang w:val="fr-FR" w:eastAsia="zh-CN"/>
              </w:rPr>
              <w:t xml:space="preserve"> </w:t>
            </w:r>
            <w:r w:rsidRPr="004B3056">
              <w:rPr>
                <w:rFonts w:cs="Arial"/>
                <w:bCs/>
                <w:caps/>
                <w:sz w:val="17"/>
                <w:szCs w:val="17"/>
                <w:lang w:val="fr-FR" w:eastAsia="zh-CN"/>
              </w:rPr>
              <w:t>~2.826.200</w:t>
            </w:r>
          </w:p>
          <w:p w14:paraId="3766607C"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4 292 000 000</w:t>
            </w:r>
          </w:p>
          <w:p w14:paraId="6D9052C8"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F.CFA</w:t>
            </w:r>
          </w:p>
        </w:tc>
      </w:tr>
      <w:tr w:rsidR="001C59B7" w:rsidRPr="004B3056" w14:paraId="651B4A5E" w14:textId="77777777" w:rsidTr="00BA1953">
        <w:tc>
          <w:tcPr>
            <w:tcW w:w="613" w:type="pct"/>
            <w:vAlign w:val="center"/>
          </w:tcPr>
          <w:p w14:paraId="170A9692"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PDD-DIN W</w:t>
            </w:r>
            <w:r w:rsidRPr="004B3056">
              <w:rPr>
                <w:rFonts w:cs="Arial"/>
                <w:bCs/>
                <w:sz w:val="17"/>
                <w:szCs w:val="17"/>
                <w:lang w:val="fr-FR" w:eastAsia="zh-CN"/>
              </w:rPr>
              <w:t>etlands</w:t>
            </w:r>
          </w:p>
        </w:tc>
        <w:tc>
          <w:tcPr>
            <w:tcW w:w="1679" w:type="pct"/>
            <w:vAlign w:val="center"/>
          </w:tcPr>
          <w:p w14:paraId="0C3F2853" w14:textId="77777777" w:rsidR="001C59B7" w:rsidRPr="004B3056" w:rsidRDefault="001C59B7" w:rsidP="001C59B7">
            <w:pPr>
              <w:spacing w:after="0" w:line="240" w:lineRule="auto"/>
              <w:rPr>
                <w:rFonts w:cs="Arial"/>
                <w:bCs/>
                <w:sz w:val="17"/>
                <w:szCs w:val="17"/>
                <w:lang w:val="fr-FR" w:eastAsia="zh-CN"/>
              </w:rPr>
            </w:pPr>
            <w:r w:rsidRPr="004B3056">
              <w:rPr>
                <w:rFonts w:cs="Arial"/>
                <w:bCs/>
                <w:sz w:val="17"/>
                <w:szCs w:val="17"/>
                <w:lang w:val="fr-FR" w:eastAsia="zh-CN"/>
              </w:rPr>
              <w:t xml:space="preserve">Programme de développement durable du Delta Intérieur du Niger </w:t>
            </w:r>
          </w:p>
          <w:p w14:paraId="6DFA9DFD" w14:textId="77777777" w:rsidR="001C59B7" w:rsidRPr="004B3056" w:rsidRDefault="001C59B7" w:rsidP="001C59B7">
            <w:pPr>
              <w:spacing w:after="0" w:line="240" w:lineRule="auto"/>
              <w:rPr>
                <w:rFonts w:cs="Arial"/>
                <w:bCs/>
                <w:caps/>
                <w:sz w:val="17"/>
                <w:szCs w:val="17"/>
                <w:lang w:val="fr-FR" w:eastAsia="zh-CN"/>
              </w:rPr>
            </w:pPr>
          </w:p>
        </w:tc>
        <w:tc>
          <w:tcPr>
            <w:tcW w:w="623" w:type="pct"/>
            <w:vAlign w:val="center"/>
          </w:tcPr>
          <w:p w14:paraId="428BE8B3" w14:textId="77777777" w:rsidR="001C59B7" w:rsidRPr="004B3056" w:rsidRDefault="001C59B7" w:rsidP="001C59B7">
            <w:pPr>
              <w:spacing w:after="0" w:line="240" w:lineRule="auto"/>
              <w:rPr>
                <w:rFonts w:cs="Arial"/>
                <w:bCs/>
                <w:caps/>
                <w:sz w:val="17"/>
                <w:szCs w:val="17"/>
                <w:lang w:val="fr-FR" w:eastAsia="zh-CN"/>
              </w:rPr>
            </w:pPr>
          </w:p>
        </w:tc>
        <w:tc>
          <w:tcPr>
            <w:tcW w:w="736" w:type="pct"/>
            <w:vAlign w:val="center"/>
          </w:tcPr>
          <w:p w14:paraId="0C6AE330"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DNEF</w:t>
            </w:r>
          </w:p>
        </w:tc>
        <w:tc>
          <w:tcPr>
            <w:tcW w:w="602" w:type="pct"/>
            <w:shd w:val="clear" w:color="auto" w:fill="auto"/>
            <w:vAlign w:val="center"/>
          </w:tcPr>
          <w:p w14:paraId="7B9A58D6"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2013 - 2018</w:t>
            </w:r>
          </w:p>
        </w:tc>
        <w:tc>
          <w:tcPr>
            <w:tcW w:w="747" w:type="pct"/>
            <w:shd w:val="clear" w:color="auto" w:fill="auto"/>
            <w:vAlign w:val="center"/>
          </w:tcPr>
          <w:p w14:paraId="6B4F16FB"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 xml:space="preserve"> ~3.53.270</w:t>
            </w:r>
          </w:p>
          <w:p w14:paraId="54318428"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4.210.907.635 F.CFA</w:t>
            </w:r>
          </w:p>
          <w:p w14:paraId="0AA7DECE" w14:textId="77777777" w:rsidR="001C59B7" w:rsidRPr="004B3056" w:rsidRDefault="001C59B7" w:rsidP="001C59B7">
            <w:pPr>
              <w:spacing w:after="0" w:line="240" w:lineRule="auto"/>
              <w:rPr>
                <w:rFonts w:cs="Arial"/>
                <w:bCs/>
                <w:caps/>
                <w:sz w:val="17"/>
                <w:szCs w:val="17"/>
                <w:lang w:val="fr-FR" w:eastAsia="zh-CN"/>
              </w:rPr>
            </w:pPr>
          </w:p>
        </w:tc>
      </w:tr>
      <w:tr w:rsidR="001C59B7" w:rsidRPr="004B3056" w14:paraId="2D4E4670" w14:textId="77777777" w:rsidTr="00BA1953">
        <w:tc>
          <w:tcPr>
            <w:tcW w:w="613" w:type="pct"/>
            <w:vAlign w:val="center"/>
          </w:tcPr>
          <w:p w14:paraId="6300E791" w14:textId="77777777" w:rsidR="001C59B7" w:rsidRPr="004B3056" w:rsidRDefault="001C59B7" w:rsidP="001C59B7">
            <w:pPr>
              <w:spacing w:after="0" w:line="240" w:lineRule="auto"/>
              <w:rPr>
                <w:rFonts w:cs="Arial"/>
                <w:bCs/>
                <w:caps/>
                <w:sz w:val="17"/>
                <w:szCs w:val="17"/>
                <w:lang w:val="fr-FR" w:eastAsia="zh-CN"/>
              </w:rPr>
            </w:pPr>
            <w:r w:rsidRPr="004B3056">
              <w:rPr>
                <w:rFonts w:cs="Arial"/>
                <w:bCs/>
                <w:sz w:val="17"/>
                <w:szCs w:val="17"/>
                <w:lang w:val="fr-FR" w:eastAsia="zh-CN"/>
              </w:rPr>
              <w:t>PAIRCC</w:t>
            </w:r>
          </w:p>
        </w:tc>
        <w:tc>
          <w:tcPr>
            <w:tcW w:w="1679" w:type="pct"/>
            <w:vAlign w:val="center"/>
          </w:tcPr>
          <w:p w14:paraId="34C08356" w14:textId="77777777" w:rsidR="001C59B7" w:rsidRPr="004B3056" w:rsidRDefault="001C59B7" w:rsidP="001C59B7">
            <w:pPr>
              <w:spacing w:after="0" w:line="240" w:lineRule="auto"/>
              <w:rPr>
                <w:rFonts w:cs="Arial"/>
                <w:bCs/>
                <w:sz w:val="17"/>
                <w:szCs w:val="17"/>
                <w:lang w:val="fr-FR" w:eastAsia="zh-CN"/>
              </w:rPr>
            </w:pPr>
            <w:r w:rsidRPr="004B3056">
              <w:rPr>
                <w:rFonts w:cs="Arial"/>
                <w:bCs/>
                <w:sz w:val="17"/>
                <w:szCs w:val="17"/>
                <w:lang w:val="fr-FR" w:eastAsia="zh-CN"/>
              </w:rPr>
              <w:t>Projet d’Appui aux Initiatives du RESO Climat Mali pour l’Adaptation aux Changements Climatiques (actuellement 9 projets)</w:t>
            </w:r>
          </w:p>
        </w:tc>
        <w:tc>
          <w:tcPr>
            <w:tcW w:w="623" w:type="pct"/>
            <w:vAlign w:val="center"/>
          </w:tcPr>
          <w:p w14:paraId="587B5607" w14:textId="77777777" w:rsidR="001C59B7" w:rsidRPr="004B3056" w:rsidRDefault="001C59B7" w:rsidP="001C59B7">
            <w:pPr>
              <w:spacing w:after="0" w:line="240" w:lineRule="auto"/>
              <w:rPr>
                <w:rFonts w:cs="Arial"/>
                <w:bCs/>
                <w:caps/>
                <w:sz w:val="17"/>
                <w:szCs w:val="17"/>
                <w:lang w:val="fr-FR" w:eastAsia="zh-CN"/>
              </w:rPr>
            </w:pPr>
          </w:p>
        </w:tc>
        <w:tc>
          <w:tcPr>
            <w:tcW w:w="736" w:type="pct"/>
            <w:vAlign w:val="center"/>
          </w:tcPr>
          <w:p w14:paraId="0EA037F1" w14:textId="77777777" w:rsidR="001C59B7" w:rsidRPr="004B3056" w:rsidRDefault="001C59B7" w:rsidP="001C59B7">
            <w:pPr>
              <w:spacing w:after="0" w:line="240" w:lineRule="auto"/>
              <w:rPr>
                <w:rFonts w:cs="Arial"/>
                <w:bCs/>
                <w:caps/>
                <w:sz w:val="17"/>
                <w:szCs w:val="17"/>
                <w:lang w:val="fr-FR" w:eastAsia="zh-CN"/>
              </w:rPr>
            </w:pPr>
            <w:r w:rsidRPr="004B3056">
              <w:rPr>
                <w:rFonts w:cs="Arial"/>
                <w:bCs/>
                <w:sz w:val="17"/>
                <w:szCs w:val="17"/>
                <w:lang w:val="fr-FR" w:eastAsia="zh-CN"/>
              </w:rPr>
              <w:t>Reso Climat et ONG membres</w:t>
            </w:r>
          </w:p>
        </w:tc>
        <w:tc>
          <w:tcPr>
            <w:tcW w:w="602" w:type="pct"/>
            <w:shd w:val="clear" w:color="auto" w:fill="auto"/>
            <w:vAlign w:val="center"/>
          </w:tcPr>
          <w:p w14:paraId="338ED385"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2015 – 2020</w:t>
            </w:r>
          </w:p>
        </w:tc>
        <w:tc>
          <w:tcPr>
            <w:tcW w:w="747" w:type="pct"/>
            <w:shd w:val="clear" w:color="auto" w:fill="auto"/>
            <w:vAlign w:val="center"/>
          </w:tcPr>
          <w:p w14:paraId="09556D49"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USD 2.669.261</w:t>
            </w:r>
          </w:p>
        </w:tc>
      </w:tr>
      <w:tr w:rsidR="001C59B7" w:rsidRPr="004B3056" w14:paraId="04FD9C0B" w14:textId="77777777" w:rsidTr="00BA1953">
        <w:tc>
          <w:tcPr>
            <w:tcW w:w="613" w:type="pct"/>
            <w:vAlign w:val="center"/>
          </w:tcPr>
          <w:p w14:paraId="2EF10404" w14:textId="77777777" w:rsidR="001C59B7" w:rsidRPr="004B3056" w:rsidRDefault="001C59B7" w:rsidP="001C59B7">
            <w:pPr>
              <w:spacing w:after="0" w:line="240" w:lineRule="auto"/>
              <w:rPr>
                <w:rFonts w:cs="Arial"/>
                <w:bCs/>
                <w:sz w:val="17"/>
                <w:szCs w:val="17"/>
                <w:lang w:val="fr-FR" w:eastAsia="zh-CN"/>
              </w:rPr>
            </w:pPr>
            <w:r w:rsidRPr="004B3056">
              <w:rPr>
                <w:rFonts w:cs="Arial"/>
                <w:bCs/>
                <w:sz w:val="17"/>
                <w:szCs w:val="17"/>
                <w:lang w:val="fr-FR" w:eastAsia="zh-CN"/>
              </w:rPr>
              <w:t>OSRO / MLI / 70 1 / SWE</w:t>
            </w:r>
          </w:p>
        </w:tc>
        <w:tc>
          <w:tcPr>
            <w:tcW w:w="1679" w:type="pct"/>
            <w:vAlign w:val="center"/>
          </w:tcPr>
          <w:p w14:paraId="6F33D24F" w14:textId="77777777" w:rsidR="001C59B7" w:rsidRPr="004B3056" w:rsidRDefault="001C59B7" w:rsidP="001C59B7">
            <w:pPr>
              <w:spacing w:after="0" w:line="240" w:lineRule="auto"/>
              <w:rPr>
                <w:rFonts w:cs="Arial"/>
                <w:bCs/>
                <w:sz w:val="17"/>
                <w:szCs w:val="17"/>
                <w:lang w:val="fr-FR" w:eastAsia="zh-CN"/>
              </w:rPr>
            </w:pPr>
            <w:r w:rsidRPr="004B3056">
              <w:rPr>
                <w:rFonts w:cs="Arial"/>
                <w:bCs/>
                <w:sz w:val="17"/>
                <w:szCs w:val="17"/>
                <w:lang w:val="fr-FR" w:eastAsia="zh-CN"/>
              </w:rPr>
              <w:t xml:space="preserve">Renforcement de la résilience des ménages vulnérables </w:t>
            </w:r>
            <w:r w:rsidR="00865CCB" w:rsidRPr="004B3056">
              <w:rPr>
                <w:rFonts w:cs="Arial"/>
                <w:bCs/>
                <w:sz w:val="17"/>
                <w:szCs w:val="17"/>
                <w:lang w:val="fr-FR" w:eastAsia="zh-CN"/>
              </w:rPr>
              <w:t>d’agro</w:t>
            </w:r>
            <w:r w:rsidRPr="004B3056">
              <w:rPr>
                <w:rFonts w:cs="Arial"/>
                <w:bCs/>
                <w:sz w:val="17"/>
                <w:szCs w:val="17"/>
                <w:lang w:val="fr-FR" w:eastAsia="zh-CN"/>
              </w:rPr>
              <w:t xml:space="preserve">- pasteurs touchés par la crise de la sécurité et le changement climatique dans les régions de Gao, Ménaka et Tombouctou </w:t>
            </w:r>
          </w:p>
        </w:tc>
        <w:tc>
          <w:tcPr>
            <w:tcW w:w="623" w:type="pct"/>
            <w:vAlign w:val="center"/>
          </w:tcPr>
          <w:p w14:paraId="32181E21" w14:textId="77777777" w:rsidR="001C59B7" w:rsidRPr="004B3056" w:rsidRDefault="001C59B7" w:rsidP="001C59B7">
            <w:pPr>
              <w:spacing w:after="0" w:line="240" w:lineRule="auto"/>
              <w:rPr>
                <w:rFonts w:cs="Arial"/>
                <w:bCs/>
                <w:caps/>
                <w:sz w:val="17"/>
                <w:szCs w:val="17"/>
                <w:lang w:val="fr-FR" w:eastAsia="zh-CN"/>
              </w:rPr>
            </w:pPr>
          </w:p>
        </w:tc>
        <w:tc>
          <w:tcPr>
            <w:tcW w:w="736" w:type="pct"/>
            <w:vAlign w:val="center"/>
          </w:tcPr>
          <w:p w14:paraId="6248B486" w14:textId="77777777" w:rsidR="001C59B7" w:rsidRPr="004B3056" w:rsidRDefault="001C59B7" w:rsidP="001C59B7">
            <w:pPr>
              <w:spacing w:after="0" w:line="240" w:lineRule="auto"/>
              <w:rPr>
                <w:rFonts w:cs="Arial"/>
                <w:bCs/>
                <w:sz w:val="17"/>
                <w:szCs w:val="17"/>
                <w:lang w:val="fr-FR" w:eastAsia="zh-CN"/>
              </w:rPr>
            </w:pPr>
            <w:r w:rsidRPr="004B3056">
              <w:rPr>
                <w:rFonts w:cs="Arial"/>
                <w:bCs/>
                <w:sz w:val="17"/>
                <w:szCs w:val="17"/>
                <w:lang w:val="fr-FR" w:eastAsia="zh-CN"/>
              </w:rPr>
              <w:t>DRA, DRPIA, ONG</w:t>
            </w:r>
          </w:p>
        </w:tc>
        <w:tc>
          <w:tcPr>
            <w:tcW w:w="602" w:type="pct"/>
            <w:shd w:val="clear" w:color="auto" w:fill="auto"/>
            <w:vAlign w:val="center"/>
          </w:tcPr>
          <w:p w14:paraId="1A425F09"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2017 - 2019</w:t>
            </w:r>
          </w:p>
        </w:tc>
        <w:tc>
          <w:tcPr>
            <w:tcW w:w="747" w:type="pct"/>
            <w:shd w:val="clear" w:color="auto" w:fill="auto"/>
            <w:vAlign w:val="center"/>
          </w:tcPr>
          <w:p w14:paraId="7F449463"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1.084.950.720 F.CFA</w:t>
            </w:r>
          </w:p>
        </w:tc>
      </w:tr>
      <w:tr w:rsidR="001C59B7" w:rsidRPr="004B3056" w14:paraId="3AA83228" w14:textId="77777777" w:rsidTr="00BA1953">
        <w:tc>
          <w:tcPr>
            <w:tcW w:w="613" w:type="pct"/>
            <w:vAlign w:val="center"/>
          </w:tcPr>
          <w:p w14:paraId="10581210" w14:textId="77777777" w:rsidR="001C59B7" w:rsidRPr="004B3056" w:rsidRDefault="001C59B7" w:rsidP="001C59B7">
            <w:pPr>
              <w:spacing w:after="0" w:line="240" w:lineRule="auto"/>
              <w:rPr>
                <w:rFonts w:cs="Arial"/>
                <w:bCs/>
                <w:sz w:val="17"/>
                <w:szCs w:val="17"/>
                <w:lang w:val="fr-FR" w:eastAsia="zh-CN"/>
              </w:rPr>
            </w:pPr>
          </w:p>
        </w:tc>
        <w:tc>
          <w:tcPr>
            <w:tcW w:w="1679" w:type="pct"/>
            <w:vAlign w:val="center"/>
          </w:tcPr>
          <w:p w14:paraId="1DB9AEE8" w14:textId="77777777" w:rsidR="001C59B7" w:rsidRPr="004B3056" w:rsidRDefault="001C59B7" w:rsidP="001C59B7">
            <w:pPr>
              <w:spacing w:after="0" w:line="240" w:lineRule="auto"/>
              <w:rPr>
                <w:rFonts w:cs="Arial"/>
                <w:bCs/>
                <w:sz w:val="17"/>
                <w:szCs w:val="17"/>
                <w:lang w:val="fr-FR" w:eastAsia="zh-CN"/>
              </w:rPr>
            </w:pPr>
            <w:r w:rsidRPr="004B3056">
              <w:rPr>
                <w:rFonts w:cs="Arial"/>
                <w:bCs/>
                <w:sz w:val="17"/>
                <w:szCs w:val="17"/>
                <w:lang w:val="fr-FR" w:eastAsia="zh-CN"/>
              </w:rPr>
              <w:t>Appui aux Bozos du Wassoulou Ballé dans l’adaptation aux changements climatiques à travers l’aménagement des étangs piscicoles et l’élevage des petits ruminants</w:t>
            </w:r>
          </w:p>
        </w:tc>
        <w:tc>
          <w:tcPr>
            <w:tcW w:w="623" w:type="pct"/>
            <w:vAlign w:val="center"/>
          </w:tcPr>
          <w:p w14:paraId="7777AB82" w14:textId="77777777" w:rsidR="001C59B7" w:rsidRPr="004B3056" w:rsidRDefault="001C59B7" w:rsidP="001C59B7">
            <w:pPr>
              <w:spacing w:after="0" w:line="240" w:lineRule="auto"/>
              <w:rPr>
                <w:rFonts w:cs="Arial"/>
                <w:bCs/>
                <w:caps/>
                <w:sz w:val="17"/>
                <w:szCs w:val="17"/>
                <w:lang w:val="fr-FR" w:eastAsia="zh-CN"/>
              </w:rPr>
            </w:pPr>
          </w:p>
        </w:tc>
        <w:tc>
          <w:tcPr>
            <w:tcW w:w="736" w:type="pct"/>
            <w:vAlign w:val="center"/>
          </w:tcPr>
          <w:p w14:paraId="44FB8107" w14:textId="77777777" w:rsidR="001C59B7" w:rsidRPr="004B3056" w:rsidRDefault="001C59B7" w:rsidP="001C59B7">
            <w:pPr>
              <w:spacing w:after="0" w:line="240" w:lineRule="auto"/>
              <w:rPr>
                <w:rFonts w:cs="Arial"/>
                <w:bCs/>
                <w:sz w:val="17"/>
                <w:szCs w:val="17"/>
                <w:lang w:val="fr-FR" w:eastAsia="zh-CN"/>
              </w:rPr>
            </w:pPr>
            <w:r w:rsidRPr="004B3056">
              <w:rPr>
                <w:rFonts w:cs="Arial"/>
                <w:bCs/>
                <w:sz w:val="17"/>
                <w:szCs w:val="17"/>
                <w:lang w:val="fr-FR" w:eastAsia="zh-CN"/>
              </w:rPr>
              <w:t>PACINDHA</w:t>
            </w:r>
          </w:p>
        </w:tc>
        <w:tc>
          <w:tcPr>
            <w:tcW w:w="602" w:type="pct"/>
            <w:shd w:val="clear" w:color="auto" w:fill="auto"/>
            <w:vAlign w:val="center"/>
          </w:tcPr>
          <w:p w14:paraId="7F91CB78"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2017 - 2019</w:t>
            </w:r>
          </w:p>
        </w:tc>
        <w:tc>
          <w:tcPr>
            <w:tcW w:w="747" w:type="pct"/>
            <w:shd w:val="clear" w:color="auto" w:fill="auto"/>
            <w:vAlign w:val="center"/>
          </w:tcPr>
          <w:p w14:paraId="1737CA4F"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68 100 000</w:t>
            </w:r>
          </w:p>
          <w:p w14:paraId="5258FB29"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F.CFA</w:t>
            </w:r>
          </w:p>
        </w:tc>
      </w:tr>
      <w:tr w:rsidR="001C59B7" w:rsidRPr="004B3056" w14:paraId="11234965" w14:textId="77777777" w:rsidTr="00BA1953">
        <w:tc>
          <w:tcPr>
            <w:tcW w:w="613" w:type="pct"/>
            <w:vAlign w:val="center"/>
          </w:tcPr>
          <w:p w14:paraId="6198EF56" w14:textId="77777777" w:rsidR="001C59B7" w:rsidRPr="004B3056" w:rsidRDefault="001C59B7" w:rsidP="001C59B7">
            <w:pPr>
              <w:spacing w:after="0" w:line="240" w:lineRule="auto"/>
              <w:rPr>
                <w:rFonts w:cs="Arial"/>
                <w:bCs/>
                <w:sz w:val="17"/>
                <w:szCs w:val="17"/>
                <w:lang w:val="fr-FR" w:eastAsia="zh-CN"/>
              </w:rPr>
            </w:pPr>
          </w:p>
        </w:tc>
        <w:tc>
          <w:tcPr>
            <w:tcW w:w="1679" w:type="pct"/>
            <w:vAlign w:val="center"/>
          </w:tcPr>
          <w:p w14:paraId="4322A908" w14:textId="77777777" w:rsidR="001C59B7" w:rsidRPr="004B3056" w:rsidRDefault="001C59B7" w:rsidP="001C59B7">
            <w:pPr>
              <w:spacing w:after="0" w:line="240" w:lineRule="auto"/>
              <w:rPr>
                <w:rFonts w:cs="Arial"/>
                <w:bCs/>
                <w:sz w:val="17"/>
                <w:szCs w:val="17"/>
                <w:lang w:val="fr-FR" w:eastAsia="zh-CN"/>
              </w:rPr>
            </w:pPr>
            <w:r w:rsidRPr="004B3056">
              <w:rPr>
                <w:rFonts w:cs="Arial"/>
                <w:bCs/>
                <w:sz w:val="17"/>
                <w:szCs w:val="17"/>
                <w:lang w:val="fr-FR" w:eastAsia="zh-CN"/>
              </w:rPr>
              <w:t>Fonds Climat Mali</w:t>
            </w:r>
          </w:p>
        </w:tc>
        <w:tc>
          <w:tcPr>
            <w:tcW w:w="623" w:type="pct"/>
            <w:vAlign w:val="center"/>
          </w:tcPr>
          <w:p w14:paraId="23BB7C3D"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Norvège</w:t>
            </w:r>
          </w:p>
        </w:tc>
        <w:tc>
          <w:tcPr>
            <w:tcW w:w="736" w:type="pct"/>
            <w:vAlign w:val="center"/>
          </w:tcPr>
          <w:p w14:paraId="6A99EBF3" w14:textId="77777777" w:rsidR="001C59B7" w:rsidRPr="004B3056" w:rsidRDefault="001C59B7" w:rsidP="001C59B7">
            <w:pPr>
              <w:spacing w:after="0" w:line="240" w:lineRule="auto"/>
              <w:rPr>
                <w:rFonts w:cs="Arial"/>
                <w:bCs/>
                <w:sz w:val="17"/>
                <w:szCs w:val="17"/>
                <w:lang w:val="fr-FR" w:eastAsia="zh-CN"/>
              </w:rPr>
            </w:pPr>
          </w:p>
        </w:tc>
        <w:tc>
          <w:tcPr>
            <w:tcW w:w="602" w:type="pct"/>
            <w:shd w:val="clear" w:color="auto" w:fill="auto"/>
            <w:vAlign w:val="center"/>
          </w:tcPr>
          <w:p w14:paraId="2DFDC788" w14:textId="77777777" w:rsidR="001C59B7" w:rsidRPr="004B3056" w:rsidRDefault="001C59B7" w:rsidP="001C59B7">
            <w:pPr>
              <w:spacing w:after="0" w:line="240" w:lineRule="auto"/>
              <w:rPr>
                <w:rFonts w:cs="Arial"/>
                <w:bCs/>
                <w:caps/>
                <w:sz w:val="17"/>
                <w:szCs w:val="17"/>
                <w:lang w:val="fr-FR" w:eastAsia="zh-CN"/>
              </w:rPr>
            </w:pPr>
            <w:r w:rsidRPr="004B3056">
              <w:rPr>
                <w:rFonts w:cs="Arial"/>
                <w:bCs/>
                <w:sz w:val="17"/>
                <w:szCs w:val="17"/>
                <w:lang w:val="fr-FR" w:eastAsia="zh-CN"/>
              </w:rPr>
              <w:t xml:space="preserve"> Depuis </w:t>
            </w:r>
            <w:r w:rsidRPr="004B3056">
              <w:rPr>
                <w:rFonts w:cs="Arial"/>
                <w:bCs/>
                <w:caps/>
                <w:sz w:val="17"/>
                <w:szCs w:val="17"/>
                <w:lang w:val="fr-FR" w:eastAsia="zh-CN"/>
              </w:rPr>
              <w:t>2014 continu</w:t>
            </w:r>
          </w:p>
        </w:tc>
        <w:tc>
          <w:tcPr>
            <w:tcW w:w="747" w:type="pct"/>
            <w:shd w:val="clear" w:color="auto" w:fill="auto"/>
            <w:vAlign w:val="center"/>
          </w:tcPr>
          <w:p w14:paraId="7BDC88B7"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S</w:t>
            </w:r>
            <w:r w:rsidRPr="004B3056">
              <w:rPr>
                <w:rFonts w:cs="Arial"/>
                <w:bCs/>
                <w:sz w:val="17"/>
                <w:szCs w:val="17"/>
                <w:lang w:val="fr-FR" w:eastAsia="zh-CN"/>
              </w:rPr>
              <w:t>uède</w:t>
            </w:r>
            <w:r w:rsidRPr="004B3056">
              <w:rPr>
                <w:rFonts w:cs="Arial"/>
                <w:bCs/>
                <w:caps/>
                <w:sz w:val="17"/>
                <w:szCs w:val="17"/>
                <w:lang w:val="fr-FR" w:eastAsia="zh-CN"/>
              </w:rPr>
              <w:t>: 3.902.440 €</w:t>
            </w:r>
          </w:p>
          <w:p w14:paraId="5675CC4A"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N</w:t>
            </w:r>
            <w:r w:rsidRPr="004B3056">
              <w:rPr>
                <w:rFonts w:cs="Arial"/>
                <w:bCs/>
                <w:sz w:val="17"/>
                <w:szCs w:val="17"/>
                <w:lang w:val="fr-FR" w:eastAsia="zh-CN"/>
              </w:rPr>
              <w:t>orv.:</w:t>
            </w:r>
            <w:r w:rsidRPr="004B3056">
              <w:rPr>
                <w:rFonts w:cs="Arial"/>
                <w:bCs/>
                <w:caps/>
                <w:sz w:val="17"/>
                <w:szCs w:val="17"/>
                <w:lang w:val="fr-FR" w:eastAsia="zh-CN"/>
              </w:rPr>
              <w:t> 2.984.756 €</w:t>
            </w:r>
          </w:p>
          <w:p w14:paraId="002B1DCF"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(2017 – 2019)</w:t>
            </w:r>
          </w:p>
        </w:tc>
      </w:tr>
      <w:tr w:rsidR="001C59B7" w:rsidRPr="004B3056" w14:paraId="7811BE75" w14:textId="77777777" w:rsidTr="00BA1953">
        <w:tc>
          <w:tcPr>
            <w:tcW w:w="613" w:type="pct"/>
            <w:vAlign w:val="center"/>
          </w:tcPr>
          <w:p w14:paraId="11C36E34" w14:textId="77777777" w:rsidR="001C59B7" w:rsidRPr="004B3056" w:rsidRDefault="001C59B7" w:rsidP="001C59B7">
            <w:pPr>
              <w:spacing w:after="0" w:line="240" w:lineRule="auto"/>
              <w:rPr>
                <w:rFonts w:cs="Arial"/>
                <w:bCs/>
                <w:sz w:val="17"/>
                <w:szCs w:val="17"/>
                <w:lang w:val="fr-FR" w:eastAsia="zh-CN"/>
              </w:rPr>
            </w:pPr>
            <w:r w:rsidRPr="004B3056">
              <w:rPr>
                <w:rFonts w:cs="Arial"/>
                <w:bCs/>
                <w:sz w:val="17"/>
                <w:szCs w:val="17"/>
                <w:lang w:val="fr-FR" w:eastAsia="zh-CN"/>
              </w:rPr>
              <w:t>PCA - GIRE</w:t>
            </w:r>
          </w:p>
        </w:tc>
        <w:tc>
          <w:tcPr>
            <w:tcW w:w="1679" w:type="pct"/>
            <w:vAlign w:val="center"/>
          </w:tcPr>
          <w:p w14:paraId="11677FD1" w14:textId="77777777" w:rsidR="001C59B7" w:rsidRPr="004B3056" w:rsidRDefault="001C59B7" w:rsidP="001C59B7">
            <w:pPr>
              <w:spacing w:after="0" w:line="240" w:lineRule="auto"/>
              <w:rPr>
                <w:rFonts w:cs="Arial"/>
                <w:bCs/>
                <w:sz w:val="17"/>
                <w:szCs w:val="17"/>
                <w:lang w:val="fr-FR" w:eastAsia="zh-CN"/>
              </w:rPr>
            </w:pPr>
            <w:r w:rsidRPr="004B3056">
              <w:rPr>
                <w:rFonts w:cs="Arial"/>
                <w:bCs/>
                <w:sz w:val="17"/>
                <w:szCs w:val="17"/>
                <w:lang w:val="fr-FR" w:eastAsia="zh-CN"/>
              </w:rPr>
              <w:t>Programme Conjoint d'Appui à la GIRE</w:t>
            </w:r>
          </w:p>
        </w:tc>
        <w:tc>
          <w:tcPr>
            <w:tcW w:w="623" w:type="pct"/>
            <w:vAlign w:val="center"/>
          </w:tcPr>
          <w:p w14:paraId="4A9F2011"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Pays Bas</w:t>
            </w:r>
          </w:p>
        </w:tc>
        <w:tc>
          <w:tcPr>
            <w:tcW w:w="736" w:type="pct"/>
            <w:vAlign w:val="center"/>
          </w:tcPr>
          <w:p w14:paraId="559DFF7A" w14:textId="77777777" w:rsidR="001C59B7" w:rsidRPr="004B3056" w:rsidRDefault="001C59B7" w:rsidP="001C59B7">
            <w:pPr>
              <w:spacing w:after="0" w:line="240" w:lineRule="auto"/>
              <w:rPr>
                <w:rFonts w:cs="Arial"/>
                <w:bCs/>
                <w:sz w:val="17"/>
                <w:szCs w:val="17"/>
                <w:lang w:val="fr-FR" w:eastAsia="zh-CN"/>
              </w:rPr>
            </w:pPr>
          </w:p>
        </w:tc>
        <w:tc>
          <w:tcPr>
            <w:tcW w:w="602" w:type="pct"/>
            <w:shd w:val="clear" w:color="auto" w:fill="auto"/>
            <w:vAlign w:val="center"/>
          </w:tcPr>
          <w:p w14:paraId="295ECC6E" w14:textId="77777777" w:rsidR="001C59B7" w:rsidRPr="004B3056" w:rsidRDefault="001C59B7" w:rsidP="001C59B7">
            <w:pPr>
              <w:spacing w:after="0" w:line="240" w:lineRule="auto"/>
              <w:rPr>
                <w:rFonts w:cs="Arial"/>
                <w:bCs/>
                <w:sz w:val="17"/>
                <w:szCs w:val="17"/>
                <w:lang w:val="fr-FR" w:eastAsia="zh-CN"/>
              </w:rPr>
            </w:pPr>
            <w:r w:rsidRPr="004B3056">
              <w:rPr>
                <w:rFonts w:cs="Arial"/>
                <w:bCs/>
                <w:sz w:val="17"/>
                <w:szCs w:val="17"/>
                <w:lang w:val="fr-FR" w:eastAsia="zh-CN"/>
              </w:rPr>
              <w:t>2015 - 2019</w:t>
            </w:r>
          </w:p>
        </w:tc>
        <w:tc>
          <w:tcPr>
            <w:tcW w:w="747" w:type="pct"/>
            <w:shd w:val="clear" w:color="auto" w:fill="auto"/>
            <w:vAlign w:val="center"/>
          </w:tcPr>
          <w:p w14:paraId="34D55B06" w14:textId="77777777" w:rsidR="001C59B7" w:rsidRPr="004B3056" w:rsidRDefault="001C59B7" w:rsidP="001C59B7">
            <w:pPr>
              <w:spacing w:after="0" w:line="240" w:lineRule="auto"/>
              <w:rPr>
                <w:rFonts w:cs="Arial"/>
                <w:bCs/>
                <w:caps/>
                <w:sz w:val="17"/>
                <w:szCs w:val="17"/>
                <w:lang w:val="fr-FR" w:eastAsia="zh-CN"/>
              </w:rPr>
            </w:pPr>
          </w:p>
        </w:tc>
      </w:tr>
      <w:tr w:rsidR="001C59B7" w:rsidRPr="004B3056" w14:paraId="7DA6AEB7" w14:textId="77777777" w:rsidTr="00BA1953">
        <w:tc>
          <w:tcPr>
            <w:tcW w:w="613" w:type="pct"/>
            <w:vAlign w:val="center"/>
          </w:tcPr>
          <w:p w14:paraId="5BC48111" w14:textId="77777777" w:rsidR="001C59B7" w:rsidRPr="004B3056" w:rsidRDefault="001C59B7" w:rsidP="001C59B7">
            <w:pPr>
              <w:spacing w:after="0" w:line="240" w:lineRule="auto"/>
              <w:rPr>
                <w:rFonts w:cs="Arial"/>
                <w:bCs/>
                <w:caps/>
                <w:sz w:val="17"/>
                <w:szCs w:val="17"/>
                <w:lang w:val="fr-FR" w:eastAsia="zh-CN"/>
              </w:rPr>
            </w:pPr>
          </w:p>
        </w:tc>
        <w:tc>
          <w:tcPr>
            <w:tcW w:w="1679" w:type="pct"/>
            <w:vAlign w:val="center"/>
          </w:tcPr>
          <w:p w14:paraId="1C985F0A" w14:textId="77777777" w:rsidR="001C59B7" w:rsidRPr="004B3056" w:rsidRDefault="001C59B7" w:rsidP="001C59B7">
            <w:pPr>
              <w:spacing w:after="0" w:line="240" w:lineRule="auto"/>
              <w:rPr>
                <w:rFonts w:cs="Arial"/>
                <w:bCs/>
                <w:sz w:val="17"/>
                <w:szCs w:val="17"/>
                <w:lang w:val="fr-FR" w:eastAsia="zh-CN"/>
              </w:rPr>
            </w:pPr>
            <w:r w:rsidRPr="004B3056">
              <w:rPr>
                <w:rFonts w:cs="Arial"/>
                <w:bCs/>
                <w:sz w:val="17"/>
                <w:szCs w:val="17"/>
                <w:lang w:val="fr-FR" w:eastAsia="zh-CN"/>
              </w:rPr>
              <w:t>Gouvernance Environnementale en Afrique de l’Ouest (régional)</w:t>
            </w:r>
          </w:p>
        </w:tc>
        <w:tc>
          <w:tcPr>
            <w:tcW w:w="623" w:type="pct"/>
            <w:vAlign w:val="center"/>
          </w:tcPr>
          <w:p w14:paraId="1C82D1C2"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UICN</w:t>
            </w:r>
          </w:p>
        </w:tc>
        <w:tc>
          <w:tcPr>
            <w:tcW w:w="736" w:type="pct"/>
            <w:vAlign w:val="center"/>
          </w:tcPr>
          <w:p w14:paraId="61B5D21F" w14:textId="77777777" w:rsidR="001C59B7" w:rsidRPr="004B3056" w:rsidRDefault="001C59B7" w:rsidP="001C59B7">
            <w:pPr>
              <w:spacing w:after="0" w:line="240" w:lineRule="auto"/>
              <w:rPr>
                <w:rFonts w:cs="Arial"/>
                <w:bCs/>
                <w:sz w:val="17"/>
                <w:szCs w:val="17"/>
                <w:lang w:val="fr-FR" w:eastAsia="zh-CN"/>
              </w:rPr>
            </w:pPr>
          </w:p>
        </w:tc>
        <w:tc>
          <w:tcPr>
            <w:tcW w:w="602" w:type="pct"/>
            <w:shd w:val="clear" w:color="auto" w:fill="auto"/>
            <w:vAlign w:val="center"/>
          </w:tcPr>
          <w:p w14:paraId="174AD684" w14:textId="77777777" w:rsidR="001C59B7" w:rsidRPr="004B3056" w:rsidRDefault="001C59B7" w:rsidP="001C59B7">
            <w:pPr>
              <w:spacing w:after="0" w:line="240" w:lineRule="auto"/>
              <w:rPr>
                <w:rFonts w:cs="Arial"/>
                <w:bCs/>
                <w:sz w:val="17"/>
                <w:szCs w:val="17"/>
                <w:lang w:val="fr-FR" w:eastAsia="zh-CN"/>
              </w:rPr>
            </w:pPr>
            <w:r w:rsidRPr="004B3056">
              <w:rPr>
                <w:rFonts w:cs="Arial"/>
                <w:bCs/>
                <w:sz w:val="17"/>
                <w:szCs w:val="17"/>
                <w:lang w:val="fr-FR" w:eastAsia="zh-CN"/>
              </w:rPr>
              <w:t>Démarrage prévu en 2015</w:t>
            </w:r>
          </w:p>
        </w:tc>
        <w:tc>
          <w:tcPr>
            <w:tcW w:w="747" w:type="pct"/>
            <w:shd w:val="clear" w:color="auto" w:fill="auto"/>
            <w:vAlign w:val="center"/>
          </w:tcPr>
          <w:p w14:paraId="2D1444F8" w14:textId="77777777" w:rsidR="001C59B7" w:rsidRPr="004B3056" w:rsidRDefault="001C59B7" w:rsidP="001C59B7">
            <w:pPr>
              <w:spacing w:after="0" w:line="240" w:lineRule="auto"/>
              <w:rPr>
                <w:rFonts w:cs="Arial"/>
                <w:bCs/>
                <w:sz w:val="17"/>
                <w:szCs w:val="17"/>
                <w:lang w:val="fr-FR" w:eastAsia="zh-CN"/>
              </w:rPr>
            </w:pPr>
          </w:p>
        </w:tc>
      </w:tr>
    </w:tbl>
    <w:p w14:paraId="7E898D66" w14:textId="77777777" w:rsidR="001C59B7" w:rsidRPr="004B3056" w:rsidRDefault="001C59B7" w:rsidP="001C59B7">
      <w:pPr>
        <w:spacing w:after="0" w:line="240" w:lineRule="auto"/>
        <w:rPr>
          <w:rFonts w:eastAsia="SimSun" w:cs="Arial"/>
          <w:sz w:val="18"/>
          <w:szCs w:val="18"/>
          <w:u w:val="single"/>
          <w:lang w:val="fr-FR" w:eastAsia="zh-CN"/>
        </w:rPr>
      </w:pPr>
    </w:p>
    <w:p w14:paraId="7E028A0C" w14:textId="77777777" w:rsidR="001C59B7" w:rsidRPr="004B3056" w:rsidRDefault="001C59B7" w:rsidP="001C59B7">
      <w:pPr>
        <w:spacing w:after="0" w:line="240" w:lineRule="auto"/>
        <w:rPr>
          <w:rFonts w:eastAsia="SimSun" w:cs="Arial"/>
          <w:sz w:val="18"/>
          <w:szCs w:val="18"/>
          <w:lang w:val="fr-FR" w:eastAsia="zh-CN"/>
        </w:rPr>
      </w:pPr>
      <w:r w:rsidRPr="004B3056">
        <w:rPr>
          <w:rFonts w:eastAsia="SimSun" w:cs="Arial"/>
          <w:sz w:val="18"/>
          <w:szCs w:val="18"/>
          <w:lang w:val="fr-FR" w:eastAsia="zh-CN"/>
        </w:rPr>
        <w:t>Fonds Climat Mali /Suède et Norvège)</w:t>
      </w:r>
    </w:p>
    <w:tbl>
      <w:tblPr>
        <w:tblStyle w:val="Tabellenraster3"/>
        <w:tblW w:w="5000" w:type="pct"/>
        <w:tblLook w:val="01E0" w:firstRow="1" w:lastRow="1" w:firstColumn="1" w:lastColumn="1" w:noHBand="0" w:noVBand="0"/>
      </w:tblPr>
      <w:tblGrid>
        <w:gridCol w:w="1419"/>
        <w:gridCol w:w="3889"/>
        <w:gridCol w:w="1705"/>
        <w:gridCol w:w="1393"/>
        <w:gridCol w:w="1731"/>
      </w:tblGrid>
      <w:tr w:rsidR="001C59B7" w:rsidRPr="004B3056" w14:paraId="17A96AE7" w14:textId="77777777" w:rsidTr="00BA1953">
        <w:trPr>
          <w:cantSplit/>
          <w:tblHeader/>
        </w:trPr>
        <w:tc>
          <w:tcPr>
            <w:tcW w:w="700" w:type="pct"/>
            <w:shd w:val="clear" w:color="auto" w:fill="D9D9D9"/>
            <w:vAlign w:val="center"/>
          </w:tcPr>
          <w:p w14:paraId="4276E246"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Projet Abr.</w:t>
            </w:r>
          </w:p>
        </w:tc>
        <w:tc>
          <w:tcPr>
            <w:tcW w:w="1918" w:type="pct"/>
            <w:shd w:val="clear" w:color="auto" w:fill="D9D9D9"/>
            <w:vAlign w:val="center"/>
          </w:tcPr>
          <w:p w14:paraId="65D37144"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Projet</w:t>
            </w:r>
          </w:p>
        </w:tc>
        <w:tc>
          <w:tcPr>
            <w:tcW w:w="841" w:type="pct"/>
            <w:shd w:val="clear" w:color="auto" w:fill="D9D9D9"/>
            <w:vAlign w:val="center"/>
          </w:tcPr>
          <w:p w14:paraId="7BAD35BC"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Partenaire de mise en oeuvre</w:t>
            </w:r>
          </w:p>
        </w:tc>
        <w:tc>
          <w:tcPr>
            <w:tcW w:w="687" w:type="pct"/>
            <w:shd w:val="clear" w:color="auto" w:fill="D9D9D9"/>
            <w:vAlign w:val="center"/>
          </w:tcPr>
          <w:p w14:paraId="3EF36D0D"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Durée</w:t>
            </w:r>
          </w:p>
        </w:tc>
        <w:tc>
          <w:tcPr>
            <w:tcW w:w="854" w:type="pct"/>
            <w:shd w:val="clear" w:color="auto" w:fill="D9D9D9"/>
            <w:vAlign w:val="center"/>
          </w:tcPr>
          <w:p w14:paraId="1BAB5A06"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Montant (€)</w:t>
            </w:r>
          </w:p>
        </w:tc>
      </w:tr>
      <w:tr w:rsidR="001C59B7" w:rsidRPr="004B3056" w14:paraId="33E8EC10" w14:textId="77777777" w:rsidTr="00BA1953">
        <w:tc>
          <w:tcPr>
            <w:tcW w:w="700" w:type="pct"/>
            <w:vAlign w:val="center"/>
          </w:tcPr>
          <w:p w14:paraId="5976E7C6"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RTPA</w:t>
            </w:r>
          </w:p>
        </w:tc>
        <w:tc>
          <w:tcPr>
            <w:tcW w:w="1918" w:type="pct"/>
            <w:vAlign w:val="center"/>
          </w:tcPr>
          <w:p w14:paraId="41A67830" w14:textId="77777777" w:rsidR="001C59B7" w:rsidRPr="004B3056" w:rsidRDefault="001C59B7" w:rsidP="001C59B7">
            <w:pPr>
              <w:spacing w:line="240" w:lineRule="auto"/>
              <w:rPr>
                <w:rFonts w:cs="Arial"/>
                <w:bCs/>
                <w:caps/>
                <w:sz w:val="17"/>
                <w:szCs w:val="17"/>
                <w:lang w:val="fr-FR" w:eastAsia="zh-CN"/>
              </w:rPr>
            </w:pPr>
            <w:r w:rsidRPr="004B3056">
              <w:rPr>
                <w:rFonts w:cs="Arial"/>
                <w:bCs/>
                <w:sz w:val="17"/>
                <w:szCs w:val="17"/>
                <w:lang w:val="fr-FR" w:eastAsia="zh-CN"/>
              </w:rPr>
              <w:t>Projet de restauration des terres et productivité agricole « la terre notre avenir »</w:t>
            </w:r>
          </w:p>
        </w:tc>
        <w:tc>
          <w:tcPr>
            <w:tcW w:w="841" w:type="pct"/>
            <w:vAlign w:val="center"/>
          </w:tcPr>
          <w:p w14:paraId="2A5D9A70"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PAM</w:t>
            </w:r>
          </w:p>
        </w:tc>
        <w:tc>
          <w:tcPr>
            <w:tcW w:w="687" w:type="pct"/>
            <w:shd w:val="clear" w:color="auto" w:fill="auto"/>
            <w:vAlign w:val="center"/>
          </w:tcPr>
          <w:p w14:paraId="63FA7BB9"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2014 - 2018</w:t>
            </w:r>
          </w:p>
        </w:tc>
        <w:tc>
          <w:tcPr>
            <w:tcW w:w="854" w:type="pct"/>
            <w:shd w:val="clear" w:color="auto" w:fill="auto"/>
            <w:vAlign w:val="center"/>
          </w:tcPr>
          <w:p w14:paraId="1B695B86"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400.000.000 FCFA</w:t>
            </w:r>
          </w:p>
        </w:tc>
      </w:tr>
      <w:tr w:rsidR="001C59B7" w:rsidRPr="004B3056" w14:paraId="260C6023" w14:textId="77777777" w:rsidTr="00BA1953">
        <w:tc>
          <w:tcPr>
            <w:tcW w:w="700" w:type="pct"/>
            <w:vAlign w:val="center"/>
          </w:tcPr>
          <w:p w14:paraId="09B4E720" w14:textId="77777777" w:rsidR="001C59B7" w:rsidRPr="004B3056" w:rsidRDefault="001C59B7" w:rsidP="001C59B7">
            <w:pPr>
              <w:spacing w:line="240" w:lineRule="auto"/>
              <w:rPr>
                <w:rFonts w:cs="Arial"/>
                <w:bCs/>
                <w:caps/>
                <w:sz w:val="17"/>
                <w:szCs w:val="17"/>
                <w:lang w:val="fr-FR" w:eastAsia="zh-CN"/>
              </w:rPr>
            </w:pPr>
          </w:p>
        </w:tc>
        <w:tc>
          <w:tcPr>
            <w:tcW w:w="1918" w:type="pct"/>
            <w:vAlign w:val="center"/>
          </w:tcPr>
          <w:p w14:paraId="7C136AC6"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Programme de développement des capacités de production aquacole résiliente et durable adaptées aux changements climatiques</w:t>
            </w:r>
          </w:p>
        </w:tc>
        <w:tc>
          <w:tcPr>
            <w:tcW w:w="841" w:type="pct"/>
            <w:vAlign w:val="center"/>
          </w:tcPr>
          <w:p w14:paraId="0FF417F5"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FAO/DNP</w:t>
            </w:r>
          </w:p>
        </w:tc>
        <w:tc>
          <w:tcPr>
            <w:tcW w:w="687" w:type="pct"/>
            <w:shd w:val="clear" w:color="auto" w:fill="auto"/>
            <w:vAlign w:val="center"/>
          </w:tcPr>
          <w:p w14:paraId="2247C662"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2017 - 2019</w:t>
            </w:r>
          </w:p>
        </w:tc>
        <w:tc>
          <w:tcPr>
            <w:tcW w:w="854" w:type="pct"/>
            <w:shd w:val="clear" w:color="auto" w:fill="auto"/>
            <w:vAlign w:val="center"/>
          </w:tcPr>
          <w:p w14:paraId="36924FCE"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504.374.640 FCFA</w:t>
            </w:r>
          </w:p>
        </w:tc>
      </w:tr>
      <w:tr w:rsidR="001C59B7" w:rsidRPr="004B3056" w14:paraId="32415F71" w14:textId="77777777" w:rsidTr="00BA1953">
        <w:tc>
          <w:tcPr>
            <w:tcW w:w="700" w:type="pct"/>
            <w:vAlign w:val="center"/>
          </w:tcPr>
          <w:p w14:paraId="43D0F170" w14:textId="77777777" w:rsidR="001C59B7" w:rsidRPr="004B3056" w:rsidRDefault="001C59B7" w:rsidP="001C59B7">
            <w:pPr>
              <w:spacing w:line="240" w:lineRule="auto"/>
              <w:rPr>
                <w:rFonts w:cs="Arial"/>
                <w:bCs/>
                <w:caps/>
                <w:sz w:val="17"/>
                <w:szCs w:val="17"/>
                <w:lang w:val="fr-FR" w:eastAsia="zh-CN"/>
              </w:rPr>
            </w:pPr>
          </w:p>
        </w:tc>
        <w:tc>
          <w:tcPr>
            <w:tcW w:w="1918" w:type="pct"/>
            <w:vAlign w:val="center"/>
          </w:tcPr>
          <w:p w14:paraId="41CB1D8B"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Programme d’appui à l’amélioration de la productivité agricole, animale, piscicole pour la réduction de la vulnérabilité aux changements climatiques des petites exploitations Agricoles familiales dans le cercle de Kita.</w:t>
            </w:r>
          </w:p>
        </w:tc>
        <w:tc>
          <w:tcPr>
            <w:tcW w:w="841" w:type="pct"/>
            <w:vAlign w:val="center"/>
          </w:tcPr>
          <w:p w14:paraId="28393EC1"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PNUD</w:t>
            </w:r>
          </w:p>
        </w:tc>
        <w:tc>
          <w:tcPr>
            <w:tcW w:w="687" w:type="pct"/>
            <w:shd w:val="clear" w:color="auto" w:fill="auto"/>
            <w:vAlign w:val="center"/>
          </w:tcPr>
          <w:p w14:paraId="3729431D"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2017 - 2019</w:t>
            </w:r>
          </w:p>
        </w:tc>
        <w:tc>
          <w:tcPr>
            <w:tcW w:w="854" w:type="pct"/>
            <w:shd w:val="clear" w:color="auto" w:fill="auto"/>
            <w:vAlign w:val="center"/>
          </w:tcPr>
          <w:p w14:paraId="45007093"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483.245.000</w:t>
            </w:r>
          </w:p>
          <w:p w14:paraId="3CEB845B"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FCFA</w:t>
            </w:r>
          </w:p>
        </w:tc>
      </w:tr>
      <w:tr w:rsidR="001C59B7" w:rsidRPr="004B3056" w14:paraId="262D5765" w14:textId="77777777" w:rsidTr="00BA1953">
        <w:tc>
          <w:tcPr>
            <w:tcW w:w="700" w:type="pct"/>
            <w:vAlign w:val="center"/>
          </w:tcPr>
          <w:p w14:paraId="10F7375D" w14:textId="77777777" w:rsidR="001C59B7" w:rsidRPr="004B3056" w:rsidRDefault="001C59B7" w:rsidP="001C59B7">
            <w:pPr>
              <w:spacing w:line="240" w:lineRule="auto"/>
              <w:rPr>
                <w:rFonts w:cs="Arial"/>
                <w:bCs/>
                <w:caps/>
                <w:sz w:val="17"/>
                <w:szCs w:val="17"/>
                <w:lang w:val="fr-FR" w:eastAsia="zh-CN"/>
              </w:rPr>
            </w:pPr>
          </w:p>
        </w:tc>
        <w:tc>
          <w:tcPr>
            <w:tcW w:w="1918" w:type="pct"/>
            <w:vAlign w:val="center"/>
          </w:tcPr>
          <w:p w14:paraId="77139EEF"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Climat et énergie au Mali (CEMALI)</w:t>
            </w:r>
          </w:p>
        </w:tc>
        <w:tc>
          <w:tcPr>
            <w:tcW w:w="841" w:type="pct"/>
            <w:vAlign w:val="center"/>
          </w:tcPr>
          <w:p w14:paraId="46C520D9"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ONU femmes</w:t>
            </w:r>
          </w:p>
        </w:tc>
        <w:tc>
          <w:tcPr>
            <w:tcW w:w="687" w:type="pct"/>
            <w:shd w:val="clear" w:color="auto" w:fill="auto"/>
            <w:vAlign w:val="center"/>
          </w:tcPr>
          <w:p w14:paraId="1389FF93"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2017 - 2019</w:t>
            </w:r>
          </w:p>
        </w:tc>
        <w:tc>
          <w:tcPr>
            <w:tcW w:w="854" w:type="pct"/>
            <w:shd w:val="clear" w:color="auto" w:fill="auto"/>
            <w:vAlign w:val="center"/>
          </w:tcPr>
          <w:p w14:paraId="301E5C9B"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423.171.000</w:t>
            </w:r>
          </w:p>
          <w:p w14:paraId="17D3749D"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FCFA</w:t>
            </w:r>
          </w:p>
        </w:tc>
      </w:tr>
      <w:tr w:rsidR="001C59B7" w:rsidRPr="004B3056" w14:paraId="02ADCE43" w14:textId="77777777" w:rsidTr="00BA1953">
        <w:tc>
          <w:tcPr>
            <w:tcW w:w="700" w:type="pct"/>
            <w:vAlign w:val="center"/>
          </w:tcPr>
          <w:p w14:paraId="347E858C" w14:textId="77777777" w:rsidR="001C59B7" w:rsidRPr="004B3056" w:rsidRDefault="001C59B7" w:rsidP="001C59B7">
            <w:pPr>
              <w:spacing w:line="240" w:lineRule="auto"/>
              <w:rPr>
                <w:rFonts w:cs="Arial"/>
                <w:bCs/>
                <w:caps/>
                <w:sz w:val="17"/>
                <w:szCs w:val="17"/>
                <w:lang w:val="fr-FR" w:eastAsia="zh-CN"/>
              </w:rPr>
            </w:pPr>
          </w:p>
        </w:tc>
        <w:tc>
          <w:tcPr>
            <w:tcW w:w="1918" w:type="pct"/>
            <w:vAlign w:val="center"/>
          </w:tcPr>
          <w:p w14:paraId="74D62D1D"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 xml:space="preserve">Programme de réduction des effets néfastes des </w:t>
            </w:r>
            <w:r w:rsidRPr="004B3056">
              <w:rPr>
                <w:rFonts w:cs="Arial"/>
                <w:bCs/>
                <w:sz w:val="17"/>
                <w:szCs w:val="17"/>
                <w:lang w:val="fr-FR" w:eastAsia="zh-CN"/>
              </w:rPr>
              <w:lastRenderedPageBreak/>
              <w:t>changements climatiques dans le Delta Intérieur du Niger</w:t>
            </w:r>
          </w:p>
        </w:tc>
        <w:tc>
          <w:tcPr>
            <w:tcW w:w="841" w:type="pct"/>
            <w:vAlign w:val="center"/>
          </w:tcPr>
          <w:p w14:paraId="578DA8E5"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lastRenderedPageBreak/>
              <w:t>PNUD</w:t>
            </w:r>
          </w:p>
        </w:tc>
        <w:tc>
          <w:tcPr>
            <w:tcW w:w="687" w:type="pct"/>
            <w:shd w:val="clear" w:color="auto" w:fill="auto"/>
            <w:vAlign w:val="center"/>
          </w:tcPr>
          <w:p w14:paraId="709540AA"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2017 - 2018</w:t>
            </w:r>
          </w:p>
        </w:tc>
        <w:tc>
          <w:tcPr>
            <w:tcW w:w="854" w:type="pct"/>
            <w:shd w:val="clear" w:color="auto" w:fill="auto"/>
            <w:vAlign w:val="center"/>
          </w:tcPr>
          <w:p w14:paraId="28DEB40B"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472.672.500 F.CFA</w:t>
            </w:r>
          </w:p>
        </w:tc>
      </w:tr>
    </w:tbl>
    <w:p w14:paraId="60CE7FA8" w14:textId="77777777" w:rsidR="001C59B7" w:rsidRPr="004B3056" w:rsidRDefault="001C59B7" w:rsidP="001C59B7">
      <w:pPr>
        <w:spacing w:after="0" w:line="240" w:lineRule="auto"/>
        <w:rPr>
          <w:rFonts w:eastAsia="SimSun" w:cs="Arial"/>
          <w:sz w:val="18"/>
          <w:szCs w:val="18"/>
          <w:u w:val="single"/>
          <w:lang w:val="fr-FR" w:eastAsia="zh-CN"/>
        </w:rPr>
      </w:pPr>
    </w:p>
    <w:p w14:paraId="6D044D63" w14:textId="77777777" w:rsidR="001C59B7" w:rsidRPr="004B3056" w:rsidRDefault="001C59B7" w:rsidP="001C59B7">
      <w:pPr>
        <w:spacing w:after="0" w:line="240" w:lineRule="auto"/>
        <w:rPr>
          <w:rFonts w:eastAsia="SimSun" w:cs="Arial"/>
          <w:sz w:val="18"/>
          <w:szCs w:val="18"/>
          <w:u w:val="single"/>
          <w:lang w:val="fr-FR" w:eastAsia="zh-CN"/>
        </w:rPr>
      </w:pPr>
    </w:p>
    <w:p w14:paraId="5919BB63" w14:textId="77777777" w:rsidR="001C59B7" w:rsidRPr="004B3056" w:rsidRDefault="001C59B7" w:rsidP="001C59B7">
      <w:pPr>
        <w:spacing w:line="240" w:lineRule="auto"/>
        <w:rPr>
          <w:sz w:val="18"/>
          <w:szCs w:val="18"/>
          <w:lang w:val="fr-FR" w:eastAsia="zh-CN"/>
        </w:rPr>
      </w:pPr>
      <w:r w:rsidRPr="004B3056">
        <w:rPr>
          <w:sz w:val="18"/>
          <w:szCs w:val="18"/>
          <w:lang w:val="fr-FR" w:eastAsia="zh-CN"/>
        </w:rPr>
        <w:t>Pays non membre de l’UE</w:t>
      </w:r>
    </w:p>
    <w:p w14:paraId="4B369882" w14:textId="77777777" w:rsidR="001C59B7" w:rsidRPr="004B3056" w:rsidRDefault="001C59B7" w:rsidP="004B3056">
      <w:pPr>
        <w:spacing w:after="0" w:line="240" w:lineRule="auto"/>
        <w:rPr>
          <w:sz w:val="18"/>
          <w:szCs w:val="18"/>
          <w:lang w:val="fr-FR" w:eastAsia="zh-CN"/>
        </w:rPr>
      </w:pPr>
      <w:r w:rsidRPr="004B3056">
        <w:rPr>
          <w:sz w:val="18"/>
          <w:szCs w:val="18"/>
          <w:lang w:val="fr-FR" w:eastAsia="zh-CN"/>
        </w:rPr>
        <w:t>Canada</w:t>
      </w:r>
    </w:p>
    <w:tbl>
      <w:tblPr>
        <w:tblStyle w:val="Tabellenraster3"/>
        <w:tblW w:w="5000" w:type="pct"/>
        <w:tblLook w:val="01E0" w:firstRow="1" w:lastRow="1" w:firstColumn="1" w:lastColumn="1" w:noHBand="0" w:noVBand="0"/>
      </w:tblPr>
      <w:tblGrid>
        <w:gridCol w:w="4041"/>
        <w:gridCol w:w="1695"/>
        <w:gridCol w:w="1669"/>
        <w:gridCol w:w="1366"/>
        <w:gridCol w:w="1366"/>
      </w:tblGrid>
      <w:tr w:rsidR="001C59B7" w:rsidRPr="004B3056" w14:paraId="2B69BD43" w14:textId="77777777" w:rsidTr="00BA1953">
        <w:tc>
          <w:tcPr>
            <w:tcW w:w="1993" w:type="pct"/>
            <w:tcBorders>
              <w:top w:val="single" w:sz="4" w:space="0" w:color="auto"/>
              <w:left w:val="single" w:sz="4" w:space="0" w:color="auto"/>
              <w:bottom w:val="single" w:sz="4" w:space="0" w:color="auto"/>
              <w:right w:val="single" w:sz="4" w:space="0" w:color="auto"/>
            </w:tcBorders>
            <w:shd w:val="clear" w:color="auto" w:fill="D9D9D9"/>
            <w:vAlign w:val="center"/>
          </w:tcPr>
          <w:p w14:paraId="0885A160"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Projet</w:t>
            </w:r>
          </w:p>
        </w:tc>
        <w:tc>
          <w:tcPr>
            <w:tcW w:w="836" w:type="pct"/>
            <w:tcBorders>
              <w:top w:val="single" w:sz="4" w:space="0" w:color="auto"/>
              <w:left w:val="single" w:sz="4" w:space="0" w:color="auto"/>
              <w:bottom w:val="single" w:sz="4" w:space="0" w:color="auto"/>
              <w:right w:val="single" w:sz="4" w:space="0" w:color="auto"/>
            </w:tcBorders>
            <w:shd w:val="clear" w:color="auto" w:fill="D9D9D9"/>
            <w:vAlign w:val="center"/>
          </w:tcPr>
          <w:p w14:paraId="098C93CE"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Autres bailleurs de fonds</w:t>
            </w:r>
          </w:p>
        </w:tc>
        <w:tc>
          <w:tcPr>
            <w:tcW w:w="823" w:type="pct"/>
            <w:tcBorders>
              <w:top w:val="single" w:sz="4" w:space="0" w:color="auto"/>
              <w:left w:val="single" w:sz="4" w:space="0" w:color="auto"/>
              <w:bottom w:val="single" w:sz="4" w:space="0" w:color="auto"/>
              <w:right w:val="single" w:sz="4" w:space="0" w:color="auto"/>
            </w:tcBorders>
            <w:shd w:val="clear" w:color="auto" w:fill="D9D9D9"/>
            <w:vAlign w:val="center"/>
          </w:tcPr>
          <w:p w14:paraId="710EF497"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Partenaire de mise en oeuvre</w:t>
            </w:r>
          </w:p>
        </w:tc>
        <w:tc>
          <w:tcPr>
            <w:tcW w:w="674" w:type="pct"/>
            <w:tcBorders>
              <w:top w:val="single" w:sz="4" w:space="0" w:color="auto"/>
              <w:left w:val="single" w:sz="4" w:space="0" w:color="auto"/>
              <w:bottom w:val="single" w:sz="4" w:space="0" w:color="auto"/>
              <w:right w:val="single" w:sz="4" w:space="0" w:color="auto"/>
            </w:tcBorders>
            <w:shd w:val="clear" w:color="auto" w:fill="D9D9D9"/>
            <w:vAlign w:val="center"/>
          </w:tcPr>
          <w:p w14:paraId="65CA2BE1"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Durée</w:t>
            </w:r>
          </w:p>
        </w:tc>
        <w:tc>
          <w:tcPr>
            <w:tcW w:w="674" w:type="pct"/>
            <w:tcBorders>
              <w:top w:val="single" w:sz="4" w:space="0" w:color="auto"/>
              <w:left w:val="single" w:sz="4" w:space="0" w:color="auto"/>
              <w:bottom w:val="single" w:sz="4" w:space="0" w:color="auto"/>
              <w:right w:val="single" w:sz="4" w:space="0" w:color="auto"/>
            </w:tcBorders>
            <w:shd w:val="clear" w:color="auto" w:fill="D9D9D9"/>
          </w:tcPr>
          <w:p w14:paraId="18024DA7"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Montant ($ Can)</w:t>
            </w:r>
          </w:p>
        </w:tc>
      </w:tr>
      <w:tr w:rsidR="001C59B7" w:rsidRPr="004B3056" w14:paraId="2F24559A" w14:textId="77777777" w:rsidTr="00BA1953">
        <w:tc>
          <w:tcPr>
            <w:tcW w:w="1993" w:type="pct"/>
            <w:tcBorders>
              <w:top w:val="single" w:sz="4" w:space="0" w:color="auto"/>
              <w:left w:val="single" w:sz="4" w:space="0" w:color="auto"/>
              <w:bottom w:val="single" w:sz="4" w:space="0" w:color="auto"/>
              <w:right w:val="single" w:sz="4" w:space="0" w:color="auto"/>
            </w:tcBorders>
            <w:vAlign w:val="center"/>
          </w:tcPr>
          <w:p w14:paraId="128E72A8" w14:textId="77777777" w:rsidR="001C59B7" w:rsidRPr="004B3056" w:rsidRDefault="001C59B7" w:rsidP="001C59B7">
            <w:pPr>
              <w:spacing w:line="240" w:lineRule="auto"/>
              <w:rPr>
                <w:rFonts w:cs="Arial"/>
                <w:bCs/>
                <w:caps/>
                <w:sz w:val="17"/>
                <w:szCs w:val="17"/>
                <w:lang w:val="fr-FR" w:eastAsia="zh-CN"/>
              </w:rPr>
            </w:pPr>
            <w:r w:rsidRPr="004B3056">
              <w:rPr>
                <w:rFonts w:cs="Arial"/>
                <w:bCs/>
                <w:sz w:val="17"/>
                <w:szCs w:val="17"/>
                <w:lang w:val="fr-FR" w:eastAsia="zh-CN"/>
              </w:rPr>
              <w:t>Réhabilitation des infrastructures hydro-agricoles dans la zone de l'Office du Niger</w:t>
            </w:r>
          </w:p>
        </w:tc>
        <w:tc>
          <w:tcPr>
            <w:tcW w:w="836" w:type="pct"/>
            <w:tcBorders>
              <w:top w:val="single" w:sz="4" w:space="0" w:color="auto"/>
              <w:left w:val="single" w:sz="4" w:space="0" w:color="auto"/>
              <w:bottom w:val="single" w:sz="4" w:space="0" w:color="auto"/>
              <w:right w:val="single" w:sz="4" w:space="0" w:color="auto"/>
            </w:tcBorders>
            <w:vAlign w:val="center"/>
          </w:tcPr>
          <w:p w14:paraId="7DD15D29" w14:textId="77777777" w:rsidR="001C59B7" w:rsidRPr="004B3056" w:rsidRDefault="001C59B7" w:rsidP="001C59B7">
            <w:pPr>
              <w:spacing w:line="240" w:lineRule="auto"/>
              <w:rPr>
                <w:rFonts w:cs="Arial"/>
                <w:bCs/>
                <w:caps/>
                <w:sz w:val="17"/>
                <w:szCs w:val="17"/>
                <w:lang w:val="fr-FR" w:eastAsia="zh-CN"/>
              </w:rPr>
            </w:pPr>
          </w:p>
        </w:tc>
        <w:tc>
          <w:tcPr>
            <w:tcW w:w="823" w:type="pct"/>
            <w:tcBorders>
              <w:top w:val="single" w:sz="4" w:space="0" w:color="auto"/>
              <w:left w:val="single" w:sz="4" w:space="0" w:color="auto"/>
              <w:bottom w:val="single" w:sz="4" w:space="0" w:color="auto"/>
              <w:right w:val="single" w:sz="4" w:space="0" w:color="auto"/>
            </w:tcBorders>
            <w:vAlign w:val="center"/>
          </w:tcPr>
          <w:p w14:paraId="63EFEEB2"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Office du Niger</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14:paraId="06A505CC"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2010 -2019</w:t>
            </w:r>
          </w:p>
        </w:tc>
        <w:tc>
          <w:tcPr>
            <w:tcW w:w="674" w:type="pct"/>
            <w:tcBorders>
              <w:top w:val="single" w:sz="4" w:space="0" w:color="auto"/>
              <w:left w:val="single" w:sz="4" w:space="0" w:color="auto"/>
              <w:bottom w:val="single" w:sz="4" w:space="0" w:color="auto"/>
              <w:right w:val="single" w:sz="4" w:space="0" w:color="auto"/>
            </w:tcBorders>
          </w:tcPr>
          <w:p w14:paraId="03DC2281"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20.000.000</w:t>
            </w:r>
          </w:p>
        </w:tc>
      </w:tr>
      <w:tr w:rsidR="001C59B7" w:rsidRPr="004B3056" w14:paraId="05B2B87D" w14:textId="77777777" w:rsidTr="00BA1953">
        <w:tc>
          <w:tcPr>
            <w:tcW w:w="1993" w:type="pct"/>
            <w:tcBorders>
              <w:top w:val="single" w:sz="4" w:space="0" w:color="auto"/>
              <w:left w:val="single" w:sz="4" w:space="0" w:color="auto"/>
              <w:bottom w:val="single" w:sz="4" w:space="0" w:color="auto"/>
              <w:right w:val="single" w:sz="4" w:space="0" w:color="auto"/>
            </w:tcBorders>
            <w:vAlign w:val="center"/>
          </w:tcPr>
          <w:p w14:paraId="1FF4CB44" w14:textId="77777777" w:rsidR="001C59B7" w:rsidRPr="004B3056" w:rsidRDefault="001C59B7" w:rsidP="001C59B7">
            <w:pPr>
              <w:spacing w:line="240" w:lineRule="auto"/>
              <w:rPr>
                <w:rFonts w:cs="Arial"/>
                <w:bCs/>
                <w:caps/>
                <w:sz w:val="17"/>
                <w:szCs w:val="17"/>
                <w:lang w:val="fr-FR" w:eastAsia="zh-CN"/>
              </w:rPr>
            </w:pPr>
            <w:r w:rsidRPr="004B3056">
              <w:rPr>
                <w:rFonts w:cs="Arial"/>
                <w:bCs/>
                <w:sz w:val="17"/>
                <w:szCs w:val="17"/>
                <w:lang w:val="fr-FR" w:eastAsia="zh-CN"/>
              </w:rPr>
              <w:t xml:space="preserve">Projet de renforcement de l’agriculture irriguée au Mali </w:t>
            </w:r>
            <w:r w:rsidRPr="004B3056">
              <w:rPr>
                <w:rFonts w:cs="Arial"/>
                <w:bCs/>
                <w:caps/>
                <w:sz w:val="17"/>
                <w:szCs w:val="17"/>
                <w:lang w:val="fr-FR" w:eastAsia="zh-CN"/>
              </w:rPr>
              <w:t>(REAGIR)</w:t>
            </w:r>
          </w:p>
        </w:tc>
        <w:tc>
          <w:tcPr>
            <w:tcW w:w="836" w:type="pct"/>
            <w:tcBorders>
              <w:top w:val="single" w:sz="4" w:space="0" w:color="auto"/>
              <w:left w:val="single" w:sz="4" w:space="0" w:color="auto"/>
              <w:bottom w:val="single" w:sz="4" w:space="0" w:color="auto"/>
              <w:right w:val="single" w:sz="4" w:space="0" w:color="auto"/>
            </w:tcBorders>
            <w:vAlign w:val="center"/>
          </w:tcPr>
          <w:p w14:paraId="0D26ACC6"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GIZ</w:t>
            </w:r>
          </w:p>
        </w:tc>
        <w:tc>
          <w:tcPr>
            <w:tcW w:w="823" w:type="pct"/>
            <w:tcBorders>
              <w:top w:val="single" w:sz="4" w:space="0" w:color="auto"/>
              <w:left w:val="single" w:sz="4" w:space="0" w:color="auto"/>
              <w:bottom w:val="single" w:sz="4" w:space="0" w:color="auto"/>
              <w:right w:val="single" w:sz="4" w:space="0" w:color="auto"/>
            </w:tcBorders>
            <w:vAlign w:val="center"/>
          </w:tcPr>
          <w:p w14:paraId="1FBEDCD5" w14:textId="77777777" w:rsidR="001C59B7" w:rsidRPr="004B3056" w:rsidRDefault="001C59B7" w:rsidP="001C59B7">
            <w:pPr>
              <w:spacing w:line="240" w:lineRule="auto"/>
              <w:rPr>
                <w:rFonts w:cs="Arial"/>
                <w:bCs/>
                <w:caps/>
                <w:sz w:val="17"/>
                <w:szCs w:val="17"/>
                <w:lang w:val="fr-FR" w:eastAsia="zh-CN"/>
              </w:rPr>
            </w:pP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14:paraId="782A93FE"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2014 - 2019</w:t>
            </w:r>
          </w:p>
        </w:tc>
        <w:tc>
          <w:tcPr>
            <w:tcW w:w="674" w:type="pct"/>
            <w:tcBorders>
              <w:top w:val="single" w:sz="4" w:space="0" w:color="auto"/>
              <w:left w:val="single" w:sz="4" w:space="0" w:color="auto"/>
              <w:bottom w:val="single" w:sz="4" w:space="0" w:color="auto"/>
              <w:right w:val="single" w:sz="4" w:space="0" w:color="auto"/>
            </w:tcBorders>
          </w:tcPr>
          <w:p w14:paraId="147C7575"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75.000.000</w:t>
            </w:r>
          </w:p>
        </w:tc>
      </w:tr>
    </w:tbl>
    <w:p w14:paraId="345C429E" w14:textId="77777777" w:rsidR="001C59B7" w:rsidRPr="004B3056" w:rsidRDefault="001C59B7" w:rsidP="001C59B7">
      <w:pPr>
        <w:spacing w:after="0" w:line="240" w:lineRule="auto"/>
        <w:rPr>
          <w:rFonts w:eastAsia="SimSun" w:cs="Arial"/>
          <w:sz w:val="18"/>
          <w:szCs w:val="18"/>
          <w:lang w:val="da-DK" w:eastAsia="zh-CN"/>
        </w:rPr>
      </w:pPr>
    </w:p>
    <w:p w14:paraId="52746B82" w14:textId="77777777" w:rsidR="001C59B7" w:rsidRPr="004B3056" w:rsidRDefault="001C59B7" w:rsidP="001C59B7">
      <w:pPr>
        <w:spacing w:after="0" w:line="240" w:lineRule="auto"/>
        <w:rPr>
          <w:rFonts w:eastAsia="SimSun" w:cs="Arial"/>
          <w:sz w:val="18"/>
          <w:szCs w:val="18"/>
          <w:lang w:val="fr-FR" w:eastAsia="zh-CN"/>
        </w:rPr>
      </w:pPr>
      <w:r w:rsidRPr="004B3056">
        <w:rPr>
          <w:rFonts w:eastAsia="SimSun" w:cs="Arial"/>
          <w:sz w:val="18"/>
          <w:szCs w:val="18"/>
          <w:lang w:val="fr-FR" w:eastAsia="zh-CN"/>
        </w:rPr>
        <w:t>.Etats Unies d’Amérique (USAID, autres)</w:t>
      </w:r>
    </w:p>
    <w:tbl>
      <w:tblPr>
        <w:tblStyle w:val="Tabellenraster3"/>
        <w:tblW w:w="5000" w:type="pct"/>
        <w:tblLook w:val="01E0" w:firstRow="1" w:lastRow="1" w:firstColumn="1" w:lastColumn="1" w:noHBand="0" w:noVBand="0"/>
      </w:tblPr>
      <w:tblGrid>
        <w:gridCol w:w="1470"/>
        <w:gridCol w:w="2084"/>
        <w:gridCol w:w="3372"/>
        <w:gridCol w:w="1192"/>
        <w:gridCol w:w="2019"/>
      </w:tblGrid>
      <w:tr w:rsidR="001C59B7" w:rsidRPr="004B3056" w14:paraId="35648A69" w14:textId="77777777" w:rsidTr="00BA1953">
        <w:trPr>
          <w:cantSplit/>
          <w:tblHeader/>
        </w:trPr>
        <w:tc>
          <w:tcPr>
            <w:tcW w:w="725" w:type="pct"/>
            <w:shd w:val="clear" w:color="auto" w:fill="D9D9D9"/>
            <w:vAlign w:val="center"/>
          </w:tcPr>
          <w:p w14:paraId="574D3856"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Projet Abr.</w:t>
            </w:r>
          </w:p>
        </w:tc>
        <w:tc>
          <w:tcPr>
            <w:tcW w:w="1028" w:type="pct"/>
            <w:shd w:val="clear" w:color="auto" w:fill="D9D9D9"/>
            <w:vAlign w:val="center"/>
          </w:tcPr>
          <w:p w14:paraId="48771A7A"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Projet</w:t>
            </w:r>
          </w:p>
        </w:tc>
        <w:tc>
          <w:tcPr>
            <w:tcW w:w="1663" w:type="pct"/>
            <w:shd w:val="clear" w:color="auto" w:fill="D9D9D9"/>
            <w:vAlign w:val="center"/>
          </w:tcPr>
          <w:p w14:paraId="1C3F8EFE"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Partenaire de mise en oeuvre</w:t>
            </w:r>
          </w:p>
        </w:tc>
        <w:tc>
          <w:tcPr>
            <w:tcW w:w="588" w:type="pct"/>
            <w:shd w:val="clear" w:color="auto" w:fill="D9D9D9"/>
            <w:vAlign w:val="center"/>
          </w:tcPr>
          <w:p w14:paraId="4D5D637D"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Durée</w:t>
            </w:r>
          </w:p>
        </w:tc>
        <w:tc>
          <w:tcPr>
            <w:tcW w:w="996" w:type="pct"/>
            <w:shd w:val="clear" w:color="auto" w:fill="D9D9D9"/>
            <w:vAlign w:val="center"/>
          </w:tcPr>
          <w:p w14:paraId="12BE9B9D"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Montant (€)</w:t>
            </w:r>
          </w:p>
        </w:tc>
      </w:tr>
      <w:tr w:rsidR="001C59B7" w:rsidRPr="004B3056" w14:paraId="2FB33819" w14:textId="77777777" w:rsidTr="00BA1953">
        <w:trPr>
          <w:cantSplit/>
          <w:tblHeader/>
        </w:trPr>
        <w:tc>
          <w:tcPr>
            <w:tcW w:w="725" w:type="pct"/>
            <w:vAlign w:val="center"/>
          </w:tcPr>
          <w:p w14:paraId="6D1EB6B5" w14:textId="77777777" w:rsidR="001C59B7" w:rsidRPr="004B3056" w:rsidRDefault="001C59B7" w:rsidP="001C59B7">
            <w:pPr>
              <w:spacing w:line="240" w:lineRule="auto"/>
              <w:rPr>
                <w:rFonts w:cs="Arial"/>
                <w:bCs/>
                <w:caps/>
                <w:sz w:val="17"/>
                <w:szCs w:val="17"/>
                <w:lang w:val="fr-FR" w:eastAsia="zh-CN"/>
              </w:rPr>
            </w:pPr>
          </w:p>
        </w:tc>
        <w:tc>
          <w:tcPr>
            <w:tcW w:w="1028" w:type="pct"/>
            <w:vAlign w:val="center"/>
          </w:tcPr>
          <w:p w14:paraId="4E54326B"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HARANDE (élevage)</w:t>
            </w:r>
          </w:p>
        </w:tc>
        <w:tc>
          <w:tcPr>
            <w:tcW w:w="1663" w:type="pct"/>
            <w:vAlign w:val="center"/>
          </w:tcPr>
          <w:p w14:paraId="0F1F05AC"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CARE</w:t>
            </w:r>
          </w:p>
        </w:tc>
        <w:tc>
          <w:tcPr>
            <w:tcW w:w="588" w:type="pct"/>
            <w:shd w:val="clear" w:color="auto" w:fill="auto"/>
            <w:vAlign w:val="center"/>
          </w:tcPr>
          <w:p w14:paraId="34293FF2"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2016 - 2020</w:t>
            </w:r>
          </w:p>
        </w:tc>
        <w:tc>
          <w:tcPr>
            <w:tcW w:w="996" w:type="pct"/>
            <w:shd w:val="clear" w:color="auto" w:fill="auto"/>
            <w:vAlign w:val="center"/>
          </w:tcPr>
          <w:p w14:paraId="2D87040D" w14:textId="77777777" w:rsidR="001C59B7" w:rsidRPr="004B3056" w:rsidRDefault="001C59B7" w:rsidP="001C59B7">
            <w:pPr>
              <w:spacing w:line="240" w:lineRule="auto"/>
              <w:rPr>
                <w:rFonts w:cs="Arial"/>
                <w:sz w:val="17"/>
                <w:szCs w:val="17"/>
                <w:lang w:val="en-US" w:eastAsia="zh-CN"/>
              </w:rPr>
            </w:pPr>
            <w:r w:rsidRPr="004B3056">
              <w:rPr>
                <w:rFonts w:cs="Arial"/>
                <w:sz w:val="17"/>
                <w:szCs w:val="17"/>
                <w:lang w:val="en-US" w:eastAsia="zh-CN"/>
              </w:rPr>
              <w:t>25 200 000 000 F.CFA</w:t>
            </w:r>
          </w:p>
        </w:tc>
      </w:tr>
      <w:tr w:rsidR="001C59B7" w:rsidRPr="004B3056" w14:paraId="5DB6EEBE" w14:textId="77777777" w:rsidTr="00BA1953">
        <w:trPr>
          <w:cantSplit/>
          <w:tblHeader/>
        </w:trPr>
        <w:tc>
          <w:tcPr>
            <w:tcW w:w="725" w:type="pct"/>
            <w:vAlign w:val="center"/>
          </w:tcPr>
          <w:p w14:paraId="097BD49A" w14:textId="77777777" w:rsidR="001C59B7" w:rsidRPr="004B3056" w:rsidRDefault="001C59B7" w:rsidP="001C59B7">
            <w:pPr>
              <w:spacing w:line="240" w:lineRule="auto"/>
              <w:rPr>
                <w:rFonts w:cs="Arial"/>
                <w:bCs/>
                <w:caps/>
                <w:sz w:val="17"/>
                <w:szCs w:val="17"/>
                <w:lang w:val="en-US" w:eastAsia="zh-CN"/>
              </w:rPr>
            </w:pPr>
          </w:p>
        </w:tc>
        <w:tc>
          <w:tcPr>
            <w:tcW w:w="1028" w:type="pct"/>
            <w:vAlign w:val="center"/>
          </w:tcPr>
          <w:p w14:paraId="6E97D04A" w14:textId="77777777" w:rsidR="001C59B7" w:rsidRPr="004B3056" w:rsidRDefault="001C59B7" w:rsidP="001C59B7">
            <w:pPr>
              <w:spacing w:line="240" w:lineRule="auto"/>
              <w:rPr>
                <w:rFonts w:cs="Arial"/>
                <w:bCs/>
                <w:sz w:val="17"/>
                <w:szCs w:val="17"/>
                <w:lang w:val="en-US" w:eastAsia="zh-CN"/>
              </w:rPr>
            </w:pPr>
            <w:r w:rsidRPr="004B3056">
              <w:rPr>
                <w:rFonts w:cs="Arial"/>
                <w:bCs/>
                <w:sz w:val="17"/>
                <w:szCs w:val="17"/>
                <w:lang w:val="en-US" w:eastAsia="zh-CN"/>
              </w:rPr>
              <w:t>Feed the future</w:t>
            </w:r>
          </w:p>
        </w:tc>
        <w:tc>
          <w:tcPr>
            <w:tcW w:w="1663" w:type="pct"/>
            <w:vAlign w:val="center"/>
          </w:tcPr>
          <w:p w14:paraId="511E9780" w14:textId="77777777" w:rsidR="001C59B7" w:rsidRPr="004B3056" w:rsidRDefault="001C59B7" w:rsidP="001C59B7">
            <w:pPr>
              <w:spacing w:line="240" w:lineRule="auto"/>
              <w:rPr>
                <w:rFonts w:cs="Arial"/>
                <w:bCs/>
                <w:caps/>
                <w:sz w:val="17"/>
                <w:szCs w:val="17"/>
                <w:lang w:val="en-US" w:eastAsia="zh-CN"/>
              </w:rPr>
            </w:pPr>
          </w:p>
        </w:tc>
        <w:tc>
          <w:tcPr>
            <w:tcW w:w="588" w:type="pct"/>
            <w:shd w:val="clear" w:color="auto" w:fill="auto"/>
            <w:vAlign w:val="center"/>
          </w:tcPr>
          <w:p w14:paraId="1DA6E3A4" w14:textId="77777777" w:rsidR="001C59B7" w:rsidRPr="004B3056" w:rsidRDefault="001C59B7" w:rsidP="001C59B7">
            <w:pPr>
              <w:spacing w:line="240" w:lineRule="auto"/>
              <w:rPr>
                <w:rFonts w:cs="Arial"/>
                <w:bCs/>
                <w:caps/>
                <w:sz w:val="17"/>
                <w:szCs w:val="17"/>
                <w:lang w:val="en-US" w:eastAsia="zh-CN"/>
              </w:rPr>
            </w:pPr>
            <w:r w:rsidRPr="004B3056">
              <w:rPr>
                <w:rFonts w:cs="Arial"/>
                <w:bCs/>
                <w:caps/>
                <w:sz w:val="17"/>
                <w:szCs w:val="17"/>
                <w:lang w:val="en-US" w:eastAsia="zh-CN"/>
              </w:rPr>
              <w:t>2012-2019</w:t>
            </w:r>
          </w:p>
        </w:tc>
        <w:tc>
          <w:tcPr>
            <w:tcW w:w="996" w:type="pct"/>
            <w:shd w:val="clear" w:color="auto" w:fill="auto"/>
            <w:vAlign w:val="center"/>
          </w:tcPr>
          <w:p w14:paraId="2677D1C3" w14:textId="77777777" w:rsidR="001C59B7" w:rsidRPr="004B3056" w:rsidRDefault="001C59B7" w:rsidP="001C59B7">
            <w:pPr>
              <w:spacing w:line="240" w:lineRule="auto"/>
              <w:rPr>
                <w:rFonts w:cs="Arial"/>
                <w:sz w:val="17"/>
                <w:szCs w:val="17"/>
                <w:lang w:val="en-US" w:eastAsia="zh-CN"/>
              </w:rPr>
            </w:pPr>
            <w:r w:rsidRPr="004B3056">
              <w:rPr>
                <w:rFonts w:cs="Arial"/>
                <w:sz w:val="17"/>
                <w:szCs w:val="17"/>
                <w:lang w:val="en-US" w:eastAsia="zh-CN"/>
              </w:rPr>
              <w:t>155 Million US$</w:t>
            </w:r>
          </w:p>
        </w:tc>
      </w:tr>
      <w:tr w:rsidR="001C59B7" w:rsidRPr="004B3056" w14:paraId="5783BD54" w14:textId="77777777" w:rsidTr="00BA1953">
        <w:trPr>
          <w:cantSplit/>
          <w:tblHeader/>
        </w:trPr>
        <w:tc>
          <w:tcPr>
            <w:tcW w:w="725" w:type="pct"/>
            <w:vAlign w:val="center"/>
          </w:tcPr>
          <w:p w14:paraId="4DF1E51C" w14:textId="77777777" w:rsidR="001C59B7" w:rsidRPr="004B3056" w:rsidRDefault="001C59B7" w:rsidP="001C59B7">
            <w:pPr>
              <w:spacing w:line="240" w:lineRule="auto"/>
              <w:rPr>
                <w:rFonts w:cs="Arial"/>
                <w:sz w:val="17"/>
                <w:szCs w:val="17"/>
                <w:lang w:val="fr-FR" w:eastAsia="zh-CN"/>
              </w:rPr>
            </w:pPr>
          </w:p>
        </w:tc>
        <w:tc>
          <w:tcPr>
            <w:tcW w:w="1028" w:type="pct"/>
            <w:vAlign w:val="center"/>
          </w:tcPr>
          <w:p w14:paraId="53EF4733"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NYELENI ou Femme et Agriculture</w:t>
            </w:r>
          </w:p>
        </w:tc>
        <w:tc>
          <w:tcPr>
            <w:tcW w:w="1663" w:type="pct"/>
            <w:vAlign w:val="center"/>
          </w:tcPr>
          <w:p w14:paraId="1D8B5C2D"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Fondation Bill &amp; Melinda Gates</w:t>
            </w:r>
          </w:p>
        </w:tc>
        <w:tc>
          <w:tcPr>
            <w:tcW w:w="588" w:type="pct"/>
            <w:shd w:val="clear" w:color="auto" w:fill="auto"/>
            <w:vAlign w:val="center"/>
          </w:tcPr>
          <w:p w14:paraId="065BEC5D"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CARE Mali</w:t>
            </w:r>
          </w:p>
        </w:tc>
        <w:tc>
          <w:tcPr>
            <w:tcW w:w="996" w:type="pct"/>
            <w:shd w:val="clear" w:color="auto" w:fill="auto"/>
            <w:vAlign w:val="center"/>
          </w:tcPr>
          <w:p w14:paraId="0F87603D"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2012 - 2019</w:t>
            </w:r>
          </w:p>
        </w:tc>
      </w:tr>
    </w:tbl>
    <w:p w14:paraId="7403300E" w14:textId="77777777" w:rsidR="001C59B7" w:rsidRPr="004B3056" w:rsidRDefault="001C59B7" w:rsidP="001C59B7">
      <w:pPr>
        <w:spacing w:after="0" w:line="240" w:lineRule="auto"/>
        <w:rPr>
          <w:rFonts w:eastAsia="SimSun" w:cs="Arial"/>
          <w:sz w:val="18"/>
          <w:szCs w:val="18"/>
          <w:lang w:val="en-US" w:eastAsia="zh-CN"/>
        </w:rPr>
      </w:pPr>
    </w:p>
    <w:p w14:paraId="3957828C" w14:textId="77777777" w:rsidR="001C59B7" w:rsidRPr="004B3056" w:rsidRDefault="001C59B7" w:rsidP="004B3056">
      <w:pPr>
        <w:spacing w:after="0" w:line="240" w:lineRule="auto"/>
        <w:rPr>
          <w:sz w:val="18"/>
          <w:szCs w:val="18"/>
          <w:lang w:val="fr-FR" w:eastAsia="zh-CN"/>
        </w:rPr>
      </w:pPr>
      <w:r w:rsidRPr="004B3056">
        <w:rPr>
          <w:sz w:val="18"/>
          <w:szCs w:val="18"/>
          <w:lang w:val="fr-FR" w:eastAsia="zh-CN"/>
        </w:rPr>
        <w:t>Suisse</w:t>
      </w:r>
    </w:p>
    <w:tbl>
      <w:tblPr>
        <w:tblStyle w:val="Tabellenraster3"/>
        <w:tblW w:w="5000" w:type="pct"/>
        <w:tblLook w:val="01E0" w:firstRow="1" w:lastRow="1" w:firstColumn="1" w:lastColumn="1" w:noHBand="0" w:noVBand="0"/>
      </w:tblPr>
      <w:tblGrid>
        <w:gridCol w:w="1483"/>
        <w:gridCol w:w="4845"/>
        <w:gridCol w:w="1731"/>
        <w:gridCol w:w="2078"/>
      </w:tblGrid>
      <w:tr w:rsidR="001C59B7" w:rsidRPr="004B3056" w14:paraId="6931B84D" w14:textId="77777777" w:rsidTr="00BA1953">
        <w:tc>
          <w:tcPr>
            <w:tcW w:w="731" w:type="pct"/>
            <w:tcBorders>
              <w:top w:val="single" w:sz="4" w:space="0" w:color="auto"/>
              <w:left w:val="single" w:sz="4" w:space="0" w:color="auto"/>
              <w:bottom w:val="single" w:sz="4" w:space="0" w:color="auto"/>
              <w:right w:val="single" w:sz="4" w:space="0" w:color="auto"/>
            </w:tcBorders>
            <w:shd w:val="clear" w:color="auto" w:fill="D9D9D9"/>
            <w:vAlign w:val="center"/>
          </w:tcPr>
          <w:p w14:paraId="6D37F944"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Projet Abr.</w:t>
            </w:r>
          </w:p>
        </w:tc>
        <w:tc>
          <w:tcPr>
            <w:tcW w:w="2390" w:type="pct"/>
            <w:tcBorders>
              <w:top w:val="single" w:sz="4" w:space="0" w:color="auto"/>
              <w:left w:val="single" w:sz="4" w:space="0" w:color="auto"/>
              <w:bottom w:val="single" w:sz="4" w:space="0" w:color="auto"/>
              <w:right w:val="single" w:sz="4" w:space="0" w:color="auto"/>
            </w:tcBorders>
            <w:shd w:val="clear" w:color="auto" w:fill="D9D9D9"/>
            <w:vAlign w:val="center"/>
          </w:tcPr>
          <w:p w14:paraId="17629FB0"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Projet</w:t>
            </w:r>
          </w:p>
        </w:tc>
        <w:tc>
          <w:tcPr>
            <w:tcW w:w="854" w:type="pct"/>
            <w:tcBorders>
              <w:top w:val="single" w:sz="4" w:space="0" w:color="auto"/>
              <w:left w:val="single" w:sz="4" w:space="0" w:color="auto"/>
              <w:bottom w:val="single" w:sz="4" w:space="0" w:color="auto"/>
              <w:right w:val="single" w:sz="4" w:space="0" w:color="auto"/>
            </w:tcBorders>
            <w:shd w:val="clear" w:color="auto" w:fill="D9D9D9"/>
            <w:vAlign w:val="center"/>
          </w:tcPr>
          <w:p w14:paraId="3D94F1B0"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Durée</w:t>
            </w:r>
          </w:p>
        </w:tc>
        <w:tc>
          <w:tcPr>
            <w:tcW w:w="1026" w:type="pct"/>
            <w:tcBorders>
              <w:top w:val="single" w:sz="4" w:space="0" w:color="auto"/>
              <w:left w:val="single" w:sz="4" w:space="0" w:color="auto"/>
              <w:bottom w:val="single" w:sz="4" w:space="0" w:color="auto"/>
              <w:right w:val="single" w:sz="4" w:space="0" w:color="auto"/>
            </w:tcBorders>
            <w:shd w:val="clear" w:color="auto" w:fill="D9D9D9"/>
            <w:vAlign w:val="center"/>
          </w:tcPr>
          <w:p w14:paraId="1608C31C"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Montant (€)</w:t>
            </w:r>
          </w:p>
        </w:tc>
      </w:tr>
      <w:tr w:rsidR="001C59B7" w:rsidRPr="004B3056" w14:paraId="3E9A5A1C" w14:textId="77777777" w:rsidTr="00BA1953">
        <w:tc>
          <w:tcPr>
            <w:tcW w:w="731" w:type="pct"/>
            <w:tcBorders>
              <w:top w:val="single" w:sz="4" w:space="0" w:color="auto"/>
              <w:left w:val="single" w:sz="4" w:space="0" w:color="auto"/>
              <w:bottom w:val="single" w:sz="4" w:space="0" w:color="auto"/>
              <w:right w:val="single" w:sz="4" w:space="0" w:color="auto"/>
            </w:tcBorders>
            <w:vAlign w:val="center"/>
          </w:tcPr>
          <w:p w14:paraId="3378457B"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PSEL-DELTA</w:t>
            </w:r>
          </w:p>
        </w:tc>
        <w:tc>
          <w:tcPr>
            <w:tcW w:w="2390" w:type="pct"/>
            <w:tcBorders>
              <w:top w:val="single" w:sz="4" w:space="0" w:color="auto"/>
              <w:left w:val="single" w:sz="4" w:space="0" w:color="auto"/>
              <w:bottom w:val="single" w:sz="4" w:space="0" w:color="auto"/>
              <w:right w:val="single" w:sz="4" w:space="0" w:color="auto"/>
            </w:tcBorders>
            <w:vAlign w:val="center"/>
          </w:tcPr>
          <w:p w14:paraId="280E3B8E"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Appui aux économies locales des collectivités de Youwarou et de Niafunké (PACY) Programme de Soutien aux Economies Locales du Delta intérieur du Niger (</w:t>
            </w:r>
          </w:p>
        </w:tc>
        <w:tc>
          <w:tcPr>
            <w:tcW w:w="854" w:type="pct"/>
            <w:tcBorders>
              <w:top w:val="single" w:sz="4" w:space="0" w:color="auto"/>
              <w:left w:val="single" w:sz="4" w:space="0" w:color="auto"/>
              <w:bottom w:val="single" w:sz="4" w:space="0" w:color="auto"/>
              <w:right w:val="single" w:sz="4" w:space="0" w:color="auto"/>
            </w:tcBorders>
            <w:shd w:val="clear" w:color="auto" w:fill="auto"/>
            <w:vAlign w:val="center"/>
          </w:tcPr>
          <w:p w14:paraId="450F6F15"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7/2015 – 6/2019</w:t>
            </w:r>
          </w:p>
        </w:tc>
        <w:tc>
          <w:tcPr>
            <w:tcW w:w="1026" w:type="pct"/>
            <w:tcBorders>
              <w:top w:val="single" w:sz="4" w:space="0" w:color="auto"/>
              <w:left w:val="single" w:sz="4" w:space="0" w:color="auto"/>
              <w:bottom w:val="single" w:sz="4" w:space="0" w:color="auto"/>
              <w:right w:val="single" w:sz="4" w:space="0" w:color="auto"/>
            </w:tcBorders>
            <w:shd w:val="clear" w:color="auto" w:fill="auto"/>
            <w:vAlign w:val="center"/>
          </w:tcPr>
          <w:p w14:paraId="7C2550D1"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CHF 9.445.000</w:t>
            </w:r>
          </w:p>
        </w:tc>
      </w:tr>
      <w:tr w:rsidR="001C59B7" w:rsidRPr="004B3056" w14:paraId="03091292" w14:textId="77777777" w:rsidTr="00BA1953">
        <w:tc>
          <w:tcPr>
            <w:tcW w:w="731" w:type="pct"/>
            <w:tcBorders>
              <w:top w:val="single" w:sz="4" w:space="0" w:color="auto"/>
              <w:left w:val="single" w:sz="4" w:space="0" w:color="auto"/>
              <w:bottom w:val="single" w:sz="4" w:space="0" w:color="auto"/>
              <w:right w:val="single" w:sz="4" w:space="0" w:color="auto"/>
            </w:tcBorders>
            <w:vAlign w:val="center"/>
          </w:tcPr>
          <w:p w14:paraId="427FCB80" w14:textId="77777777" w:rsidR="001C59B7" w:rsidRPr="004B3056" w:rsidRDefault="001C59B7" w:rsidP="001C59B7">
            <w:pPr>
              <w:spacing w:line="240" w:lineRule="auto"/>
              <w:rPr>
                <w:rFonts w:cs="Arial"/>
                <w:bCs/>
                <w:caps/>
                <w:sz w:val="17"/>
                <w:szCs w:val="17"/>
                <w:lang w:val="fr-FR" w:eastAsia="zh-CN"/>
              </w:rPr>
            </w:pPr>
          </w:p>
        </w:tc>
        <w:tc>
          <w:tcPr>
            <w:tcW w:w="2390" w:type="pct"/>
            <w:tcBorders>
              <w:top w:val="single" w:sz="4" w:space="0" w:color="auto"/>
              <w:left w:val="single" w:sz="4" w:space="0" w:color="auto"/>
              <w:bottom w:val="single" w:sz="4" w:space="0" w:color="auto"/>
              <w:right w:val="single" w:sz="4" w:space="0" w:color="auto"/>
            </w:tcBorders>
            <w:vAlign w:val="center"/>
          </w:tcPr>
          <w:p w14:paraId="3BAEB37C"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Contribution aux programmes d’investissement des collectivités territoriales pour le développement régional et local au Mali</w:t>
            </w:r>
          </w:p>
        </w:tc>
        <w:tc>
          <w:tcPr>
            <w:tcW w:w="854" w:type="pct"/>
            <w:tcBorders>
              <w:top w:val="single" w:sz="4" w:space="0" w:color="auto"/>
              <w:left w:val="single" w:sz="4" w:space="0" w:color="auto"/>
              <w:bottom w:val="single" w:sz="4" w:space="0" w:color="auto"/>
              <w:right w:val="single" w:sz="4" w:space="0" w:color="auto"/>
            </w:tcBorders>
            <w:shd w:val="clear" w:color="auto" w:fill="auto"/>
            <w:vAlign w:val="center"/>
          </w:tcPr>
          <w:p w14:paraId="3828688D"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10/2013 – 12/2018</w:t>
            </w:r>
          </w:p>
        </w:tc>
        <w:tc>
          <w:tcPr>
            <w:tcW w:w="1026" w:type="pct"/>
            <w:tcBorders>
              <w:top w:val="single" w:sz="4" w:space="0" w:color="auto"/>
              <w:left w:val="single" w:sz="4" w:space="0" w:color="auto"/>
              <w:bottom w:val="single" w:sz="4" w:space="0" w:color="auto"/>
              <w:right w:val="single" w:sz="4" w:space="0" w:color="auto"/>
            </w:tcBorders>
            <w:shd w:val="clear" w:color="auto" w:fill="auto"/>
            <w:vAlign w:val="center"/>
          </w:tcPr>
          <w:p w14:paraId="013FAE29"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CHF 5.300.000</w:t>
            </w:r>
          </w:p>
        </w:tc>
      </w:tr>
      <w:tr w:rsidR="001C59B7" w:rsidRPr="004B3056" w14:paraId="090DC472" w14:textId="77777777" w:rsidTr="00BA1953">
        <w:tc>
          <w:tcPr>
            <w:tcW w:w="731" w:type="pct"/>
            <w:tcBorders>
              <w:top w:val="single" w:sz="4" w:space="0" w:color="auto"/>
              <w:left w:val="single" w:sz="4" w:space="0" w:color="auto"/>
              <w:bottom w:val="single" w:sz="4" w:space="0" w:color="auto"/>
              <w:right w:val="single" w:sz="4" w:space="0" w:color="auto"/>
            </w:tcBorders>
            <w:vAlign w:val="center"/>
          </w:tcPr>
          <w:p w14:paraId="0E1A1CF2" w14:textId="77777777" w:rsidR="001C59B7" w:rsidRPr="004B3056" w:rsidRDefault="001C59B7" w:rsidP="001C59B7">
            <w:pPr>
              <w:spacing w:line="240" w:lineRule="auto"/>
              <w:rPr>
                <w:rFonts w:cs="Arial"/>
                <w:bCs/>
                <w:caps/>
                <w:sz w:val="17"/>
                <w:szCs w:val="17"/>
                <w:lang w:val="fr-FR" w:eastAsia="zh-CN"/>
              </w:rPr>
            </w:pPr>
          </w:p>
        </w:tc>
        <w:tc>
          <w:tcPr>
            <w:tcW w:w="2390" w:type="pct"/>
            <w:tcBorders>
              <w:top w:val="single" w:sz="4" w:space="0" w:color="auto"/>
              <w:left w:val="single" w:sz="4" w:space="0" w:color="auto"/>
              <w:bottom w:val="single" w:sz="4" w:space="0" w:color="auto"/>
              <w:right w:val="single" w:sz="4" w:space="0" w:color="auto"/>
            </w:tcBorders>
            <w:vAlign w:val="center"/>
          </w:tcPr>
          <w:p w14:paraId="1AD52DD8"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Contribution au</w:t>
            </w:r>
            <w:r w:rsidRPr="004B3056">
              <w:t xml:space="preserve"> </w:t>
            </w:r>
            <w:r w:rsidRPr="004B3056">
              <w:rPr>
                <w:rFonts w:cs="Arial"/>
                <w:sz w:val="17"/>
                <w:szCs w:val="17"/>
                <w:lang w:val="fr-FR" w:eastAsia="zh-CN"/>
              </w:rPr>
              <w:t xml:space="preserve">Programme d’appui aux communes urbaines du Mali (PACUM, BM)) </w:t>
            </w:r>
          </w:p>
        </w:tc>
        <w:tc>
          <w:tcPr>
            <w:tcW w:w="854" w:type="pct"/>
            <w:tcBorders>
              <w:top w:val="single" w:sz="4" w:space="0" w:color="auto"/>
              <w:left w:val="single" w:sz="4" w:space="0" w:color="auto"/>
              <w:bottom w:val="single" w:sz="4" w:space="0" w:color="auto"/>
              <w:right w:val="single" w:sz="4" w:space="0" w:color="auto"/>
            </w:tcBorders>
            <w:shd w:val="clear" w:color="auto" w:fill="auto"/>
            <w:vAlign w:val="center"/>
          </w:tcPr>
          <w:p w14:paraId="7F4C6BF4"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1/2012 – 12/2018</w:t>
            </w:r>
          </w:p>
        </w:tc>
        <w:tc>
          <w:tcPr>
            <w:tcW w:w="1026" w:type="pct"/>
            <w:tcBorders>
              <w:top w:val="single" w:sz="4" w:space="0" w:color="auto"/>
              <w:left w:val="single" w:sz="4" w:space="0" w:color="auto"/>
              <w:bottom w:val="single" w:sz="4" w:space="0" w:color="auto"/>
              <w:right w:val="single" w:sz="4" w:space="0" w:color="auto"/>
            </w:tcBorders>
            <w:shd w:val="clear" w:color="auto" w:fill="auto"/>
            <w:vAlign w:val="center"/>
          </w:tcPr>
          <w:p w14:paraId="31D665D7"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CHF 18.220.000</w:t>
            </w:r>
          </w:p>
        </w:tc>
      </w:tr>
    </w:tbl>
    <w:p w14:paraId="70360CFF" w14:textId="77777777" w:rsidR="001C59B7" w:rsidRPr="004B3056" w:rsidRDefault="001C59B7" w:rsidP="001C59B7">
      <w:pPr>
        <w:spacing w:after="0" w:line="240" w:lineRule="auto"/>
        <w:rPr>
          <w:rFonts w:eastAsia="SimSun" w:cs="Arial"/>
          <w:sz w:val="18"/>
          <w:szCs w:val="18"/>
          <w:lang w:val="fr-FR" w:eastAsia="zh-CN"/>
        </w:rPr>
      </w:pPr>
    </w:p>
    <w:p w14:paraId="649D8CB1" w14:textId="77777777" w:rsidR="001C59B7" w:rsidRPr="004B3056" w:rsidRDefault="001C59B7" w:rsidP="004B3056">
      <w:pPr>
        <w:spacing w:after="0" w:line="240" w:lineRule="auto"/>
        <w:rPr>
          <w:sz w:val="18"/>
          <w:szCs w:val="18"/>
          <w:lang w:val="fr-FR" w:eastAsia="zh-CN"/>
        </w:rPr>
      </w:pPr>
      <w:r w:rsidRPr="004B3056">
        <w:rPr>
          <w:sz w:val="18"/>
          <w:szCs w:val="18"/>
          <w:lang w:val="fr-FR" w:eastAsia="zh-CN"/>
        </w:rPr>
        <w:t>Norvège</w:t>
      </w:r>
    </w:p>
    <w:tbl>
      <w:tblPr>
        <w:tblStyle w:val="Tabellenraster3"/>
        <w:tblW w:w="5000" w:type="pct"/>
        <w:tblLook w:val="01E0" w:firstRow="1" w:lastRow="1" w:firstColumn="1" w:lastColumn="1" w:noHBand="0" w:noVBand="0"/>
      </w:tblPr>
      <w:tblGrid>
        <w:gridCol w:w="4630"/>
        <w:gridCol w:w="1963"/>
        <w:gridCol w:w="1381"/>
        <w:gridCol w:w="2163"/>
      </w:tblGrid>
      <w:tr w:rsidR="001C59B7" w:rsidRPr="004B3056" w14:paraId="76143316" w14:textId="77777777" w:rsidTr="00BA1953">
        <w:tc>
          <w:tcPr>
            <w:tcW w:w="2284" w:type="pct"/>
            <w:tcBorders>
              <w:top w:val="single" w:sz="4" w:space="0" w:color="auto"/>
              <w:left w:val="single" w:sz="4" w:space="0" w:color="auto"/>
              <w:bottom w:val="single" w:sz="4" w:space="0" w:color="auto"/>
              <w:right w:val="single" w:sz="4" w:space="0" w:color="auto"/>
            </w:tcBorders>
            <w:shd w:val="clear" w:color="auto" w:fill="D9D9D9"/>
            <w:vAlign w:val="center"/>
          </w:tcPr>
          <w:p w14:paraId="0B2B5E76"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Projet</w:t>
            </w:r>
          </w:p>
        </w:tc>
        <w:tc>
          <w:tcPr>
            <w:tcW w:w="968" w:type="pct"/>
            <w:tcBorders>
              <w:top w:val="single" w:sz="4" w:space="0" w:color="auto"/>
              <w:left w:val="single" w:sz="4" w:space="0" w:color="auto"/>
              <w:bottom w:val="single" w:sz="4" w:space="0" w:color="auto"/>
              <w:right w:val="single" w:sz="4" w:space="0" w:color="auto"/>
            </w:tcBorders>
            <w:shd w:val="clear" w:color="auto" w:fill="D9D9D9"/>
            <w:vAlign w:val="center"/>
          </w:tcPr>
          <w:p w14:paraId="19D38785"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Partenairede mise en oeuvre</w:t>
            </w:r>
          </w:p>
        </w:tc>
        <w:tc>
          <w:tcPr>
            <w:tcW w:w="681" w:type="pct"/>
            <w:tcBorders>
              <w:top w:val="single" w:sz="4" w:space="0" w:color="auto"/>
              <w:left w:val="single" w:sz="4" w:space="0" w:color="auto"/>
              <w:bottom w:val="single" w:sz="4" w:space="0" w:color="auto"/>
              <w:right w:val="single" w:sz="4" w:space="0" w:color="auto"/>
            </w:tcBorders>
            <w:shd w:val="clear" w:color="auto" w:fill="D9D9D9"/>
            <w:vAlign w:val="center"/>
          </w:tcPr>
          <w:p w14:paraId="6302CB10"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Durée</w:t>
            </w:r>
          </w:p>
        </w:tc>
        <w:tc>
          <w:tcPr>
            <w:tcW w:w="1067" w:type="pct"/>
            <w:tcBorders>
              <w:top w:val="single" w:sz="4" w:space="0" w:color="auto"/>
              <w:left w:val="single" w:sz="4" w:space="0" w:color="auto"/>
              <w:bottom w:val="single" w:sz="4" w:space="0" w:color="auto"/>
              <w:right w:val="single" w:sz="4" w:space="0" w:color="auto"/>
            </w:tcBorders>
            <w:shd w:val="clear" w:color="auto" w:fill="D9D9D9"/>
            <w:vAlign w:val="center"/>
          </w:tcPr>
          <w:p w14:paraId="7D35052B"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Montant (€)</w:t>
            </w:r>
          </w:p>
        </w:tc>
      </w:tr>
      <w:tr w:rsidR="001C59B7" w:rsidRPr="004B3056" w14:paraId="21EB7575" w14:textId="77777777" w:rsidTr="00BA1953">
        <w:tc>
          <w:tcPr>
            <w:tcW w:w="2284" w:type="pct"/>
            <w:tcBorders>
              <w:top w:val="single" w:sz="4" w:space="0" w:color="auto"/>
              <w:left w:val="single" w:sz="4" w:space="0" w:color="auto"/>
              <w:bottom w:val="single" w:sz="4" w:space="0" w:color="auto"/>
              <w:right w:val="single" w:sz="4" w:space="0" w:color="auto"/>
            </w:tcBorders>
            <w:vAlign w:val="center"/>
          </w:tcPr>
          <w:p w14:paraId="7FF8C58E" w14:textId="77777777" w:rsidR="001C59B7" w:rsidRPr="004B3056" w:rsidRDefault="001C59B7" w:rsidP="001C59B7">
            <w:pPr>
              <w:spacing w:line="240" w:lineRule="auto"/>
              <w:rPr>
                <w:rFonts w:cs="Arial"/>
                <w:bCs/>
                <w:caps/>
                <w:sz w:val="17"/>
                <w:szCs w:val="17"/>
                <w:lang w:val="fr-FR" w:eastAsia="zh-CN"/>
              </w:rPr>
            </w:pPr>
            <w:r w:rsidRPr="004B3056">
              <w:rPr>
                <w:rFonts w:cs="Arial"/>
                <w:bCs/>
                <w:sz w:val="17"/>
                <w:szCs w:val="17"/>
                <w:lang w:val="fr-FR" w:eastAsia="zh-CN"/>
              </w:rPr>
              <w:t>Appui à l’office de mise en valeur du système de lac Faguibine (OMVF)</w:t>
            </w:r>
          </w:p>
        </w:tc>
        <w:tc>
          <w:tcPr>
            <w:tcW w:w="968" w:type="pct"/>
            <w:tcBorders>
              <w:top w:val="single" w:sz="4" w:space="0" w:color="auto"/>
              <w:left w:val="single" w:sz="4" w:space="0" w:color="auto"/>
              <w:bottom w:val="single" w:sz="4" w:space="0" w:color="auto"/>
              <w:right w:val="single" w:sz="4" w:space="0" w:color="auto"/>
            </w:tcBorders>
            <w:vAlign w:val="center"/>
          </w:tcPr>
          <w:p w14:paraId="05BFCE74" w14:textId="77777777" w:rsidR="001C59B7" w:rsidRPr="004B3056" w:rsidRDefault="001C59B7" w:rsidP="001C59B7">
            <w:pPr>
              <w:spacing w:line="240" w:lineRule="auto"/>
              <w:rPr>
                <w:rFonts w:cs="Arial"/>
                <w:bCs/>
                <w:caps/>
                <w:sz w:val="17"/>
                <w:szCs w:val="17"/>
                <w:lang w:val="fr-FR" w:eastAsia="zh-CN"/>
              </w:rPr>
            </w:pPr>
          </w:p>
        </w:tc>
        <w:tc>
          <w:tcPr>
            <w:tcW w:w="681" w:type="pct"/>
            <w:tcBorders>
              <w:top w:val="single" w:sz="4" w:space="0" w:color="auto"/>
              <w:left w:val="single" w:sz="4" w:space="0" w:color="auto"/>
              <w:bottom w:val="single" w:sz="4" w:space="0" w:color="auto"/>
              <w:right w:val="single" w:sz="4" w:space="0" w:color="auto"/>
            </w:tcBorders>
            <w:shd w:val="clear" w:color="auto" w:fill="auto"/>
            <w:vAlign w:val="center"/>
          </w:tcPr>
          <w:p w14:paraId="2A5FE0FA"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2011 - 2018</w:t>
            </w:r>
          </w:p>
        </w:tc>
        <w:tc>
          <w:tcPr>
            <w:tcW w:w="1067" w:type="pct"/>
            <w:tcBorders>
              <w:top w:val="single" w:sz="4" w:space="0" w:color="auto"/>
              <w:left w:val="single" w:sz="4" w:space="0" w:color="auto"/>
              <w:bottom w:val="single" w:sz="4" w:space="0" w:color="auto"/>
              <w:right w:val="single" w:sz="4" w:space="0" w:color="auto"/>
            </w:tcBorders>
            <w:shd w:val="clear" w:color="auto" w:fill="auto"/>
            <w:vAlign w:val="center"/>
          </w:tcPr>
          <w:p w14:paraId="3B46B06F"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8,34 Million US $</w:t>
            </w:r>
          </w:p>
        </w:tc>
      </w:tr>
      <w:tr w:rsidR="001C59B7" w:rsidRPr="004B3056" w14:paraId="67D25849" w14:textId="77777777" w:rsidTr="00BA1953">
        <w:tc>
          <w:tcPr>
            <w:tcW w:w="2284" w:type="pct"/>
            <w:tcBorders>
              <w:top w:val="single" w:sz="4" w:space="0" w:color="auto"/>
              <w:left w:val="single" w:sz="4" w:space="0" w:color="auto"/>
              <w:bottom w:val="single" w:sz="4" w:space="0" w:color="auto"/>
              <w:right w:val="single" w:sz="4" w:space="0" w:color="auto"/>
            </w:tcBorders>
            <w:vAlign w:val="center"/>
          </w:tcPr>
          <w:p w14:paraId="6105C8E4"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Co-gestion des ressources forestières durables dans le jeu complexe de la réserve Bougouni / Yanfolila (ARBRE SEL)</w:t>
            </w:r>
          </w:p>
        </w:tc>
        <w:tc>
          <w:tcPr>
            <w:tcW w:w="968" w:type="pct"/>
            <w:tcBorders>
              <w:top w:val="single" w:sz="4" w:space="0" w:color="auto"/>
              <w:left w:val="single" w:sz="4" w:space="0" w:color="auto"/>
              <w:bottom w:val="single" w:sz="4" w:space="0" w:color="auto"/>
              <w:right w:val="single" w:sz="4" w:space="0" w:color="auto"/>
            </w:tcBorders>
            <w:vAlign w:val="center"/>
          </w:tcPr>
          <w:p w14:paraId="35F8C64B"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Mali Folkcenter</w:t>
            </w:r>
          </w:p>
        </w:tc>
        <w:tc>
          <w:tcPr>
            <w:tcW w:w="681" w:type="pct"/>
            <w:tcBorders>
              <w:top w:val="single" w:sz="4" w:space="0" w:color="auto"/>
              <w:left w:val="single" w:sz="4" w:space="0" w:color="auto"/>
              <w:bottom w:val="single" w:sz="4" w:space="0" w:color="auto"/>
              <w:right w:val="single" w:sz="4" w:space="0" w:color="auto"/>
            </w:tcBorders>
            <w:shd w:val="clear" w:color="auto" w:fill="auto"/>
            <w:vAlign w:val="center"/>
          </w:tcPr>
          <w:p w14:paraId="23DC0191"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2015 - 2018</w:t>
            </w:r>
          </w:p>
        </w:tc>
        <w:tc>
          <w:tcPr>
            <w:tcW w:w="1067" w:type="pct"/>
            <w:tcBorders>
              <w:top w:val="single" w:sz="4" w:space="0" w:color="auto"/>
              <w:left w:val="single" w:sz="4" w:space="0" w:color="auto"/>
              <w:bottom w:val="single" w:sz="4" w:space="0" w:color="auto"/>
              <w:right w:val="single" w:sz="4" w:space="0" w:color="auto"/>
            </w:tcBorders>
            <w:shd w:val="clear" w:color="auto" w:fill="auto"/>
            <w:vAlign w:val="center"/>
          </w:tcPr>
          <w:p w14:paraId="4A34D4BE"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150 000 000 F.CFA</w:t>
            </w:r>
          </w:p>
        </w:tc>
      </w:tr>
      <w:tr w:rsidR="001C59B7" w:rsidRPr="004B3056" w14:paraId="2FF5A65A" w14:textId="77777777" w:rsidTr="00BA1953">
        <w:tc>
          <w:tcPr>
            <w:tcW w:w="2284" w:type="pct"/>
            <w:tcBorders>
              <w:top w:val="single" w:sz="4" w:space="0" w:color="auto"/>
              <w:left w:val="single" w:sz="4" w:space="0" w:color="auto"/>
              <w:bottom w:val="single" w:sz="4" w:space="0" w:color="auto"/>
              <w:right w:val="single" w:sz="4" w:space="0" w:color="auto"/>
            </w:tcBorders>
            <w:vAlign w:val="center"/>
          </w:tcPr>
          <w:p w14:paraId="0B91CB81"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Fonds Climat Mali</w:t>
            </w:r>
          </w:p>
        </w:tc>
        <w:tc>
          <w:tcPr>
            <w:tcW w:w="968" w:type="pct"/>
            <w:tcBorders>
              <w:top w:val="single" w:sz="4" w:space="0" w:color="auto"/>
              <w:left w:val="single" w:sz="4" w:space="0" w:color="auto"/>
              <w:bottom w:val="single" w:sz="4" w:space="0" w:color="auto"/>
              <w:right w:val="single" w:sz="4" w:space="0" w:color="auto"/>
            </w:tcBorders>
            <w:vAlign w:val="center"/>
          </w:tcPr>
          <w:p w14:paraId="7338C550"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Suède</w:t>
            </w:r>
          </w:p>
        </w:tc>
        <w:tc>
          <w:tcPr>
            <w:tcW w:w="681" w:type="pct"/>
            <w:tcBorders>
              <w:top w:val="single" w:sz="4" w:space="0" w:color="auto"/>
              <w:left w:val="single" w:sz="4" w:space="0" w:color="auto"/>
              <w:bottom w:val="single" w:sz="4" w:space="0" w:color="auto"/>
              <w:right w:val="single" w:sz="4" w:space="0" w:color="auto"/>
            </w:tcBorders>
            <w:shd w:val="clear" w:color="auto" w:fill="auto"/>
            <w:vAlign w:val="center"/>
          </w:tcPr>
          <w:p w14:paraId="63F689C4"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depuis 2014</w:t>
            </w:r>
          </w:p>
        </w:tc>
        <w:tc>
          <w:tcPr>
            <w:tcW w:w="1067" w:type="pct"/>
            <w:tcBorders>
              <w:top w:val="single" w:sz="4" w:space="0" w:color="auto"/>
              <w:left w:val="single" w:sz="4" w:space="0" w:color="auto"/>
              <w:bottom w:val="single" w:sz="4" w:space="0" w:color="auto"/>
              <w:right w:val="single" w:sz="4" w:space="0" w:color="auto"/>
            </w:tcBorders>
            <w:shd w:val="clear" w:color="auto" w:fill="auto"/>
            <w:vAlign w:val="center"/>
          </w:tcPr>
          <w:p w14:paraId="04102037"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Suède : 3.902.440 €</w:t>
            </w:r>
          </w:p>
          <w:p w14:paraId="79B082B1"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Norv.  :  2.984.756 €</w:t>
            </w:r>
          </w:p>
          <w:p w14:paraId="0392C0A8"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(2017 – 2019)</w:t>
            </w:r>
          </w:p>
        </w:tc>
      </w:tr>
    </w:tbl>
    <w:p w14:paraId="7DFBA2CF" w14:textId="77777777" w:rsidR="001C59B7" w:rsidRPr="004B3056" w:rsidRDefault="001C59B7" w:rsidP="001C59B7">
      <w:pPr>
        <w:spacing w:after="0" w:line="240" w:lineRule="auto"/>
        <w:rPr>
          <w:rFonts w:eastAsia="SimSun" w:cs="Arial"/>
          <w:sz w:val="18"/>
          <w:szCs w:val="18"/>
          <w:lang w:val="fr-FR" w:eastAsia="zh-CN"/>
        </w:rPr>
      </w:pPr>
    </w:p>
    <w:p w14:paraId="39A1D06B" w14:textId="77777777" w:rsidR="001C59B7" w:rsidRPr="004B3056" w:rsidRDefault="001C59B7" w:rsidP="004B3056">
      <w:pPr>
        <w:spacing w:after="0" w:line="240" w:lineRule="auto"/>
        <w:rPr>
          <w:sz w:val="18"/>
          <w:szCs w:val="18"/>
          <w:lang w:val="fr-FR" w:eastAsia="zh-CN"/>
        </w:rPr>
      </w:pPr>
      <w:r w:rsidRPr="004B3056">
        <w:rPr>
          <w:sz w:val="18"/>
          <w:szCs w:val="18"/>
          <w:lang w:val="fr-FR" w:eastAsia="zh-CN"/>
        </w:rPr>
        <w:t>Banque Islamique de Développement (BID)</w:t>
      </w:r>
    </w:p>
    <w:tbl>
      <w:tblPr>
        <w:tblStyle w:val="Tabellenraster3"/>
        <w:tblW w:w="5000" w:type="pct"/>
        <w:tblLook w:val="01E0" w:firstRow="1" w:lastRow="1" w:firstColumn="1" w:lastColumn="1" w:noHBand="0" w:noVBand="0"/>
      </w:tblPr>
      <w:tblGrid>
        <w:gridCol w:w="4607"/>
        <w:gridCol w:w="1940"/>
        <w:gridCol w:w="1563"/>
        <w:gridCol w:w="2027"/>
      </w:tblGrid>
      <w:tr w:rsidR="001C59B7" w:rsidRPr="004B3056" w14:paraId="0E05FD72" w14:textId="77777777" w:rsidTr="00BA1953">
        <w:tc>
          <w:tcPr>
            <w:tcW w:w="2272" w:type="pct"/>
            <w:shd w:val="clear" w:color="auto" w:fill="D9D9D9"/>
            <w:vAlign w:val="center"/>
          </w:tcPr>
          <w:p w14:paraId="0FC55E08"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Projet</w:t>
            </w:r>
          </w:p>
        </w:tc>
        <w:tc>
          <w:tcPr>
            <w:tcW w:w="957" w:type="pct"/>
            <w:shd w:val="clear" w:color="auto" w:fill="D9D9D9"/>
            <w:vAlign w:val="center"/>
          </w:tcPr>
          <w:p w14:paraId="21B5257C"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Partenaire de mise en oeuvre</w:t>
            </w:r>
          </w:p>
        </w:tc>
        <w:tc>
          <w:tcPr>
            <w:tcW w:w="771" w:type="pct"/>
            <w:shd w:val="clear" w:color="auto" w:fill="D9D9D9"/>
            <w:vAlign w:val="center"/>
          </w:tcPr>
          <w:p w14:paraId="3D6BD1F3"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Durée</w:t>
            </w:r>
          </w:p>
        </w:tc>
        <w:tc>
          <w:tcPr>
            <w:tcW w:w="1000" w:type="pct"/>
            <w:shd w:val="clear" w:color="auto" w:fill="D9D9D9"/>
            <w:vAlign w:val="center"/>
          </w:tcPr>
          <w:p w14:paraId="6C623130"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Montant (€)</w:t>
            </w:r>
          </w:p>
        </w:tc>
      </w:tr>
      <w:tr w:rsidR="001C59B7" w:rsidRPr="004B3056" w14:paraId="779DCBB2" w14:textId="77777777" w:rsidTr="00BA1953">
        <w:tc>
          <w:tcPr>
            <w:tcW w:w="2272" w:type="pct"/>
            <w:vAlign w:val="center"/>
          </w:tcPr>
          <w:p w14:paraId="16D8AD66"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Projet de Renforcement de la Résilience à l’Insécurité Alimentaire au Mali (PRIA-Mali)</w:t>
            </w:r>
          </w:p>
        </w:tc>
        <w:tc>
          <w:tcPr>
            <w:tcW w:w="957" w:type="pct"/>
            <w:vAlign w:val="center"/>
          </w:tcPr>
          <w:p w14:paraId="1180D143"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DNP (voir si d’autres</w:t>
            </w:r>
          </w:p>
        </w:tc>
        <w:tc>
          <w:tcPr>
            <w:tcW w:w="771" w:type="pct"/>
            <w:shd w:val="clear" w:color="auto" w:fill="auto"/>
            <w:vAlign w:val="center"/>
          </w:tcPr>
          <w:p w14:paraId="15E8BB74"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2014-2018</w:t>
            </w:r>
          </w:p>
        </w:tc>
        <w:tc>
          <w:tcPr>
            <w:tcW w:w="1000" w:type="pct"/>
            <w:shd w:val="clear" w:color="auto" w:fill="auto"/>
            <w:vAlign w:val="center"/>
          </w:tcPr>
          <w:p w14:paraId="1C6C08E4"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49,89 millions de US $</w:t>
            </w:r>
          </w:p>
        </w:tc>
      </w:tr>
      <w:tr w:rsidR="001C59B7" w:rsidRPr="004B3056" w14:paraId="60B3AEEC" w14:textId="77777777" w:rsidTr="00BA1953">
        <w:tc>
          <w:tcPr>
            <w:tcW w:w="2272" w:type="pct"/>
            <w:vAlign w:val="center"/>
          </w:tcPr>
          <w:p w14:paraId="7B9C66B1"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Projet d’alimentation en eau potable de la ville de Bamako à partir de Kabala</w:t>
            </w:r>
          </w:p>
        </w:tc>
        <w:tc>
          <w:tcPr>
            <w:tcW w:w="957" w:type="pct"/>
            <w:vAlign w:val="center"/>
          </w:tcPr>
          <w:p w14:paraId="3A1C9E65" w14:textId="77777777" w:rsidR="001C59B7" w:rsidRPr="004B3056" w:rsidRDefault="001C59B7" w:rsidP="001C59B7">
            <w:pPr>
              <w:spacing w:line="240" w:lineRule="auto"/>
              <w:rPr>
                <w:rFonts w:cs="Arial"/>
                <w:bCs/>
                <w:caps/>
                <w:sz w:val="17"/>
                <w:szCs w:val="17"/>
                <w:lang w:val="fr-FR" w:eastAsia="zh-CN"/>
              </w:rPr>
            </w:pPr>
          </w:p>
        </w:tc>
        <w:tc>
          <w:tcPr>
            <w:tcW w:w="771" w:type="pct"/>
            <w:shd w:val="clear" w:color="auto" w:fill="auto"/>
            <w:vAlign w:val="center"/>
          </w:tcPr>
          <w:p w14:paraId="76F55989"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2018 -</w:t>
            </w:r>
          </w:p>
        </w:tc>
        <w:tc>
          <w:tcPr>
            <w:tcW w:w="1000" w:type="pct"/>
            <w:shd w:val="clear" w:color="auto" w:fill="auto"/>
            <w:vAlign w:val="center"/>
          </w:tcPr>
          <w:p w14:paraId="3D78DC99"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25,85 millions €</w:t>
            </w:r>
          </w:p>
        </w:tc>
      </w:tr>
      <w:tr w:rsidR="001C59B7" w:rsidRPr="004B3056" w14:paraId="42ECB19A" w14:textId="77777777" w:rsidTr="00BA1953">
        <w:tc>
          <w:tcPr>
            <w:tcW w:w="2272" w:type="pct"/>
            <w:vAlign w:val="center"/>
          </w:tcPr>
          <w:p w14:paraId="684A8FAA"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Projet Hydraulique et Assainissement en milieu rural (BID-UEMOA)</w:t>
            </w:r>
          </w:p>
        </w:tc>
        <w:tc>
          <w:tcPr>
            <w:tcW w:w="957" w:type="pct"/>
            <w:vAlign w:val="center"/>
          </w:tcPr>
          <w:p w14:paraId="0F76573C" w14:textId="77777777" w:rsidR="001C59B7" w:rsidRPr="004B3056" w:rsidRDefault="001C59B7" w:rsidP="001C59B7">
            <w:pPr>
              <w:spacing w:line="240" w:lineRule="auto"/>
              <w:rPr>
                <w:rFonts w:cs="Arial"/>
                <w:bCs/>
                <w:caps/>
                <w:sz w:val="17"/>
                <w:szCs w:val="17"/>
                <w:lang w:val="fr-FR" w:eastAsia="zh-CN"/>
              </w:rPr>
            </w:pPr>
          </w:p>
        </w:tc>
        <w:tc>
          <w:tcPr>
            <w:tcW w:w="771" w:type="pct"/>
            <w:shd w:val="clear" w:color="auto" w:fill="auto"/>
            <w:vAlign w:val="center"/>
          </w:tcPr>
          <w:p w14:paraId="49FD508B" w14:textId="77777777" w:rsidR="001C59B7" w:rsidRPr="004B3056" w:rsidRDefault="001C59B7" w:rsidP="001C59B7">
            <w:pPr>
              <w:spacing w:line="240" w:lineRule="auto"/>
              <w:rPr>
                <w:rFonts w:cs="Arial"/>
                <w:bCs/>
                <w:caps/>
                <w:sz w:val="17"/>
                <w:szCs w:val="17"/>
                <w:lang w:val="fr-FR" w:eastAsia="zh-CN"/>
              </w:rPr>
            </w:pPr>
          </w:p>
        </w:tc>
        <w:tc>
          <w:tcPr>
            <w:tcW w:w="1000" w:type="pct"/>
            <w:shd w:val="clear" w:color="auto" w:fill="auto"/>
            <w:vAlign w:val="center"/>
          </w:tcPr>
          <w:p w14:paraId="1607C3BC" w14:textId="77777777" w:rsidR="001C59B7" w:rsidRPr="004B3056" w:rsidRDefault="001C59B7" w:rsidP="001C59B7">
            <w:pPr>
              <w:spacing w:line="240" w:lineRule="auto"/>
              <w:rPr>
                <w:rFonts w:cs="Arial"/>
                <w:bCs/>
                <w:caps/>
                <w:sz w:val="17"/>
                <w:szCs w:val="17"/>
                <w:lang w:val="fr-FR" w:eastAsia="zh-CN"/>
              </w:rPr>
            </w:pPr>
          </w:p>
        </w:tc>
      </w:tr>
      <w:tr w:rsidR="001C59B7" w:rsidRPr="004B3056" w14:paraId="25BE89C4" w14:textId="77777777" w:rsidTr="00BA1953">
        <w:tc>
          <w:tcPr>
            <w:tcW w:w="2272" w:type="pct"/>
            <w:vAlign w:val="center"/>
          </w:tcPr>
          <w:p w14:paraId="0D664487"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Programme de développement intégré des ressources animales et aquacoles au Mali (PDIRAAM).</w:t>
            </w:r>
          </w:p>
        </w:tc>
        <w:tc>
          <w:tcPr>
            <w:tcW w:w="957" w:type="pct"/>
            <w:vAlign w:val="center"/>
          </w:tcPr>
          <w:p w14:paraId="275FB1E1"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DNPIA</w:t>
            </w:r>
          </w:p>
        </w:tc>
        <w:tc>
          <w:tcPr>
            <w:tcW w:w="771" w:type="pct"/>
            <w:shd w:val="clear" w:color="auto" w:fill="auto"/>
            <w:vAlign w:val="center"/>
          </w:tcPr>
          <w:p w14:paraId="1D37DF7B"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2017 -</w:t>
            </w:r>
          </w:p>
        </w:tc>
        <w:tc>
          <w:tcPr>
            <w:tcW w:w="1000" w:type="pct"/>
            <w:shd w:val="clear" w:color="auto" w:fill="auto"/>
            <w:vAlign w:val="center"/>
          </w:tcPr>
          <w:p w14:paraId="038523E4" w14:textId="77777777" w:rsidR="001C59B7" w:rsidRPr="004B3056" w:rsidRDefault="001C59B7" w:rsidP="001C59B7">
            <w:pPr>
              <w:spacing w:line="240" w:lineRule="auto"/>
              <w:rPr>
                <w:rFonts w:cs="Arial"/>
                <w:bCs/>
                <w:caps/>
                <w:sz w:val="17"/>
                <w:szCs w:val="17"/>
                <w:lang w:val="fr-FR" w:eastAsia="zh-CN"/>
              </w:rPr>
            </w:pPr>
          </w:p>
        </w:tc>
      </w:tr>
    </w:tbl>
    <w:p w14:paraId="19B7F6ED" w14:textId="77777777" w:rsidR="001C59B7" w:rsidRPr="004B3056" w:rsidRDefault="001C59B7" w:rsidP="001C59B7">
      <w:pPr>
        <w:spacing w:after="0" w:line="240" w:lineRule="auto"/>
        <w:rPr>
          <w:rFonts w:eastAsia="SimSun" w:cs="Arial"/>
          <w:sz w:val="18"/>
          <w:szCs w:val="18"/>
          <w:lang w:val="fr-FR" w:eastAsia="zh-CN"/>
        </w:rPr>
      </w:pPr>
    </w:p>
    <w:p w14:paraId="4188A9F4" w14:textId="77777777" w:rsidR="001C59B7" w:rsidRPr="004B3056" w:rsidRDefault="001C59B7" w:rsidP="001C59B7">
      <w:pPr>
        <w:spacing w:line="240" w:lineRule="auto"/>
        <w:rPr>
          <w:sz w:val="18"/>
          <w:szCs w:val="18"/>
          <w:lang w:val="fr-FR" w:eastAsia="zh-CN"/>
        </w:rPr>
      </w:pPr>
      <w:r w:rsidRPr="004B3056">
        <w:rPr>
          <w:sz w:val="18"/>
          <w:szCs w:val="18"/>
          <w:lang w:val="fr-FR" w:eastAsia="zh-CN"/>
        </w:rPr>
        <w:t>Banque Africaine de Développement (BAD)</w:t>
      </w:r>
    </w:p>
    <w:tbl>
      <w:tblPr>
        <w:tblStyle w:val="Tabellenraster3"/>
        <w:tblW w:w="5000" w:type="pct"/>
        <w:tblLook w:val="01E0" w:firstRow="1" w:lastRow="1" w:firstColumn="1" w:lastColumn="1" w:noHBand="0" w:noVBand="0"/>
      </w:tblPr>
      <w:tblGrid>
        <w:gridCol w:w="1280"/>
        <w:gridCol w:w="3112"/>
        <w:gridCol w:w="1478"/>
        <w:gridCol w:w="1492"/>
        <w:gridCol w:w="1216"/>
        <w:gridCol w:w="1559"/>
      </w:tblGrid>
      <w:tr w:rsidR="001C59B7" w:rsidRPr="004B3056" w14:paraId="63BAF470" w14:textId="77777777" w:rsidTr="00BA1953">
        <w:tc>
          <w:tcPr>
            <w:tcW w:w="631" w:type="pct"/>
            <w:shd w:val="clear" w:color="auto" w:fill="D9D9D9"/>
            <w:vAlign w:val="center"/>
          </w:tcPr>
          <w:p w14:paraId="32ECD6E6"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Projet Abr.</w:t>
            </w:r>
          </w:p>
        </w:tc>
        <w:tc>
          <w:tcPr>
            <w:tcW w:w="1535" w:type="pct"/>
            <w:shd w:val="clear" w:color="auto" w:fill="D9D9D9"/>
            <w:vAlign w:val="center"/>
          </w:tcPr>
          <w:p w14:paraId="42FD068D"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Projet</w:t>
            </w:r>
          </w:p>
        </w:tc>
        <w:tc>
          <w:tcPr>
            <w:tcW w:w="729" w:type="pct"/>
            <w:shd w:val="clear" w:color="auto" w:fill="D9D9D9"/>
            <w:vAlign w:val="center"/>
          </w:tcPr>
          <w:p w14:paraId="7FF1369F"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 xml:space="preserve">Autres bailleurs de </w:t>
            </w:r>
            <w:r w:rsidRPr="004B3056">
              <w:rPr>
                <w:rFonts w:cs="Arial"/>
                <w:caps/>
                <w:sz w:val="18"/>
                <w:szCs w:val="18"/>
                <w:lang w:val="fr-FR" w:eastAsia="zh-CN"/>
              </w:rPr>
              <w:lastRenderedPageBreak/>
              <w:t>fonds</w:t>
            </w:r>
          </w:p>
        </w:tc>
        <w:tc>
          <w:tcPr>
            <w:tcW w:w="736" w:type="pct"/>
            <w:shd w:val="clear" w:color="auto" w:fill="D9D9D9"/>
            <w:vAlign w:val="center"/>
          </w:tcPr>
          <w:p w14:paraId="63C96513"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lastRenderedPageBreak/>
              <w:t>Partenaire de mise en oeuvre</w:t>
            </w:r>
          </w:p>
        </w:tc>
        <w:tc>
          <w:tcPr>
            <w:tcW w:w="600" w:type="pct"/>
            <w:shd w:val="clear" w:color="auto" w:fill="D9D9D9"/>
            <w:vAlign w:val="center"/>
          </w:tcPr>
          <w:p w14:paraId="403778B9"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Durée</w:t>
            </w:r>
          </w:p>
        </w:tc>
        <w:tc>
          <w:tcPr>
            <w:tcW w:w="769" w:type="pct"/>
            <w:shd w:val="clear" w:color="auto" w:fill="D9D9D9"/>
            <w:vAlign w:val="center"/>
          </w:tcPr>
          <w:p w14:paraId="2B1F1D7C"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Montant (€)</w:t>
            </w:r>
          </w:p>
        </w:tc>
      </w:tr>
      <w:tr w:rsidR="001C59B7" w:rsidRPr="004B3056" w14:paraId="0A747D91" w14:textId="77777777" w:rsidTr="00BA1953">
        <w:tc>
          <w:tcPr>
            <w:tcW w:w="631" w:type="pct"/>
            <w:vAlign w:val="center"/>
          </w:tcPr>
          <w:p w14:paraId="16405717"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lastRenderedPageBreak/>
              <w:t>PREDA DCI</w:t>
            </w:r>
          </w:p>
        </w:tc>
        <w:tc>
          <w:tcPr>
            <w:tcW w:w="1535" w:type="pct"/>
            <w:vAlign w:val="center"/>
          </w:tcPr>
          <w:p w14:paraId="3D59BE22" w14:textId="77777777" w:rsidR="001C59B7" w:rsidRPr="004B3056" w:rsidRDefault="001C59B7" w:rsidP="001C59B7">
            <w:pPr>
              <w:spacing w:line="240" w:lineRule="auto"/>
              <w:jc w:val="left"/>
              <w:rPr>
                <w:rFonts w:cs="Arial"/>
                <w:bCs/>
                <w:sz w:val="17"/>
                <w:szCs w:val="17"/>
                <w:lang w:val="fr-FR" w:eastAsia="zh-CN"/>
              </w:rPr>
            </w:pPr>
            <w:r w:rsidRPr="004B3056">
              <w:rPr>
                <w:rFonts w:cs="Arial"/>
                <w:bCs/>
                <w:sz w:val="17"/>
                <w:szCs w:val="17"/>
                <w:lang w:val="fr-FR" w:eastAsia="zh-CN"/>
              </w:rPr>
              <w:t>Programme de Renforcement de la Sécurité Alimentaire par le Développement des Cultures Irriguées</w:t>
            </w:r>
          </w:p>
        </w:tc>
        <w:tc>
          <w:tcPr>
            <w:tcW w:w="729" w:type="pct"/>
            <w:vAlign w:val="center"/>
          </w:tcPr>
          <w:p w14:paraId="36E001B5" w14:textId="77777777" w:rsidR="001C59B7" w:rsidRPr="004B3056" w:rsidRDefault="001C59B7" w:rsidP="001C59B7">
            <w:pPr>
              <w:spacing w:line="240" w:lineRule="auto"/>
              <w:rPr>
                <w:rFonts w:cs="Arial"/>
                <w:bCs/>
                <w:caps/>
                <w:sz w:val="17"/>
                <w:szCs w:val="17"/>
                <w:lang w:val="fr-FR" w:eastAsia="zh-CN"/>
              </w:rPr>
            </w:pPr>
          </w:p>
        </w:tc>
        <w:tc>
          <w:tcPr>
            <w:tcW w:w="736" w:type="pct"/>
            <w:vAlign w:val="center"/>
          </w:tcPr>
          <w:p w14:paraId="4AAE510C"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MA</w:t>
            </w:r>
          </w:p>
        </w:tc>
        <w:tc>
          <w:tcPr>
            <w:tcW w:w="600" w:type="pct"/>
            <w:shd w:val="clear" w:color="auto" w:fill="auto"/>
            <w:vAlign w:val="center"/>
          </w:tcPr>
          <w:p w14:paraId="1C682077"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2014-2019</w:t>
            </w:r>
          </w:p>
        </w:tc>
        <w:tc>
          <w:tcPr>
            <w:tcW w:w="769" w:type="pct"/>
            <w:shd w:val="clear" w:color="auto" w:fill="auto"/>
            <w:vAlign w:val="center"/>
          </w:tcPr>
          <w:p w14:paraId="61B2264F"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36 millions d’UC</w:t>
            </w:r>
          </w:p>
        </w:tc>
      </w:tr>
      <w:tr w:rsidR="001C59B7" w:rsidRPr="004B3056" w14:paraId="37BF5CBA" w14:textId="77777777" w:rsidTr="00BA1953">
        <w:tc>
          <w:tcPr>
            <w:tcW w:w="631" w:type="pct"/>
            <w:vAlign w:val="center"/>
          </w:tcPr>
          <w:p w14:paraId="3201E77D"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P2RS</w:t>
            </w:r>
          </w:p>
        </w:tc>
        <w:tc>
          <w:tcPr>
            <w:tcW w:w="1535" w:type="pct"/>
            <w:vAlign w:val="center"/>
          </w:tcPr>
          <w:p w14:paraId="0E1A68A6" w14:textId="77777777" w:rsidR="001C59B7" w:rsidRPr="004B3056" w:rsidRDefault="001C59B7" w:rsidP="001C59B7">
            <w:pPr>
              <w:spacing w:line="240" w:lineRule="auto"/>
              <w:jc w:val="left"/>
              <w:rPr>
                <w:rFonts w:cs="Arial"/>
                <w:bCs/>
                <w:sz w:val="17"/>
                <w:szCs w:val="17"/>
                <w:lang w:val="fr-FR" w:eastAsia="zh-CN"/>
              </w:rPr>
            </w:pPr>
            <w:r w:rsidRPr="004B3056">
              <w:rPr>
                <w:rFonts w:cs="Arial"/>
                <w:bCs/>
                <w:sz w:val="17"/>
                <w:szCs w:val="17"/>
                <w:lang w:val="fr-FR" w:eastAsia="zh-CN"/>
              </w:rPr>
              <w:t>Programme Régional de Résilience à l’insécurité alimentaire et nutritionnelle au Sahel</w:t>
            </w:r>
          </w:p>
        </w:tc>
        <w:tc>
          <w:tcPr>
            <w:tcW w:w="729" w:type="pct"/>
            <w:vAlign w:val="center"/>
          </w:tcPr>
          <w:p w14:paraId="262D71A9" w14:textId="77777777" w:rsidR="001C59B7" w:rsidRPr="004B3056" w:rsidRDefault="001C59B7" w:rsidP="001C59B7">
            <w:pPr>
              <w:spacing w:line="240" w:lineRule="auto"/>
              <w:rPr>
                <w:rFonts w:cs="Arial"/>
                <w:bCs/>
                <w:caps/>
                <w:sz w:val="17"/>
                <w:szCs w:val="17"/>
                <w:lang w:val="fr-FR" w:eastAsia="zh-CN"/>
              </w:rPr>
            </w:pPr>
          </w:p>
        </w:tc>
        <w:tc>
          <w:tcPr>
            <w:tcW w:w="736" w:type="pct"/>
            <w:vAlign w:val="center"/>
          </w:tcPr>
          <w:p w14:paraId="386E3391"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MA</w:t>
            </w:r>
          </w:p>
        </w:tc>
        <w:tc>
          <w:tcPr>
            <w:tcW w:w="600" w:type="pct"/>
            <w:shd w:val="clear" w:color="auto" w:fill="auto"/>
            <w:vAlign w:val="center"/>
          </w:tcPr>
          <w:p w14:paraId="76BD0CFA"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2015-2019 (Phase 1 sur 4 prévus)</w:t>
            </w:r>
          </w:p>
        </w:tc>
        <w:tc>
          <w:tcPr>
            <w:tcW w:w="769" w:type="pct"/>
            <w:shd w:val="clear" w:color="auto" w:fill="auto"/>
            <w:vAlign w:val="center"/>
          </w:tcPr>
          <w:p w14:paraId="4DA7C1B7" w14:textId="77777777" w:rsidR="001C59B7" w:rsidRPr="004B3056" w:rsidRDefault="001C59B7" w:rsidP="001C59B7">
            <w:pPr>
              <w:spacing w:line="240" w:lineRule="auto"/>
              <w:jc w:val="left"/>
              <w:rPr>
                <w:rFonts w:cs="Arial"/>
                <w:bCs/>
                <w:caps/>
                <w:sz w:val="17"/>
                <w:szCs w:val="17"/>
                <w:lang w:val="fr-FR" w:eastAsia="zh-CN"/>
              </w:rPr>
            </w:pPr>
            <w:r w:rsidRPr="004B3056">
              <w:rPr>
                <w:rFonts w:cs="Arial"/>
                <w:bCs/>
                <w:caps/>
                <w:sz w:val="17"/>
                <w:szCs w:val="17"/>
                <w:lang w:val="fr-FR" w:eastAsia="zh-CN"/>
              </w:rPr>
              <w:t>18,195 millions d’UC</w:t>
            </w:r>
          </w:p>
        </w:tc>
      </w:tr>
      <w:tr w:rsidR="001C59B7" w:rsidRPr="004B3056" w14:paraId="79E62FF9" w14:textId="77777777" w:rsidTr="00BA1953">
        <w:tc>
          <w:tcPr>
            <w:tcW w:w="631" w:type="pct"/>
            <w:vAlign w:val="center"/>
          </w:tcPr>
          <w:p w14:paraId="43551DD7"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P-ML-FF0-001</w:t>
            </w:r>
          </w:p>
        </w:tc>
        <w:tc>
          <w:tcPr>
            <w:tcW w:w="1535" w:type="pct"/>
            <w:vAlign w:val="center"/>
          </w:tcPr>
          <w:p w14:paraId="3366ABE1" w14:textId="77777777" w:rsidR="001C59B7" w:rsidRPr="004B3056" w:rsidRDefault="001C59B7" w:rsidP="001C59B7">
            <w:pPr>
              <w:spacing w:line="240" w:lineRule="auto"/>
              <w:jc w:val="left"/>
              <w:rPr>
                <w:rFonts w:cs="Arial"/>
                <w:bCs/>
                <w:sz w:val="17"/>
                <w:szCs w:val="17"/>
                <w:lang w:val="fr-FR" w:eastAsia="zh-CN"/>
              </w:rPr>
            </w:pPr>
            <w:r w:rsidRPr="004B3056">
              <w:rPr>
                <w:rFonts w:cs="Arial"/>
                <w:bCs/>
                <w:sz w:val="17"/>
                <w:szCs w:val="17"/>
                <w:lang w:val="fr-FR" w:eastAsia="zh-CN"/>
              </w:rPr>
              <w:t>SEGOU SOLAR PV POWER</w:t>
            </w:r>
          </w:p>
        </w:tc>
        <w:tc>
          <w:tcPr>
            <w:tcW w:w="729" w:type="pct"/>
            <w:vAlign w:val="center"/>
          </w:tcPr>
          <w:p w14:paraId="04DCAA5D" w14:textId="77777777" w:rsidR="001C59B7" w:rsidRPr="004B3056" w:rsidRDefault="001C59B7" w:rsidP="001C59B7">
            <w:pPr>
              <w:spacing w:line="240" w:lineRule="auto"/>
              <w:rPr>
                <w:rFonts w:cs="Arial"/>
                <w:bCs/>
                <w:caps/>
                <w:sz w:val="17"/>
                <w:szCs w:val="17"/>
                <w:lang w:val="fr-FR" w:eastAsia="zh-CN"/>
              </w:rPr>
            </w:pPr>
          </w:p>
        </w:tc>
        <w:tc>
          <w:tcPr>
            <w:tcW w:w="736" w:type="pct"/>
            <w:vAlign w:val="center"/>
          </w:tcPr>
          <w:p w14:paraId="20805A2C" w14:textId="77777777" w:rsidR="001C59B7" w:rsidRPr="004B3056" w:rsidRDefault="001C59B7" w:rsidP="001C59B7">
            <w:pPr>
              <w:spacing w:line="240" w:lineRule="auto"/>
              <w:rPr>
                <w:rFonts w:cs="Arial"/>
                <w:bCs/>
                <w:caps/>
                <w:sz w:val="17"/>
                <w:szCs w:val="17"/>
                <w:lang w:val="fr-FR" w:eastAsia="zh-CN"/>
              </w:rPr>
            </w:pPr>
          </w:p>
        </w:tc>
        <w:tc>
          <w:tcPr>
            <w:tcW w:w="600" w:type="pct"/>
            <w:shd w:val="clear" w:color="auto" w:fill="auto"/>
            <w:vAlign w:val="center"/>
          </w:tcPr>
          <w:p w14:paraId="77102026"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 xml:space="preserve">2018 - </w:t>
            </w:r>
          </w:p>
        </w:tc>
        <w:tc>
          <w:tcPr>
            <w:tcW w:w="769" w:type="pct"/>
            <w:shd w:val="clear" w:color="auto" w:fill="auto"/>
            <w:vAlign w:val="center"/>
          </w:tcPr>
          <w:p w14:paraId="40AE4DA9" w14:textId="77777777" w:rsidR="001C59B7" w:rsidRPr="004B3056" w:rsidRDefault="001C59B7" w:rsidP="001C59B7">
            <w:pPr>
              <w:spacing w:line="240" w:lineRule="auto"/>
              <w:jc w:val="left"/>
              <w:rPr>
                <w:rFonts w:cs="Arial"/>
                <w:bCs/>
                <w:caps/>
                <w:sz w:val="17"/>
                <w:szCs w:val="17"/>
                <w:lang w:val="fr-FR" w:eastAsia="zh-CN"/>
              </w:rPr>
            </w:pPr>
            <w:r w:rsidRPr="004B3056">
              <w:rPr>
                <w:rFonts w:cs="Arial"/>
                <w:bCs/>
                <w:caps/>
                <w:sz w:val="17"/>
                <w:szCs w:val="17"/>
                <w:lang w:val="fr-FR" w:eastAsia="zh-CN"/>
              </w:rPr>
              <w:t>EUR 8.642.160</w:t>
            </w:r>
          </w:p>
        </w:tc>
      </w:tr>
      <w:tr w:rsidR="001C59B7" w:rsidRPr="004B3056" w14:paraId="3793A455" w14:textId="77777777" w:rsidTr="00BA1953">
        <w:tc>
          <w:tcPr>
            <w:tcW w:w="631" w:type="pct"/>
            <w:vAlign w:val="center"/>
          </w:tcPr>
          <w:p w14:paraId="0ECB4CA9"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P-ML-EAZ-004</w:t>
            </w:r>
          </w:p>
        </w:tc>
        <w:tc>
          <w:tcPr>
            <w:tcW w:w="1535" w:type="pct"/>
            <w:vAlign w:val="center"/>
          </w:tcPr>
          <w:p w14:paraId="2848A3C5" w14:textId="77777777" w:rsidR="001C59B7" w:rsidRPr="004B3056" w:rsidRDefault="001C59B7" w:rsidP="001C59B7">
            <w:pPr>
              <w:spacing w:line="240" w:lineRule="auto"/>
              <w:jc w:val="left"/>
              <w:rPr>
                <w:rFonts w:cs="Arial"/>
                <w:bCs/>
                <w:sz w:val="17"/>
                <w:szCs w:val="17"/>
                <w:lang w:val="fr-FR" w:eastAsia="zh-CN"/>
              </w:rPr>
            </w:pPr>
            <w:r w:rsidRPr="004B3056">
              <w:rPr>
                <w:rFonts w:cs="Arial"/>
                <w:bCs/>
                <w:sz w:val="17"/>
                <w:szCs w:val="17"/>
                <w:lang w:val="fr-FR" w:eastAsia="zh-CN"/>
              </w:rPr>
              <w:t>Projet d’aménagement, de développement intégré et de résilience des communautés locales au changement climatique</w:t>
            </w:r>
          </w:p>
        </w:tc>
        <w:tc>
          <w:tcPr>
            <w:tcW w:w="729" w:type="pct"/>
            <w:vAlign w:val="center"/>
          </w:tcPr>
          <w:p w14:paraId="05BF9523" w14:textId="77777777" w:rsidR="001C59B7" w:rsidRPr="004B3056" w:rsidRDefault="001C59B7" w:rsidP="001C59B7">
            <w:pPr>
              <w:spacing w:line="240" w:lineRule="auto"/>
              <w:rPr>
                <w:rFonts w:cs="Arial"/>
                <w:bCs/>
                <w:caps/>
                <w:sz w:val="17"/>
                <w:szCs w:val="17"/>
                <w:lang w:val="fr-FR" w:eastAsia="zh-CN"/>
              </w:rPr>
            </w:pPr>
          </w:p>
        </w:tc>
        <w:tc>
          <w:tcPr>
            <w:tcW w:w="736" w:type="pct"/>
            <w:vAlign w:val="center"/>
          </w:tcPr>
          <w:p w14:paraId="21C907A7" w14:textId="77777777" w:rsidR="001C59B7" w:rsidRPr="004B3056" w:rsidRDefault="001C59B7" w:rsidP="001C59B7">
            <w:pPr>
              <w:spacing w:line="240" w:lineRule="auto"/>
              <w:rPr>
                <w:rFonts w:cs="Arial"/>
                <w:bCs/>
                <w:caps/>
                <w:sz w:val="17"/>
                <w:szCs w:val="17"/>
                <w:lang w:val="fr-FR" w:eastAsia="zh-CN"/>
              </w:rPr>
            </w:pPr>
            <w:r w:rsidRPr="004B3056">
              <w:rPr>
                <w:rFonts w:cs="Arial"/>
                <w:bCs/>
                <w:sz w:val="17"/>
                <w:szCs w:val="17"/>
                <w:lang w:val="fr-FR" w:eastAsia="zh-CN"/>
              </w:rPr>
              <w:t>Office du riz Ségou</w:t>
            </w:r>
          </w:p>
        </w:tc>
        <w:tc>
          <w:tcPr>
            <w:tcW w:w="600" w:type="pct"/>
            <w:shd w:val="clear" w:color="auto" w:fill="auto"/>
            <w:vAlign w:val="center"/>
          </w:tcPr>
          <w:p w14:paraId="38376464"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 xml:space="preserve">2018 - </w:t>
            </w:r>
          </w:p>
        </w:tc>
        <w:tc>
          <w:tcPr>
            <w:tcW w:w="769" w:type="pct"/>
            <w:shd w:val="clear" w:color="auto" w:fill="auto"/>
            <w:vAlign w:val="center"/>
          </w:tcPr>
          <w:p w14:paraId="4013182F" w14:textId="77777777" w:rsidR="001C59B7" w:rsidRPr="004B3056" w:rsidRDefault="001C59B7" w:rsidP="001C59B7">
            <w:pPr>
              <w:spacing w:line="240" w:lineRule="auto"/>
              <w:jc w:val="left"/>
              <w:rPr>
                <w:rFonts w:cs="Arial"/>
                <w:bCs/>
                <w:caps/>
                <w:sz w:val="17"/>
                <w:szCs w:val="17"/>
                <w:lang w:val="fr-FR" w:eastAsia="zh-CN"/>
              </w:rPr>
            </w:pPr>
            <w:r w:rsidRPr="004B3056">
              <w:rPr>
                <w:rFonts w:cs="Arial"/>
                <w:bCs/>
                <w:caps/>
                <w:sz w:val="17"/>
                <w:szCs w:val="17"/>
                <w:lang w:val="fr-FR" w:eastAsia="zh-CN"/>
              </w:rPr>
              <w:t>EUR 1.564.865</w:t>
            </w:r>
          </w:p>
        </w:tc>
      </w:tr>
      <w:tr w:rsidR="001C59B7" w:rsidRPr="004B3056" w14:paraId="6C8B01DB" w14:textId="77777777" w:rsidTr="00BA1953">
        <w:tc>
          <w:tcPr>
            <w:tcW w:w="631" w:type="pct"/>
            <w:vAlign w:val="center"/>
          </w:tcPr>
          <w:p w14:paraId="361421E1"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P-ML-KA0-005</w:t>
            </w:r>
          </w:p>
        </w:tc>
        <w:tc>
          <w:tcPr>
            <w:tcW w:w="1535" w:type="pct"/>
            <w:vAlign w:val="center"/>
          </w:tcPr>
          <w:p w14:paraId="3D6475C7" w14:textId="77777777" w:rsidR="001C59B7" w:rsidRPr="004B3056" w:rsidRDefault="001C59B7" w:rsidP="001C59B7">
            <w:pPr>
              <w:spacing w:line="240" w:lineRule="auto"/>
              <w:jc w:val="left"/>
              <w:rPr>
                <w:rFonts w:cs="Arial"/>
                <w:bCs/>
                <w:sz w:val="17"/>
                <w:szCs w:val="17"/>
                <w:lang w:val="fr-FR" w:eastAsia="zh-CN"/>
              </w:rPr>
            </w:pPr>
            <w:r w:rsidRPr="004B3056">
              <w:rPr>
                <w:rFonts w:cs="Arial"/>
                <w:bCs/>
                <w:sz w:val="17"/>
                <w:szCs w:val="17"/>
                <w:lang w:val="fr-FR" w:eastAsia="zh-CN"/>
              </w:rPr>
              <w:t>Schéma National d'Aménagement du Territoire</w:t>
            </w:r>
          </w:p>
        </w:tc>
        <w:tc>
          <w:tcPr>
            <w:tcW w:w="729" w:type="pct"/>
            <w:vAlign w:val="center"/>
          </w:tcPr>
          <w:p w14:paraId="5207203E" w14:textId="77777777" w:rsidR="001C59B7" w:rsidRPr="004B3056" w:rsidRDefault="001C59B7" w:rsidP="001C59B7">
            <w:pPr>
              <w:spacing w:line="240" w:lineRule="auto"/>
              <w:rPr>
                <w:rFonts w:cs="Arial"/>
                <w:bCs/>
                <w:caps/>
                <w:sz w:val="17"/>
                <w:szCs w:val="17"/>
                <w:lang w:val="fr-FR" w:eastAsia="zh-CN"/>
              </w:rPr>
            </w:pPr>
          </w:p>
        </w:tc>
        <w:tc>
          <w:tcPr>
            <w:tcW w:w="736" w:type="pct"/>
            <w:vAlign w:val="center"/>
          </w:tcPr>
          <w:p w14:paraId="766CD944"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MATP</w:t>
            </w:r>
          </w:p>
        </w:tc>
        <w:tc>
          <w:tcPr>
            <w:tcW w:w="600" w:type="pct"/>
            <w:shd w:val="clear" w:color="auto" w:fill="auto"/>
            <w:vAlign w:val="center"/>
          </w:tcPr>
          <w:p w14:paraId="48D7F160"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 xml:space="preserve">2017 - </w:t>
            </w:r>
          </w:p>
        </w:tc>
        <w:tc>
          <w:tcPr>
            <w:tcW w:w="769" w:type="pct"/>
            <w:shd w:val="clear" w:color="auto" w:fill="auto"/>
            <w:vAlign w:val="center"/>
          </w:tcPr>
          <w:p w14:paraId="1F53CA77" w14:textId="77777777" w:rsidR="001C59B7" w:rsidRPr="004B3056" w:rsidRDefault="001C59B7" w:rsidP="001C59B7">
            <w:pPr>
              <w:spacing w:line="240" w:lineRule="auto"/>
              <w:jc w:val="left"/>
              <w:rPr>
                <w:rFonts w:cs="Arial"/>
                <w:bCs/>
                <w:caps/>
                <w:sz w:val="17"/>
                <w:szCs w:val="17"/>
                <w:lang w:val="fr-FR" w:eastAsia="zh-CN"/>
              </w:rPr>
            </w:pPr>
            <w:r w:rsidRPr="004B3056">
              <w:rPr>
                <w:rFonts w:cs="Arial"/>
                <w:bCs/>
                <w:caps/>
                <w:sz w:val="17"/>
                <w:szCs w:val="17"/>
                <w:lang w:val="fr-FR" w:eastAsia="zh-CN"/>
              </w:rPr>
              <w:tab/>
              <w:t>UAC 1.642.000</w:t>
            </w:r>
          </w:p>
        </w:tc>
      </w:tr>
      <w:tr w:rsidR="001C59B7" w:rsidRPr="004B3056" w14:paraId="59954566" w14:textId="77777777" w:rsidTr="00BA1953">
        <w:tc>
          <w:tcPr>
            <w:tcW w:w="631" w:type="pct"/>
            <w:vAlign w:val="center"/>
          </w:tcPr>
          <w:p w14:paraId="2BD32B77"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P-ML-C00-002</w:t>
            </w:r>
          </w:p>
        </w:tc>
        <w:tc>
          <w:tcPr>
            <w:tcW w:w="1535" w:type="pct"/>
            <w:vAlign w:val="center"/>
          </w:tcPr>
          <w:p w14:paraId="5F374646" w14:textId="77777777" w:rsidR="001C59B7" w:rsidRPr="004B3056" w:rsidRDefault="001C59B7" w:rsidP="001C59B7">
            <w:pPr>
              <w:spacing w:line="240" w:lineRule="auto"/>
              <w:jc w:val="left"/>
              <w:rPr>
                <w:rFonts w:cs="Arial"/>
                <w:bCs/>
                <w:sz w:val="17"/>
                <w:szCs w:val="17"/>
                <w:lang w:val="fr-FR" w:eastAsia="zh-CN"/>
              </w:rPr>
            </w:pPr>
            <w:r w:rsidRPr="004B3056">
              <w:rPr>
                <w:rFonts w:cs="Arial"/>
                <w:bCs/>
                <w:sz w:val="17"/>
                <w:szCs w:val="17"/>
                <w:lang w:val="fr-FR" w:eastAsia="zh-CN"/>
              </w:rPr>
              <w:t>Projet d'amélioration de la productivité des terres</w:t>
            </w:r>
          </w:p>
        </w:tc>
        <w:tc>
          <w:tcPr>
            <w:tcW w:w="729" w:type="pct"/>
            <w:vAlign w:val="center"/>
          </w:tcPr>
          <w:p w14:paraId="668FE7A9" w14:textId="77777777" w:rsidR="001C59B7" w:rsidRPr="004B3056" w:rsidRDefault="001C59B7" w:rsidP="001C59B7">
            <w:pPr>
              <w:spacing w:line="240" w:lineRule="auto"/>
              <w:rPr>
                <w:rFonts w:cs="Arial"/>
                <w:bCs/>
                <w:caps/>
                <w:sz w:val="17"/>
                <w:szCs w:val="17"/>
                <w:lang w:val="fr-FR" w:eastAsia="zh-CN"/>
              </w:rPr>
            </w:pPr>
          </w:p>
        </w:tc>
        <w:tc>
          <w:tcPr>
            <w:tcW w:w="736" w:type="pct"/>
            <w:vAlign w:val="center"/>
          </w:tcPr>
          <w:p w14:paraId="39B71E61"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MEADD</w:t>
            </w:r>
          </w:p>
        </w:tc>
        <w:tc>
          <w:tcPr>
            <w:tcW w:w="600" w:type="pct"/>
            <w:shd w:val="clear" w:color="auto" w:fill="auto"/>
            <w:vAlign w:val="center"/>
          </w:tcPr>
          <w:p w14:paraId="41153CDD"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 xml:space="preserve">2016 - </w:t>
            </w:r>
          </w:p>
        </w:tc>
        <w:tc>
          <w:tcPr>
            <w:tcW w:w="769" w:type="pct"/>
            <w:shd w:val="clear" w:color="auto" w:fill="auto"/>
            <w:vAlign w:val="center"/>
          </w:tcPr>
          <w:p w14:paraId="66CCCB04" w14:textId="77777777" w:rsidR="001C59B7" w:rsidRPr="004B3056" w:rsidRDefault="001C59B7" w:rsidP="001C59B7">
            <w:pPr>
              <w:spacing w:line="240" w:lineRule="auto"/>
              <w:jc w:val="left"/>
              <w:rPr>
                <w:rFonts w:cs="Arial"/>
                <w:bCs/>
                <w:caps/>
                <w:sz w:val="17"/>
                <w:szCs w:val="17"/>
                <w:lang w:val="fr-FR" w:eastAsia="zh-CN"/>
              </w:rPr>
            </w:pPr>
            <w:r w:rsidRPr="004B3056">
              <w:rPr>
                <w:rFonts w:cs="Arial"/>
                <w:bCs/>
                <w:caps/>
                <w:sz w:val="17"/>
                <w:szCs w:val="17"/>
                <w:lang w:val="fr-FR" w:eastAsia="zh-CN"/>
              </w:rPr>
              <w:t>UAC 16.500.000</w:t>
            </w:r>
          </w:p>
        </w:tc>
      </w:tr>
      <w:tr w:rsidR="001C59B7" w:rsidRPr="004B3056" w14:paraId="2ACFB1F3" w14:textId="77777777" w:rsidTr="00BA1953">
        <w:tc>
          <w:tcPr>
            <w:tcW w:w="631" w:type="pct"/>
            <w:vAlign w:val="center"/>
          </w:tcPr>
          <w:p w14:paraId="4E9437F0"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P-ML-FA0-004</w:t>
            </w:r>
          </w:p>
        </w:tc>
        <w:tc>
          <w:tcPr>
            <w:tcW w:w="1535" w:type="pct"/>
            <w:vAlign w:val="center"/>
          </w:tcPr>
          <w:p w14:paraId="2732E2E2" w14:textId="77777777" w:rsidR="001C59B7" w:rsidRPr="004B3056" w:rsidRDefault="001C59B7" w:rsidP="001C59B7">
            <w:pPr>
              <w:spacing w:line="240" w:lineRule="auto"/>
              <w:jc w:val="left"/>
              <w:rPr>
                <w:rFonts w:cs="Arial"/>
                <w:bCs/>
                <w:sz w:val="17"/>
                <w:szCs w:val="17"/>
                <w:lang w:val="fr-FR" w:eastAsia="zh-CN"/>
              </w:rPr>
            </w:pPr>
            <w:r w:rsidRPr="004B3056">
              <w:rPr>
                <w:rFonts w:cs="Arial"/>
                <w:bCs/>
                <w:sz w:val="17"/>
                <w:szCs w:val="17"/>
                <w:lang w:val="fr-FR" w:eastAsia="zh-CN"/>
              </w:rPr>
              <w:t>Projet de développement de mini centrales hydroélectriques au Mali</w:t>
            </w:r>
          </w:p>
        </w:tc>
        <w:tc>
          <w:tcPr>
            <w:tcW w:w="729" w:type="pct"/>
            <w:vAlign w:val="center"/>
          </w:tcPr>
          <w:p w14:paraId="6636B2C5" w14:textId="77777777" w:rsidR="001C59B7" w:rsidRPr="004B3056" w:rsidRDefault="001C59B7" w:rsidP="001C59B7">
            <w:pPr>
              <w:spacing w:line="240" w:lineRule="auto"/>
              <w:rPr>
                <w:rFonts w:cs="Arial"/>
                <w:bCs/>
                <w:caps/>
                <w:sz w:val="17"/>
                <w:szCs w:val="17"/>
                <w:lang w:val="fr-FR" w:eastAsia="zh-CN"/>
              </w:rPr>
            </w:pPr>
            <w:r w:rsidRPr="004B3056">
              <w:rPr>
                <w:rFonts w:cs="Arial"/>
                <w:bCs/>
                <w:sz w:val="17"/>
                <w:szCs w:val="17"/>
                <w:lang w:val="fr-FR" w:eastAsia="zh-CN"/>
              </w:rPr>
              <w:t>Part du projet SREP multi-bailleur</w:t>
            </w:r>
          </w:p>
        </w:tc>
        <w:tc>
          <w:tcPr>
            <w:tcW w:w="736" w:type="pct"/>
            <w:vAlign w:val="center"/>
          </w:tcPr>
          <w:p w14:paraId="5B751205"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DNE</w:t>
            </w:r>
          </w:p>
        </w:tc>
        <w:tc>
          <w:tcPr>
            <w:tcW w:w="600" w:type="pct"/>
            <w:shd w:val="clear" w:color="auto" w:fill="auto"/>
            <w:vAlign w:val="center"/>
          </w:tcPr>
          <w:p w14:paraId="35413D95"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 xml:space="preserve">2018 - </w:t>
            </w:r>
          </w:p>
        </w:tc>
        <w:tc>
          <w:tcPr>
            <w:tcW w:w="769" w:type="pct"/>
            <w:shd w:val="clear" w:color="auto" w:fill="auto"/>
            <w:vAlign w:val="center"/>
          </w:tcPr>
          <w:p w14:paraId="22E448F5" w14:textId="77777777" w:rsidR="001C59B7" w:rsidRPr="004B3056" w:rsidRDefault="001C59B7" w:rsidP="001C59B7">
            <w:pPr>
              <w:spacing w:line="240" w:lineRule="auto"/>
              <w:jc w:val="left"/>
              <w:rPr>
                <w:rFonts w:cs="Arial"/>
                <w:bCs/>
                <w:caps/>
                <w:sz w:val="17"/>
                <w:szCs w:val="17"/>
                <w:lang w:val="fr-FR" w:eastAsia="zh-CN"/>
              </w:rPr>
            </w:pPr>
            <w:r w:rsidRPr="004B3056">
              <w:rPr>
                <w:rFonts w:cs="Arial"/>
                <w:bCs/>
                <w:caps/>
                <w:sz w:val="17"/>
                <w:szCs w:val="17"/>
                <w:lang w:val="fr-FR" w:eastAsia="zh-CN"/>
              </w:rPr>
              <w:t>UAC 20.000.000</w:t>
            </w:r>
          </w:p>
        </w:tc>
      </w:tr>
      <w:tr w:rsidR="001C59B7" w:rsidRPr="004B3056" w14:paraId="0803B1B9" w14:textId="77777777" w:rsidTr="00BA1953">
        <w:tc>
          <w:tcPr>
            <w:tcW w:w="631" w:type="pct"/>
            <w:vAlign w:val="center"/>
          </w:tcPr>
          <w:p w14:paraId="7CEA9409"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P-ML-FZ0-003</w:t>
            </w:r>
          </w:p>
        </w:tc>
        <w:tc>
          <w:tcPr>
            <w:tcW w:w="1535" w:type="pct"/>
            <w:vAlign w:val="center"/>
          </w:tcPr>
          <w:p w14:paraId="4E3E1887" w14:textId="77777777" w:rsidR="001C59B7" w:rsidRPr="004B3056" w:rsidRDefault="001C59B7" w:rsidP="001C59B7">
            <w:pPr>
              <w:spacing w:line="240" w:lineRule="auto"/>
              <w:jc w:val="left"/>
              <w:rPr>
                <w:rFonts w:cs="Arial"/>
                <w:bCs/>
                <w:sz w:val="17"/>
                <w:szCs w:val="17"/>
                <w:lang w:val="fr-FR" w:eastAsia="zh-CN"/>
              </w:rPr>
            </w:pPr>
            <w:r w:rsidRPr="004B3056">
              <w:rPr>
                <w:rFonts w:cs="Arial"/>
                <w:bCs/>
                <w:sz w:val="17"/>
                <w:szCs w:val="17"/>
                <w:lang w:val="fr-FR" w:eastAsia="zh-CN"/>
              </w:rPr>
              <w:t>Projet d'appui à la promotion des énergies renouvelables</w:t>
            </w:r>
          </w:p>
        </w:tc>
        <w:tc>
          <w:tcPr>
            <w:tcW w:w="729" w:type="pct"/>
            <w:vAlign w:val="center"/>
          </w:tcPr>
          <w:p w14:paraId="3F3FC53D" w14:textId="77777777" w:rsidR="001C59B7" w:rsidRPr="004B3056" w:rsidRDefault="001C59B7" w:rsidP="001C59B7">
            <w:pPr>
              <w:spacing w:line="240" w:lineRule="auto"/>
              <w:rPr>
                <w:rFonts w:cs="Arial"/>
                <w:bCs/>
                <w:caps/>
                <w:sz w:val="17"/>
                <w:szCs w:val="17"/>
                <w:lang w:val="fr-FR" w:eastAsia="zh-CN"/>
              </w:rPr>
            </w:pPr>
          </w:p>
        </w:tc>
        <w:tc>
          <w:tcPr>
            <w:tcW w:w="736" w:type="pct"/>
            <w:vAlign w:val="center"/>
          </w:tcPr>
          <w:p w14:paraId="0C7E98F8"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DNE</w:t>
            </w:r>
          </w:p>
        </w:tc>
        <w:tc>
          <w:tcPr>
            <w:tcW w:w="600" w:type="pct"/>
            <w:shd w:val="clear" w:color="auto" w:fill="auto"/>
            <w:vAlign w:val="center"/>
          </w:tcPr>
          <w:p w14:paraId="6FBF1378"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2015 -</w:t>
            </w:r>
          </w:p>
        </w:tc>
        <w:tc>
          <w:tcPr>
            <w:tcW w:w="769" w:type="pct"/>
            <w:shd w:val="clear" w:color="auto" w:fill="auto"/>
            <w:vAlign w:val="center"/>
          </w:tcPr>
          <w:p w14:paraId="105AD756" w14:textId="77777777" w:rsidR="001C59B7" w:rsidRPr="004B3056" w:rsidRDefault="001C59B7" w:rsidP="001C59B7">
            <w:pPr>
              <w:spacing w:line="240" w:lineRule="auto"/>
              <w:jc w:val="left"/>
              <w:rPr>
                <w:rFonts w:cs="Arial"/>
                <w:bCs/>
                <w:caps/>
                <w:sz w:val="17"/>
                <w:szCs w:val="17"/>
                <w:lang w:val="fr-FR" w:eastAsia="zh-CN"/>
              </w:rPr>
            </w:pPr>
            <w:r w:rsidRPr="004B3056">
              <w:rPr>
                <w:rFonts w:cs="Arial"/>
                <w:bCs/>
                <w:caps/>
                <w:sz w:val="17"/>
                <w:szCs w:val="17"/>
                <w:lang w:val="fr-FR" w:eastAsia="zh-CN"/>
              </w:rPr>
              <w:tab/>
              <w:t>USD 1.656.491</w:t>
            </w:r>
          </w:p>
        </w:tc>
      </w:tr>
      <w:tr w:rsidR="001C59B7" w:rsidRPr="004B3056" w14:paraId="685ED343" w14:textId="77777777" w:rsidTr="00BA1953">
        <w:tc>
          <w:tcPr>
            <w:tcW w:w="631" w:type="pct"/>
            <w:vAlign w:val="center"/>
          </w:tcPr>
          <w:p w14:paraId="10C5B185"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P-ML-EB0-004</w:t>
            </w:r>
          </w:p>
        </w:tc>
        <w:tc>
          <w:tcPr>
            <w:tcW w:w="1535" w:type="pct"/>
            <w:vAlign w:val="center"/>
          </w:tcPr>
          <w:p w14:paraId="0B37EE59" w14:textId="77777777" w:rsidR="001C59B7" w:rsidRPr="004B3056" w:rsidRDefault="001C59B7" w:rsidP="001C59B7">
            <w:pPr>
              <w:spacing w:line="240" w:lineRule="auto"/>
              <w:jc w:val="left"/>
              <w:rPr>
                <w:rFonts w:cs="Arial"/>
                <w:bCs/>
                <w:sz w:val="17"/>
                <w:szCs w:val="17"/>
                <w:lang w:val="fr-FR" w:eastAsia="zh-CN"/>
              </w:rPr>
            </w:pPr>
            <w:r w:rsidRPr="004B3056">
              <w:rPr>
                <w:rFonts w:cs="Arial"/>
                <w:bCs/>
                <w:sz w:val="17"/>
                <w:szCs w:val="17"/>
                <w:lang w:val="fr-FR" w:eastAsia="zh-CN"/>
              </w:rPr>
              <w:t>Projet d'assainissement de la ville de Bamako</w:t>
            </w:r>
          </w:p>
        </w:tc>
        <w:tc>
          <w:tcPr>
            <w:tcW w:w="729" w:type="pct"/>
            <w:vAlign w:val="center"/>
          </w:tcPr>
          <w:p w14:paraId="7BBF7431" w14:textId="77777777" w:rsidR="001C59B7" w:rsidRPr="004B3056" w:rsidRDefault="0015629B" w:rsidP="001C59B7">
            <w:pPr>
              <w:spacing w:line="240" w:lineRule="auto"/>
              <w:rPr>
                <w:rFonts w:cs="Arial"/>
                <w:bCs/>
                <w:caps/>
                <w:sz w:val="17"/>
                <w:szCs w:val="17"/>
                <w:lang w:val="fr-FR" w:eastAsia="zh-CN"/>
              </w:rPr>
            </w:pPr>
            <w:r w:rsidRPr="004B3056">
              <w:rPr>
                <w:rFonts w:cs="Arial"/>
                <w:bCs/>
                <w:caps/>
                <w:sz w:val="17"/>
                <w:szCs w:val="17"/>
                <w:lang w:val="fr-FR" w:eastAsia="zh-CN"/>
              </w:rPr>
              <w:t>BM</w:t>
            </w:r>
          </w:p>
        </w:tc>
        <w:tc>
          <w:tcPr>
            <w:tcW w:w="736" w:type="pct"/>
            <w:vAlign w:val="center"/>
          </w:tcPr>
          <w:p w14:paraId="7AD96DEA"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MEADD</w:t>
            </w:r>
          </w:p>
        </w:tc>
        <w:tc>
          <w:tcPr>
            <w:tcW w:w="600" w:type="pct"/>
            <w:shd w:val="clear" w:color="auto" w:fill="auto"/>
            <w:vAlign w:val="center"/>
          </w:tcPr>
          <w:p w14:paraId="025A9C6D"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2018 -</w:t>
            </w:r>
          </w:p>
        </w:tc>
        <w:tc>
          <w:tcPr>
            <w:tcW w:w="769" w:type="pct"/>
            <w:shd w:val="clear" w:color="auto" w:fill="auto"/>
            <w:vAlign w:val="center"/>
          </w:tcPr>
          <w:p w14:paraId="692FC328" w14:textId="77777777" w:rsidR="001C59B7" w:rsidRPr="004B3056" w:rsidRDefault="001C59B7" w:rsidP="001C59B7">
            <w:pPr>
              <w:spacing w:line="240" w:lineRule="auto"/>
              <w:jc w:val="left"/>
              <w:rPr>
                <w:rFonts w:cs="Arial"/>
                <w:bCs/>
                <w:caps/>
                <w:sz w:val="17"/>
                <w:szCs w:val="17"/>
                <w:lang w:val="fr-FR" w:eastAsia="zh-CN"/>
              </w:rPr>
            </w:pPr>
            <w:r w:rsidRPr="004B3056">
              <w:rPr>
                <w:rFonts w:cs="Arial"/>
                <w:bCs/>
                <w:caps/>
                <w:sz w:val="17"/>
                <w:szCs w:val="17"/>
                <w:lang w:val="fr-FR" w:eastAsia="zh-CN"/>
              </w:rPr>
              <w:t>UAC 15.000.000</w:t>
            </w:r>
          </w:p>
        </w:tc>
      </w:tr>
      <w:tr w:rsidR="00203E20" w:rsidRPr="004B3056" w14:paraId="1489DEC9" w14:textId="77777777" w:rsidTr="00BA1953">
        <w:tc>
          <w:tcPr>
            <w:tcW w:w="631" w:type="pct"/>
            <w:vAlign w:val="center"/>
          </w:tcPr>
          <w:p w14:paraId="18DB9A3E" w14:textId="77777777" w:rsidR="00203E20" w:rsidRPr="004B3056" w:rsidRDefault="00203E20" w:rsidP="001C59B7">
            <w:pPr>
              <w:spacing w:line="240" w:lineRule="auto"/>
              <w:rPr>
                <w:rFonts w:cs="Arial"/>
                <w:bCs/>
                <w:caps/>
                <w:sz w:val="17"/>
                <w:szCs w:val="17"/>
                <w:lang w:val="fr-FR" w:eastAsia="zh-CN"/>
              </w:rPr>
            </w:pPr>
          </w:p>
        </w:tc>
        <w:tc>
          <w:tcPr>
            <w:tcW w:w="1535" w:type="pct"/>
            <w:vAlign w:val="center"/>
          </w:tcPr>
          <w:p w14:paraId="3BB8FB64" w14:textId="77777777" w:rsidR="00203E20" w:rsidRPr="004B3056" w:rsidRDefault="00203E20" w:rsidP="001C59B7">
            <w:pPr>
              <w:spacing w:line="240" w:lineRule="auto"/>
              <w:jc w:val="left"/>
              <w:rPr>
                <w:rFonts w:cs="Arial"/>
                <w:bCs/>
                <w:sz w:val="17"/>
                <w:szCs w:val="17"/>
                <w:lang w:val="fr-FR" w:eastAsia="zh-CN"/>
              </w:rPr>
            </w:pPr>
            <w:r w:rsidRPr="004B3056">
              <w:rPr>
                <w:rFonts w:cs="Arial"/>
                <w:bCs/>
                <w:sz w:val="17"/>
                <w:szCs w:val="17"/>
                <w:lang w:val="fr-FR" w:eastAsia="zh-CN"/>
              </w:rPr>
              <w:t>Projet d'adduction d'eau potable de Bamako</w:t>
            </w:r>
          </w:p>
        </w:tc>
        <w:tc>
          <w:tcPr>
            <w:tcW w:w="729" w:type="pct"/>
            <w:vAlign w:val="center"/>
          </w:tcPr>
          <w:p w14:paraId="4290EE04" w14:textId="77777777" w:rsidR="00203E20" w:rsidRPr="004B3056" w:rsidRDefault="0015629B" w:rsidP="001C59B7">
            <w:pPr>
              <w:spacing w:line="240" w:lineRule="auto"/>
              <w:rPr>
                <w:rFonts w:cs="Arial"/>
                <w:bCs/>
                <w:caps/>
                <w:sz w:val="17"/>
                <w:szCs w:val="17"/>
                <w:lang w:val="fr-FR" w:eastAsia="zh-CN"/>
              </w:rPr>
            </w:pPr>
            <w:r w:rsidRPr="004B3056">
              <w:rPr>
                <w:rFonts w:cs="Arial"/>
                <w:bCs/>
                <w:caps/>
                <w:sz w:val="17"/>
                <w:szCs w:val="17"/>
                <w:lang w:val="fr-FR" w:eastAsia="zh-CN"/>
              </w:rPr>
              <w:t>m</w:t>
            </w:r>
            <w:r w:rsidRPr="004B3056">
              <w:rPr>
                <w:rFonts w:cs="Arial"/>
                <w:bCs/>
                <w:sz w:val="17"/>
                <w:szCs w:val="17"/>
                <w:lang w:val="fr-FR" w:eastAsia="zh-CN"/>
              </w:rPr>
              <w:t>ulti -bailleur</w:t>
            </w:r>
          </w:p>
        </w:tc>
        <w:tc>
          <w:tcPr>
            <w:tcW w:w="736" w:type="pct"/>
            <w:vAlign w:val="center"/>
          </w:tcPr>
          <w:p w14:paraId="4D07DC41" w14:textId="77777777" w:rsidR="00203E20" w:rsidRPr="004B3056" w:rsidRDefault="00203E20" w:rsidP="001C59B7">
            <w:pPr>
              <w:spacing w:line="240" w:lineRule="auto"/>
              <w:rPr>
                <w:rFonts w:cs="Arial"/>
                <w:bCs/>
                <w:sz w:val="17"/>
                <w:szCs w:val="17"/>
                <w:lang w:val="fr-FR" w:eastAsia="zh-CN"/>
              </w:rPr>
            </w:pPr>
            <w:r w:rsidRPr="004B3056">
              <w:rPr>
                <w:rFonts w:cs="Arial"/>
                <w:bCs/>
                <w:sz w:val="17"/>
                <w:szCs w:val="17"/>
                <w:lang w:val="fr-FR" w:eastAsia="zh-CN"/>
              </w:rPr>
              <w:t>DNH</w:t>
            </w:r>
          </w:p>
        </w:tc>
        <w:tc>
          <w:tcPr>
            <w:tcW w:w="600" w:type="pct"/>
            <w:shd w:val="clear" w:color="auto" w:fill="auto"/>
            <w:vAlign w:val="center"/>
          </w:tcPr>
          <w:p w14:paraId="41998A6C" w14:textId="77777777" w:rsidR="00203E20" w:rsidRPr="004B3056" w:rsidRDefault="00203E20" w:rsidP="001C59B7">
            <w:pPr>
              <w:spacing w:line="240" w:lineRule="auto"/>
              <w:rPr>
                <w:rFonts w:cs="Arial"/>
                <w:bCs/>
                <w:caps/>
                <w:sz w:val="17"/>
                <w:szCs w:val="17"/>
                <w:lang w:val="fr-FR" w:eastAsia="zh-CN"/>
              </w:rPr>
            </w:pPr>
            <w:r w:rsidRPr="004B3056">
              <w:rPr>
                <w:rFonts w:cs="Arial"/>
                <w:bCs/>
                <w:caps/>
                <w:sz w:val="17"/>
                <w:szCs w:val="17"/>
                <w:lang w:val="fr-FR" w:eastAsia="zh-CN"/>
              </w:rPr>
              <w:t>2015 -</w:t>
            </w:r>
          </w:p>
        </w:tc>
        <w:tc>
          <w:tcPr>
            <w:tcW w:w="769" w:type="pct"/>
            <w:shd w:val="clear" w:color="auto" w:fill="auto"/>
            <w:vAlign w:val="center"/>
          </w:tcPr>
          <w:p w14:paraId="3A601EC9" w14:textId="77777777" w:rsidR="00203E20" w:rsidRPr="004B3056" w:rsidRDefault="0015629B" w:rsidP="0015629B">
            <w:pPr>
              <w:spacing w:line="240" w:lineRule="auto"/>
              <w:jc w:val="left"/>
              <w:rPr>
                <w:rFonts w:cs="Arial"/>
                <w:bCs/>
                <w:caps/>
                <w:sz w:val="17"/>
                <w:szCs w:val="17"/>
                <w:lang w:val="fr-FR" w:eastAsia="zh-CN"/>
              </w:rPr>
            </w:pPr>
            <w:r w:rsidRPr="004B3056">
              <w:rPr>
                <w:rFonts w:cs="Arial"/>
                <w:bCs/>
                <w:caps/>
                <w:sz w:val="17"/>
                <w:szCs w:val="17"/>
                <w:lang w:val="fr-FR" w:eastAsia="zh-CN"/>
              </w:rPr>
              <w:t>UAC 50.000.000</w:t>
            </w:r>
          </w:p>
        </w:tc>
      </w:tr>
      <w:tr w:rsidR="00FA52F0" w:rsidRPr="004B3056" w14:paraId="5082804F" w14:textId="77777777" w:rsidTr="00BA1953">
        <w:tc>
          <w:tcPr>
            <w:tcW w:w="631" w:type="pct"/>
            <w:vAlign w:val="center"/>
          </w:tcPr>
          <w:p w14:paraId="08348FBA" w14:textId="77777777" w:rsidR="00FA52F0" w:rsidRPr="004B3056" w:rsidRDefault="00FA52F0" w:rsidP="001C59B7">
            <w:pPr>
              <w:spacing w:line="240" w:lineRule="auto"/>
              <w:rPr>
                <w:rFonts w:cs="Arial"/>
                <w:bCs/>
                <w:caps/>
                <w:sz w:val="17"/>
                <w:szCs w:val="17"/>
                <w:lang w:val="fr-FR" w:eastAsia="zh-CN"/>
              </w:rPr>
            </w:pPr>
          </w:p>
        </w:tc>
        <w:tc>
          <w:tcPr>
            <w:tcW w:w="1535" w:type="pct"/>
            <w:vAlign w:val="center"/>
          </w:tcPr>
          <w:p w14:paraId="637A89B7" w14:textId="77777777" w:rsidR="00FA52F0" w:rsidRPr="004B3056" w:rsidRDefault="00FA52F0" w:rsidP="001C59B7">
            <w:pPr>
              <w:spacing w:line="240" w:lineRule="auto"/>
              <w:jc w:val="left"/>
              <w:rPr>
                <w:rFonts w:cs="Arial"/>
                <w:bCs/>
                <w:sz w:val="17"/>
                <w:szCs w:val="17"/>
                <w:lang w:val="fr-FR" w:eastAsia="zh-CN"/>
              </w:rPr>
            </w:pPr>
            <w:r w:rsidRPr="004B3056">
              <w:rPr>
                <w:rFonts w:cs="Arial"/>
                <w:bCs/>
                <w:sz w:val="17"/>
                <w:szCs w:val="17"/>
                <w:lang w:val="fr-FR" w:eastAsia="zh-CN"/>
              </w:rPr>
              <w:t>Projet régional en gestion intégrée- Autorité du Bassin du Niger</w:t>
            </w:r>
          </w:p>
        </w:tc>
        <w:tc>
          <w:tcPr>
            <w:tcW w:w="729" w:type="pct"/>
            <w:vAlign w:val="center"/>
          </w:tcPr>
          <w:p w14:paraId="6F0225B1" w14:textId="77777777" w:rsidR="00FA52F0" w:rsidRPr="004B3056" w:rsidRDefault="00FA52F0" w:rsidP="001C59B7">
            <w:pPr>
              <w:spacing w:line="240" w:lineRule="auto"/>
              <w:rPr>
                <w:rFonts w:cs="Arial"/>
                <w:bCs/>
                <w:caps/>
                <w:sz w:val="17"/>
                <w:szCs w:val="17"/>
                <w:lang w:val="fr-FR" w:eastAsia="zh-CN"/>
              </w:rPr>
            </w:pPr>
            <w:r w:rsidRPr="004B3056">
              <w:rPr>
                <w:rFonts w:cs="Arial"/>
                <w:bCs/>
                <w:caps/>
                <w:sz w:val="17"/>
                <w:szCs w:val="17"/>
                <w:lang w:val="fr-FR" w:eastAsia="zh-CN"/>
              </w:rPr>
              <w:t>FEM</w:t>
            </w:r>
          </w:p>
        </w:tc>
        <w:tc>
          <w:tcPr>
            <w:tcW w:w="736" w:type="pct"/>
            <w:vAlign w:val="center"/>
          </w:tcPr>
          <w:p w14:paraId="406CECF0" w14:textId="77777777" w:rsidR="00FA52F0" w:rsidRPr="004B3056" w:rsidRDefault="00FA52F0" w:rsidP="001C59B7">
            <w:pPr>
              <w:spacing w:line="240" w:lineRule="auto"/>
              <w:rPr>
                <w:rFonts w:cs="Arial"/>
                <w:bCs/>
                <w:sz w:val="17"/>
                <w:szCs w:val="17"/>
                <w:lang w:val="fr-FR" w:eastAsia="zh-CN"/>
              </w:rPr>
            </w:pPr>
          </w:p>
        </w:tc>
        <w:tc>
          <w:tcPr>
            <w:tcW w:w="600" w:type="pct"/>
            <w:shd w:val="clear" w:color="auto" w:fill="auto"/>
            <w:vAlign w:val="center"/>
          </w:tcPr>
          <w:p w14:paraId="2DCA93EC" w14:textId="77777777" w:rsidR="00FA52F0" w:rsidRPr="004B3056" w:rsidRDefault="00FA52F0" w:rsidP="001C59B7">
            <w:pPr>
              <w:spacing w:line="240" w:lineRule="auto"/>
              <w:rPr>
                <w:rFonts w:cs="Arial"/>
                <w:bCs/>
                <w:caps/>
                <w:sz w:val="17"/>
                <w:szCs w:val="17"/>
                <w:lang w:val="fr-FR" w:eastAsia="zh-CN"/>
              </w:rPr>
            </w:pPr>
            <w:r w:rsidRPr="004B3056">
              <w:rPr>
                <w:rFonts w:cs="Arial"/>
                <w:bCs/>
                <w:caps/>
                <w:sz w:val="17"/>
                <w:szCs w:val="17"/>
                <w:lang w:val="fr-FR" w:eastAsia="zh-CN"/>
              </w:rPr>
              <w:t>2016 -</w:t>
            </w:r>
          </w:p>
        </w:tc>
        <w:tc>
          <w:tcPr>
            <w:tcW w:w="769" w:type="pct"/>
            <w:shd w:val="clear" w:color="auto" w:fill="auto"/>
            <w:vAlign w:val="center"/>
          </w:tcPr>
          <w:p w14:paraId="4F998B51" w14:textId="77777777" w:rsidR="00FA52F0" w:rsidRPr="004B3056" w:rsidRDefault="00FA52F0" w:rsidP="0015629B">
            <w:pPr>
              <w:spacing w:line="240" w:lineRule="auto"/>
              <w:jc w:val="left"/>
              <w:rPr>
                <w:rFonts w:cs="Arial"/>
                <w:bCs/>
                <w:caps/>
                <w:sz w:val="17"/>
                <w:szCs w:val="17"/>
                <w:lang w:val="fr-FR" w:eastAsia="zh-CN"/>
              </w:rPr>
            </w:pPr>
            <w:r w:rsidRPr="004B3056">
              <w:rPr>
                <w:rFonts w:cs="Arial"/>
                <w:bCs/>
                <w:caps/>
                <w:sz w:val="17"/>
                <w:szCs w:val="17"/>
                <w:lang w:val="fr-FR" w:eastAsia="zh-CN"/>
              </w:rPr>
              <w:t>2 millions UAC</w:t>
            </w:r>
          </w:p>
        </w:tc>
      </w:tr>
    </w:tbl>
    <w:p w14:paraId="39814764" w14:textId="77777777" w:rsidR="001C59B7" w:rsidRPr="004B3056" w:rsidRDefault="001C59B7" w:rsidP="001C59B7">
      <w:pPr>
        <w:spacing w:line="240" w:lineRule="auto"/>
        <w:rPr>
          <w:sz w:val="18"/>
          <w:szCs w:val="18"/>
          <w:lang w:val="fr-FR" w:eastAsia="zh-CN"/>
        </w:rPr>
      </w:pPr>
    </w:p>
    <w:p w14:paraId="2F9CA85D" w14:textId="77777777" w:rsidR="001C59B7" w:rsidRPr="004B3056" w:rsidRDefault="001C59B7" w:rsidP="004B3056">
      <w:pPr>
        <w:spacing w:after="0" w:line="240" w:lineRule="auto"/>
        <w:rPr>
          <w:sz w:val="18"/>
          <w:szCs w:val="18"/>
          <w:lang w:val="fr-FR" w:eastAsia="zh-CN"/>
        </w:rPr>
      </w:pPr>
      <w:r w:rsidRPr="004B3056">
        <w:rPr>
          <w:sz w:val="18"/>
          <w:szCs w:val="18"/>
          <w:lang w:val="fr-FR" w:eastAsia="zh-CN"/>
        </w:rPr>
        <w:t>Banque mondiale</w:t>
      </w:r>
    </w:p>
    <w:tbl>
      <w:tblPr>
        <w:tblStyle w:val="Tabellenraster3"/>
        <w:tblW w:w="5000" w:type="pct"/>
        <w:tblLook w:val="01E0" w:firstRow="1" w:lastRow="1" w:firstColumn="1" w:lastColumn="1" w:noHBand="0" w:noVBand="0"/>
      </w:tblPr>
      <w:tblGrid>
        <w:gridCol w:w="1323"/>
        <w:gridCol w:w="2912"/>
        <w:gridCol w:w="1874"/>
        <w:gridCol w:w="1416"/>
        <w:gridCol w:w="1130"/>
        <w:gridCol w:w="1482"/>
      </w:tblGrid>
      <w:tr w:rsidR="001C59B7" w:rsidRPr="004B3056" w14:paraId="35E6838D" w14:textId="77777777" w:rsidTr="00BA1953">
        <w:trPr>
          <w:cantSplit/>
          <w:tblHeader/>
        </w:trPr>
        <w:tc>
          <w:tcPr>
            <w:tcW w:w="670" w:type="pct"/>
            <w:tcBorders>
              <w:top w:val="single" w:sz="4" w:space="0" w:color="auto"/>
              <w:left w:val="single" w:sz="4" w:space="0" w:color="auto"/>
              <w:bottom w:val="single" w:sz="4" w:space="0" w:color="auto"/>
              <w:right w:val="single" w:sz="4" w:space="0" w:color="auto"/>
            </w:tcBorders>
            <w:shd w:val="clear" w:color="auto" w:fill="D9D9D9"/>
            <w:vAlign w:val="center"/>
          </w:tcPr>
          <w:p w14:paraId="27F3B3E1" w14:textId="77777777" w:rsidR="001C59B7" w:rsidRPr="004B3056" w:rsidRDefault="001C59B7" w:rsidP="001C59B7">
            <w:pPr>
              <w:spacing w:after="0" w:line="240" w:lineRule="auto"/>
              <w:jc w:val="center"/>
              <w:rPr>
                <w:rFonts w:cs="Arial"/>
                <w:caps/>
                <w:sz w:val="18"/>
                <w:szCs w:val="18"/>
                <w:lang w:val="fr-FR" w:eastAsia="zh-CN"/>
              </w:rPr>
            </w:pPr>
            <w:r w:rsidRPr="004B3056">
              <w:rPr>
                <w:rFonts w:cs="Arial"/>
                <w:caps/>
                <w:sz w:val="18"/>
                <w:szCs w:val="18"/>
                <w:lang w:val="fr-FR" w:eastAsia="zh-CN"/>
              </w:rPr>
              <w:t>Projet Abr.</w:t>
            </w:r>
          </w:p>
        </w:tc>
        <w:tc>
          <w:tcPr>
            <w:tcW w:w="1453" w:type="pct"/>
            <w:tcBorders>
              <w:top w:val="single" w:sz="4" w:space="0" w:color="auto"/>
              <w:left w:val="single" w:sz="4" w:space="0" w:color="auto"/>
              <w:bottom w:val="single" w:sz="4" w:space="0" w:color="auto"/>
              <w:right w:val="single" w:sz="4" w:space="0" w:color="auto"/>
            </w:tcBorders>
            <w:shd w:val="clear" w:color="auto" w:fill="D9D9D9"/>
            <w:vAlign w:val="center"/>
          </w:tcPr>
          <w:p w14:paraId="4B488C24" w14:textId="77777777" w:rsidR="001C59B7" w:rsidRPr="004B3056" w:rsidRDefault="001C59B7" w:rsidP="001C59B7">
            <w:pPr>
              <w:spacing w:after="0" w:line="240" w:lineRule="auto"/>
              <w:jc w:val="center"/>
              <w:rPr>
                <w:rFonts w:cs="Arial"/>
                <w:caps/>
                <w:sz w:val="18"/>
                <w:szCs w:val="18"/>
                <w:lang w:val="fr-FR" w:eastAsia="zh-CN"/>
              </w:rPr>
            </w:pPr>
            <w:r w:rsidRPr="004B3056">
              <w:rPr>
                <w:rFonts w:cs="Arial"/>
                <w:caps/>
                <w:sz w:val="18"/>
                <w:szCs w:val="18"/>
                <w:lang w:val="fr-FR" w:eastAsia="zh-CN"/>
              </w:rPr>
              <w:t>Projet</w:t>
            </w:r>
          </w:p>
        </w:tc>
        <w:tc>
          <w:tcPr>
            <w:tcW w:w="840" w:type="pct"/>
            <w:tcBorders>
              <w:top w:val="single" w:sz="4" w:space="0" w:color="auto"/>
              <w:left w:val="single" w:sz="4" w:space="0" w:color="auto"/>
              <w:bottom w:val="single" w:sz="4" w:space="0" w:color="auto"/>
              <w:right w:val="single" w:sz="4" w:space="0" w:color="auto"/>
            </w:tcBorders>
            <w:shd w:val="clear" w:color="auto" w:fill="D9D9D9"/>
            <w:vAlign w:val="center"/>
          </w:tcPr>
          <w:p w14:paraId="39350CE8" w14:textId="77777777" w:rsidR="001C59B7" w:rsidRPr="004B3056" w:rsidRDefault="001C59B7" w:rsidP="001C59B7">
            <w:pPr>
              <w:spacing w:after="0" w:line="240" w:lineRule="auto"/>
              <w:jc w:val="center"/>
              <w:rPr>
                <w:rFonts w:cs="Arial"/>
                <w:caps/>
                <w:sz w:val="18"/>
                <w:szCs w:val="18"/>
                <w:lang w:val="fr-FR" w:eastAsia="zh-CN"/>
              </w:rPr>
            </w:pPr>
            <w:r w:rsidRPr="004B3056">
              <w:rPr>
                <w:rFonts w:cs="Arial"/>
                <w:caps/>
                <w:sz w:val="18"/>
                <w:szCs w:val="18"/>
                <w:lang w:val="fr-FR" w:eastAsia="zh-CN"/>
              </w:rPr>
              <w:t>Autres bailleurs de fonds</w:t>
            </w:r>
          </w:p>
        </w:tc>
        <w:tc>
          <w:tcPr>
            <w:tcW w:w="715" w:type="pct"/>
            <w:tcBorders>
              <w:top w:val="single" w:sz="4" w:space="0" w:color="auto"/>
              <w:left w:val="single" w:sz="4" w:space="0" w:color="auto"/>
              <w:bottom w:val="single" w:sz="4" w:space="0" w:color="auto"/>
              <w:right w:val="single" w:sz="4" w:space="0" w:color="auto"/>
            </w:tcBorders>
            <w:shd w:val="clear" w:color="auto" w:fill="D9D9D9"/>
            <w:vAlign w:val="center"/>
          </w:tcPr>
          <w:p w14:paraId="433CF33A" w14:textId="77777777" w:rsidR="001C59B7" w:rsidRPr="004B3056" w:rsidRDefault="001C59B7" w:rsidP="001C59B7">
            <w:pPr>
              <w:spacing w:after="0" w:line="240" w:lineRule="auto"/>
              <w:jc w:val="center"/>
              <w:rPr>
                <w:rFonts w:cs="Arial"/>
                <w:caps/>
                <w:sz w:val="18"/>
                <w:szCs w:val="18"/>
                <w:lang w:val="fr-FR" w:eastAsia="zh-CN"/>
              </w:rPr>
            </w:pPr>
            <w:r w:rsidRPr="004B3056">
              <w:rPr>
                <w:rFonts w:cs="Arial"/>
                <w:caps/>
                <w:sz w:val="18"/>
                <w:szCs w:val="18"/>
                <w:lang w:val="fr-FR" w:eastAsia="zh-CN"/>
              </w:rPr>
              <w:t>Partenaire de mise en oeuvre</w:t>
            </w:r>
          </w:p>
        </w:tc>
        <w:tc>
          <w:tcPr>
            <w:tcW w:w="574" w:type="pct"/>
            <w:tcBorders>
              <w:top w:val="single" w:sz="4" w:space="0" w:color="auto"/>
              <w:left w:val="single" w:sz="4" w:space="0" w:color="auto"/>
              <w:bottom w:val="single" w:sz="4" w:space="0" w:color="auto"/>
              <w:right w:val="single" w:sz="4" w:space="0" w:color="auto"/>
            </w:tcBorders>
            <w:shd w:val="clear" w:color="auto" w:fill="D9D9D9"/>
            <w:vAlign w:val="center"/>
          </w:tcPr>
          <w:p w14:paraId="144BD4D6" w14:textId="77777777" w:rsidR="001C59B7" w:rsidRPr="004B3056" w:rsidRDefault="001C59B7" w:rsidP="001C59B7">
            <w:pPr>
              <w:spacing w:after="0" w:line="240" w:lineRule="auto"/>
              <w:jc w:val="center"/>
              <w:rPr>
                <w:rFonts w:cs="Arial"/>
                <w:caps/>
                <w:sz w:val="18"/>
                <w:szCs w:val="18"/>
                <w:lang w:val="fr-FR" w:eastAsia="zh-CN"/>
              </w:rPr>
            </w:pPr>
            <w:r w:rsidRPr="004B3056">
              <w:rPr>
                <w:rFonts w:cs="Arial"/>
                <w:caps/>
                <w:sz w:val="18"/>
                <w:szCs w:val="18"/>
                <w:lang w:val="fr-FR" w:eastAsia="zh-CN"/>
              </w:rPr>
              <w:t>Durée</w:t>
            </w:r>
          </w:p>
        </w:tc>
        <w:tc>
          <w:tcPr>
            <w:tcW w:w="749" w:type="pct"/>
            <w:tcBorders>
              <w:top w:val="single" w:sz="4" w:space="0" w:color="auto"/>
              <w:left w:val="single" w:sz="4" w:space="0" w:color="auto"/>
              <w:bottom w:val="single" w:sz="4" w:space="0" w:color="auto"/>
              <w:right w:val="single" w:sz="4" w:space="0" w:color="auto"/>
            </w:tcBorders>
            <w:shd w:val="clear" w:color="auto" w:fill="D9D9D9"/>
            <w:vAlign w:val="center"/>
          </w:tcPr>
          <w:p w14:paraId="3C30C446" w14:textId="77777777" w:rsidR="001C59B7" w:rsidRPr="004B3056" w:rsidRDefault="001C59B7" w:rsidP="001C59B7">
            <w:pPr>
              <w:spacing w:after="0" w:line="240" w:lineRule="auto"/>
              <w:jc w:val="center"/>
              <w:rPr>
                <w:rFonts w:cs="Arial"/>
                <w:caps/>
                <w:sz w:val="18"/>
                <w:szCs w:val="18"/>
                <w:lang w:val="fr-FR" w:eastAsia="zh-CN"/>
              </w:rPr>
            </w:pPr>
            <w:r w:rsidRPr="004B3056">
              <w:rPr>
                <w:rFonts w:cs="Arial"/>
                <w:caps/>
                <w:sz w:val="18"/>
                <w:szCs w:val="18"/>
                <w:lang w:val="fr-FR" w:eastAsia="zh-CN"/>
              </w:rPr>
              <w:t>Montant (€)</w:t>
            </w:r>
          </w:p>
        </w:tc>
      </w:tr>
      <w:tr w:rsidR="001C59B7" w:rsidRPr="004B3056" w14:paraId="670551FC" w14:textId="77777777" w:rsidTr="00BA1953">
        <w:tc>
          <w:tcPr>
            <w:tcW w:w="670" w:type="pct"/>
            <w:tcBorders>
              <w:top w:val="single" w:sz="4" w:space="0" w:color="auto"/>
              <w:left w:val="single" w:sz="4" w:space="0" w:color="auto"/>
              <w:bottom w:val="single" w:sz="4" w:space="0" w:color="auto"/>
              <w:right w:val="single" w:sz="4" w:space="0" w:color="auto"/>
            </w:tcBorders>
            <w:vAlign w:val="center"/>
          </w:tcPr>
          <w:p w14:paraId="6751950F"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PPAAO/WAAPP</w:t>
            </w:r>
          </w:p>
        </w:tc>
        <w:tc>
          <w:tcPr>
            <w:tcW w:w="1453" w:type="pct"/>
            <w:tcBorders>
              <w:top w:val="single" w:sz="4" w:space="0" w:color="auto"/>
              <w:left w:val="single" w:sz="4" w:space="0" w:color="auto"/>
              <w:bottom w:val="single" w:sz="4" w:space="0" w:color="auto"/>
              <w:right w:val="single" w:sz="4" w:space="0" w:color="auto"/>
            </w:tcBorders>
            <w:vAlign w:val="center"/>
          </w:tcPr>
          <w:p w14:paraId="3FD03C50"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Programme de Productivité Agricole en Afrique de l’Ouest (phase 1 et 2)</w:t>
            </w:r>
          </w:p>
        </w:tc>
        <w:tc>
          <w:tcPr>
            <w:tcW w:w="840" w:type="pct"/>
            <w:tcBorders>
              <w:top w:val="single" w:sz="4" w:space="0" w:color="auto"/>
              <w:left w:val="single" w:sz="4" w:space="0" w:color="auto"/>
              <w:bottom w:val="single" w:sz="4" w:space="0" w:color="auto"/>
              <w:right w:val="single" w:sz="4" w:space="0" w:color="auto"/>
            </w:tcBorders>
            <w:vAlign w:val="center"/>
          </w:tcPr>
          <w:p w14:paraId="32A69710" w14:textId="77777777" w:rsidR="001C59B7" w:rsidRPr="00983A2A" w:rsidRDefault="001C59B7" w:rsidP="001C59B7">
            <w:pPr>
              <w:spacing w:line="240" w:lineRule="auto"/>
              <w:rPr>
                <w:rFonts w:cs="Arial"/>
                <w:sz w:val="17"/>
                <w:szCs w:val="17"/>
                <w:lang w:val="pt-PT" w:eastAsia="zh-CN"/>
              </w:rPr>
            </w:pPr>
            <w:r w:rsidRPr="00983A2A">
              <w:rPr>
                <w:rFonts w:cs="Arial"/>
                <w:sz w:val="17"/>
                <w:szCs w:val="17"/>
                <w:lang w:val="pt-PT" w:eastAsia="zh-CN"/>
              </w:rPr>
              <w:t>BM/ DANIDA/FAO/AECID/JICA</w:t>
            </w:r>
          </w:p>
        </w:tc>
        <w:tc>
          <w:tcPr>
            <w:tcW w:w="715" w:type="pct"/>
            <w:tcBorders>
              <w:top w:val="single" w:sz="4" w:space="0" w:color="auto"/>
              <w:left w:val="single" w:sz="4" w:space="0" w:color="auto"/>
              <w:bottom w:val="single" w:sz="4" w:space="0" w:color="auto"/>
              <w:right w:val="single" w:sz="4" w:space="0" w:color="auto"/>
            </w:tcBorders>
            <w:vAlign w:val="center"/>
          </w:tcPr>
          <w:p w14:paraId="3BFE1E06" w14:textId="77777777" w:rsidR="001C59B7" w:rsidRPr="00983A2A" w:rsidRDefault="001C59B7" w:rsidP="001C59B7">
            <w:pPr>
              <w:spacing w:line="240" w:lineRule="auto"/>
              <w:rPr>
                <w:rFonts w:cs="Arial"/>
                <w:sz w:val="17"/>
                <w:szCs w:val="17"/>
                <w:lang w:val="pt-PT" w:eastAsia="zh-CN"/>
              </w:rPr>
            </w:pP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14:paraId="1ED2A486" w14:textId="77777777" w:rsidR="001C59B7" w:rsidRPr="004B3056" w:rsidRDefault="001C59B7" w:rsidP="001C59B7">
            <w:pPr>
              <w:spacing w:line="240" w:lineRule="auto"/>
              <w:rPr>
                <w:rFonts w:cs="Arial"/>
                <w:sz w:val="17"/>
                <w:szCs w:val="17"/>
                <w:lang w:val="en-US" w:eastAsia="zh-CN"/>
              </w:rPr>
            </w:pPr>
            <w:r w:rsidRPr="004B3056">
              <w:rPr>
                <w:rFonts w:cs="Arial"/>
                <w:sz w:val="17"/>
                <w:szCs w:val="17"/>
                <w:lang w:val="en-US" w:eastAsia="zh-CN"/>
              </w:rPr>
              <w:t>2008 – 2018</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14:paraId="11FE6214" w14:textId="77777777" w:rsidR="001C59B7" w:rsidRPr="004B3056" w:rsidRDefault="001C59B7" w:rsidP="001C59B7">
            <w:pPr>
              <w:spacing w:line="240" w:lineRule="auto"/>
              <w:rPr>
                <w:rFonts w:cs="Arial"/>
                <w:sz w:val="17"/>
                <w:szCs w:val="17"/>
                <w:lang w:val="en-US" w:eastAsia="zh-CN"/>
              </w:rPr>
            </w:pPr>
            <w:r w:rsidRPr="004B3056">
              <w:rPr>
                <w:rFonts w:cs="Arial"/>
                <w:sz w:val="17"/>
                <w:szCs w:val="17"/>
                <w:lang w:val="en-US" w:eastAsia="zh-CN"/>
              </w:rPr>
              <w:t>régional</w:t>
            </w:r>
          </w:p>
        </w:tc>
      </w:tr>
      <w:tr w:rsidR="001C59B7" w:rsidRPr="004B3056" w14:paraId="4357639C" w14:textId="77777777" w:rsidTr="00BA1953">
        <w:tc>
          <w:tcPr>
            <w:tcW w:w="670" w:type="pct"/>
            <w:tcBorders>
              <w:top w:val="single" w:sz="4" w:space="0" w:color="auto"/>
              <w:left w:val="single" w:sz="4" w:space="0" w:color="auto"/>
              <w:bottom w:val="single" w:sz="4" w:space="0" w:color="auto"/>
              <w:right w:val="single" w:sz="4" w:space="0" w:color="auto"/>
            </w:tcBorders>
            <w:vAlign w:val="center"/>
          </w:tcPr>
          <w:p w14:paraId="52271DA4" w14:textId="77777777" w:rsidR="001C59B7" w:rsidRPr="004B3056" w:rsidRDefault="001C59B7" w:rsidP="001C59B7">
            <w:pPr>
              <w:spacing w:after="0" w:line="240" w:lineRule="auto"/>
              <w:rPr>
                <w:rFonts w:cs="Arial"/>
                <w:bCs/>
                <w:caps/>
                <w:sz w:val="17"/>
                <w:szCs w:val="17"/>
                <w:lang w:val="fr-FR" w:eastAsia="zh-CN"/>
              </w:rPr>
            </w:pPr>
          </w:p>
        </w:tc>
        <w:tc>
          <w:tcPr>
            <w:tcW w:w="1453" w:type="pct"/>
            <w:tcBorders>
              <w:top w:val="single" w:sz="4" w:space="0" w:color="auto"/>
              <w:left w:val="single" w:sz="4" w:space="0" w:color="auto"/>
              <w:bottom w:val="single" w:sz="4" w:space="0" w:color="auto"/>
              <w:right w:val="single" w:sz="4" w:space="0" w:color="auto"/>
            </w:tcBorders>
            <w:vAlign w:val="center"/>
          </w:tcPr>
          <w:p w14:paraId="41A90866" w14:textId="77777777" w:rsidR="001C59B7" w:rsidRPr="004B3056" w:rsidRDefault="001C59B7" w:rsidP="001C59B7">
            <w:pPr>
              <w:spacing w:after="0" w:line="240" w:lineRule="auto"/>
              <w:rPr>
                <w:rFonts w:cs="Arial"/>
                <w:bCs/>
                <w:sz w:val="17"/>
                <w:szCs w:val="17"/>
                <w:lang w:val="fr-FR" w:eastAsia="zh-CN"/>
              </w:rPr>
            </w:pPr>
            <w:r w:rsidRPr="004B3056">
              <w:rPr>
                <w:rFonts w:cs="Arial"/>
                <w:bCs/>
                <w:sz w:val="17"/>
                <w:szCs w:val="17"/>
                <w:lang w:val="fr-FR" w:eastAsia="zh-CN"/>
              </w:rPr>
              <w:t>Développement d’options d’adaptation et d’atténuation des effets néfastes du changement climatique sur la riziculture pluviale féminine pour l’amélioration du revenu des populations rurales et de la sécurité alimentaire (part de WAAPP)</w:t>
            </w:r>
          </w:p>
        </w:tc>
        <w:tc>
          <w:tcPr>
            <w:tcW w:w="840" w:type="pct"/>
            <w:tcBorders>
              <w:top w:val="single" w:sz="4" w:space="0" w:color="auto"/>
              <w:left w:val="single" w:sz="4" w:space="0" w:color="auto"/>
              <w:bottom w:val="single" w:sz="4" w:space="0" w:color="auto"/>
              <w:right w:val="single" w:sz="4" w:space="0" w:color="auto"/>
            </w:tcBorders>
            <w:vAlign w:val="center"/>
          </w:tcPr>
          <w:p w14:paraId="0CB41982" w14:textId="77777777" w:rsidR="001C59B7" w:rsidRPr="004B3056" w:rsidRDefault="001C59B7" w:rsidP="001C59B7">
            <w:pPr>
              <w:spacing w:after="0" w:line="240" w:lineRule="auto"/>
              <w:rPr>
                <w:rFonts w:cs="Arial"/>
                <w:bCs/>
                <w:caps/>
                <w:sz w:val="17"/>
                <w:szCs w:val="17"/>
                <w:lang w:val="fr-FR" w:eastAsia="zh-CN"/>
              </w:rPr>
            </w:pPr>
          </w:p>
        </w:tc>
        <w:tc>
          <w:tcPr>
            <w:tcW w:w="715" w:type="pct"/>
            <w:tcBorders>
              <w:top w:val="single" w:sz="4" w:space="0" w:color="auto"/>
              <w:left w:val="single" w:sz="4" w:space="0" w:color="auto"/>
              <w:bottom w:val="single" w:sz="4" w:space="0" w:color="auto"/>
              <w:right w:val="single" w:sz="4" w:space="0" w:color="auto"/>
            </w:tcBorders>
            <w:vAlign w:val="center"/>
          </w:tcPr>
          <w:p w14:paraId="74434BA4"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IER</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14:paraId="54B9D45A"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2016 - 2018</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14:paraId="7814719C"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84.640.300 F.CFA</w:t>
            </w:r>
          </w:p>
        </w:tc>
      </w:tr>
      <w:tr w:rsidR="001C59B7" w:rsidRPr="004B3056" w14:paraId="75CD267E" w14:textId="77777777" w:rsidTr="00BA1953">
        <w:tc>
          <w:tcPr>
            <w:tcW w:w="670" w:type="pct"/>
            <w:tcBorders>
              <w:top w:val="single" w:sz="4" w:space="0" w:color="auto"/>
              <w:left w:val="single" w:sz="4" w:space="0" w:color="auto"/>
              <w:bottom w:val="single" w:sz="4" w:space="0" w:color="auto"/>
              <w:right w:val="single" w:sz="4" w:space="0" w:color="auto"/>
            </w:tcBorders>
            <w:vAlign w:val="center"/>
          </w:tcPr>
          <w:p w14:paraId="0A952DEB" w14:textId="77777777" w:rsidR="001C59B7" w:rsidRPr="004B3056" w:rsidRDefault="001C59B7" w:rsidP="001C59B7">
            <w:pPr>
              <w:spacing w:after="0" w:line="240" w:lineRule="auto"/>
              <w:rPr>
                <w:rFonts w:cs="Arial"/>
                <w:bCs/>
                <w:caps/>
                <w:sz w:val="17"/>
                <w:szCs w:val="17"/>
                <w:lang w:val="fr-FR" w:eastAsia="zh-CN"/>
              </w:rPr>
            </w:pPr>
          </w:p>
        </w:tc>
        <w:tc>
          <w:tcPr>
            <w:tcW w:w="1453" w:type="pct"/>
            <w:tcBorders>
              <w:top w:val="single" w:sz="4" w:space="0" w:color="auto"/>
              <w:left w:val="single" w:sz="4" w:space="0" w:color="auto"/>
              <w:bottom w:val="single" w:sz="4" w:space="0" w:color="auto"/>
              <w:right w:val="single" w:sz="4" w:space="0" w:color="auto"/>
            </w:tcBorders>
            <w:vAlign w:val="center"/>
          </w:tcPr>
          <w:p w14:paraId="180F4679" w14:textId="77777777" w:rsidR="001C59B7" w:rsidRPr="004B3056" w:rsidRDefault="001C59B7" w:rsidP="001C59B7">
            <w:pPr>
              <w:spacing w:after="0" w:line="240" w:lineRule="auto"/>
              <w:rPr>
                <w:rFonts w:cs="Arial"/>
                <w:bCs/>
                <w:sz w:val="17"/>
                <w:szCs w:val="17"/>
                <w:lang w:val="fr-FR" w:eastAsia="zh-CN"/>
              </w:rPr>
            </w:pPr>
            <w:r w:rsidRPr="004B3056">
              <w:rPr>
                <w:rFonts w:cs="Arial"/>
                <w:bCs/>
                <w:sz w:val="17"/>
                <w:szCs w:val="17"/>
                <w:lang w:val="fr-FR" w:eastAsia="zh-CN"/>
              </w:rPr>
              <w:t>Développement des variétés de riz tolérantes à la salinisation/alcalinisation pour les systèmes de rizicultures irriguées (part de WAAPP)</w:t>
            </w:r>
          </w:p>
        </w:tc>
        <w:tc>
          <w:tcPr>
            <w:tcW w:w="840" w:type="pct"/>
            <w:tcBorders>
              <w:top w:val="single" w:sz="4" w:space="0" w:color="auto"/>
              <w:left w:val="single" w:sz="4" w:space="0" w:color="auto"/>
              <w:bottom w:val="single" w:sz="4" w:space="0" w:color="auto"/>
              <w:right w:val="single" w:sz="4" w:space="0" w:color="auto"/>
            </w:tcBorders>
            <w:vAlign w:val="center"/>
          </w:tcPr>
          <w:p w14:paraId="1D0F48FB" w14:textId="77777777" w:rsidR="001C59B7" w:rsidRPr="004B3056" w:rsidRDefault="001C59B7" w:rsidP="001C59B7">
            <w:pPr>
              <w:spacing w:after="0" w:line="240" w:lineRule="auto"/>
              <w:rPr>
                <w:rFonts w:cs="Arial"/>
                <w:bCs/>
                <w:caps/>
                <w:sz w:val="17"/>
                <w:szCs w:val="17"/>
                <w:lang w:val="fr-FR" w:eastAsia="zh-CN"/>
              </w:rPr>
            </w:pPr>
          </w:p>
        </w:tc>
        <w:tc>
          <w:tcPr>
            <w:tcW w:w="715" w:type="pct"/>
            <w:tcBorders>
              <w:top w:val="single" w:sz="4" w:space="0" w:color="auto"/>
              <w:left w:val="single" w:sz="4" w:space="0" w:color="auto"/>
              <w:bottom w:val="single" w:sz="4" w:space="0" w:color="auto"/>
              <w:right w:val="single" w:sz="4" w:space="0" w:color="auto"/>
            </w:tcBorders>
            <w:vAlign w:val="center"/>
          </w:tcPr>
          <w:p w14:paraId="6E6F816C"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IER</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14:paraId="46C50DEF"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2015 - 2018</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14:paraId="10B473DA"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90 994 660 F.CFA</w:t>
            </w:r>
          </w:p>
        </w:tc>
      </w:tr>
      <w:tr w:rsidR="001C59B7" w:rsidRPr="004B3056" w14:paraId="367709A7" w14:textId="77777777" w:rsidTr="00BA1953">
        <w:tc>
          <w:tcPr>
            <w:tcW w:w="670" w:type="pct"/>
            <w:tcBorders>
              <w:top w:val="single" w:sz="4" w:space="0" w:color="auto"/>
              <w:left w:val="single" w:sz="4" w:space="0" w:color="auto"/>
              <w:bottom w:val="single" w:sz="4" w:space="0" w:color="auto"/>
              <w:right w:val="single" w:sz="4" w:space="0" w:color="auto"/>
            </w:tcBorders>
            <w:vAlign w:val="center"/>
          </w:tcPr>
          <w:p w14:paraId="5A4AA7BB"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PEPPO-MALI</w:t>
            </w:r>
          </w:p>
        </w:tc>
        <w:tc>
          <w:tcPr>
            <w:tcW w:w="1453" w:type="pct"/>
            <w:tcBorders>
              <w:top w:val="single" w:sz="4" w:space="0" w:color="auto"/>
              <w:left w:val="single" w:sz="4" w:space="0" w:color="auto"/>
              <w:bottom w:val="single" w:sz="4" w:space="0" w:color="auto"/>
              <w:right w:val="single" w:sz="4" w:space="0" w:color="auto"/>
            </w:tcBorders>
            <w:vAlign w:val="center"/>
          </w:tcPr>
          <w:p w14:paraId="7D11A9CA" w14:textId="77777777" w:rsidR="001C59B7" w:rsidRPr="004B3056" w:rsidRDefault="001C59B7" w:rsidP="001C59B7">
            <w:pPr>
              <w:spacing w:after="0" w:line="240" w:lineRule="auto"/>
              <w:rPr>
                <w:rFonts w:cs="Arial"/>
                <w:bCs/>
                <w:sz w:val="17"/>
                <w:szCs w:val="17"/>
                <w:lang w:val="fr-FR" w:eastAsia="zh-CN"/>
              </w:rPr>
            </w:pPr>
            <w:r w:rsidRPr="004B3056">
              <w:rPr>
                <w:rFonts w:cs="Arial"/>
                <w:bCs/>
                <w:sz w:val="17"/>
                <w:szCs w:val="17"/>
                <w:lang w:val="fr-FR" w:eastAsia="zh-CN"/>
              </w:rPr>
              <w:t>Projet d’Elimination et de Prévention des Pesticides Obsolètes</w:t>
            </w:r>
          </w:p>
        </w:tc>
        <w:tc>
          <w:tcPr>
            <w:tcW w:w="840" w:type="pct"/>
            <w:tcBorders>
              <w:top w:val="single" w:sz="4" w:space="0" w:color="auto"/>
              <w:left w:val="single" w:sz="4" w:space="0" w:color="auto"/>
              <w:bottom w:val="single" w:sz="4" w:space="0" w:color="auto"/>
              <w:right w:val="single" w:sz="4" w:space="0" w:color="auto"/>
            </w:tcBorders>
            <w:vAlign w:val="center"/>
          </w:tcPr>
          <w:p w14:paraId="29ABAA10" w14:textId="77777777" w:rsidR="001C59B7" w:rsidRPr="004B3056" w:rsidRDefault="001C59B7" w:rsidP="001C59B7">
            <w:pPr>
              <w:spacing w:after="0" w:line="240" w:lineRule="auto"/>
              <w:rPr>
                <w:rFonts w:cs="Arial"/>
                <w:bCs/>
                <w:caps/>
                <w:sz w:val="17"/>
                <w:szCs w:val="17"/>
                <w:lang w:val="fr-FR" w:eastAsia="zh-CN"/>
              </w:rPr>
            </w:pPr>
          </w:p>
        </w:tc>
        <w:tc>
          <w:tcPr>
            <w:tcW w:w="715" w:type="pct"/>
            <w:tcBorders>
              <w:top w:val="single" w:sz="4" w:space="0" w:color="auto"/>
              <w:left w:val="single" w:sz="4" w:space="0" w:color="auto"/>
              <w:bottom w:val="single" w:sz="4" w:space="0" w:color="auto"/>
              <w:right w:val="single" w:sz="4" w:space="0" w:color="auto"/>
            </w:tcBorders>
            <w:vAlign w:val="center"/>
          </w:tcPr>
          <w:p w14:paraId="39A7EF12"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MEADD/ DNACPN</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14:paraId="7A8B5569"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2015-2019</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14:paraId="4E588F1C"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5,14 millions de dollars</w:t>
            </w:r>
          </w:p>
        </w:tc>
      </w:tr>
      <w:tr w:rsidR="001C59B7" w:rsidRPr="004B3056" w14:paraId="302F9137" w14:textId="77777777" w:rsidTr="00BA1953">
        <w:tc>
          <w:tcPr>
            <w:tcW w:w="670" w:type="pct"/>
            <w:tcBorders>
              <w:top w:val="single" w:sz="4" w:space="0" w:color="auto"/>
              <w:left w:val="single" w:sz="4" w:space="0" w:color="auto"/>
              <w:bottom w:val="single" w:sz="4" w:space="0" w:color="auto"/>
              <w:right w:val="single" w:sz="4" w:space="0" w:color="auto"/>
            </w:tcBorders>
            <w:vAlign w:val="center"/>
          </w:tcPr>
          <w:p w14:paraId="0FBA1567"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PRAPS-Mali</w:t>
            </w:r>
          </w:p>
        </w:tc>
        <w:tc>
          <w:tcPr>
            <w:tcW w:w="1453" w:type="pct"/>
            <w:tcBorders>
              <w:top w:val="single" w:sz="4" w:space="0" w:color="auto"/>
              <w:left w:val="single" w:sz="4" w:space="0" w:color="auto"/>
              <w:bottom w:val="single" w:sz="4" w:space="0" w:color="auto"/>
              <w:right w:val="single" w:sz="4" w:space="0" w:color="auto"/>
            </w:tcBorders>
            <w:vAlign w:val="center"/>
          </w:tcPr>
          <w:p w14:paraId="70D3B9B3" w14:textId="77777777" w:rsidR="001C59B7" w:rsidRPr="004B3056" w:rsidRDefault="001C59B7" w:rsidP="001C59B7">
            <w:pPr>
              <w:spacing w:after="0" w:line="240" w:lineRule="auto"/>
              <w:contextualSpacing/>
              <w:rPr>
                <w:rFonts w:eastAsia="Calibri"/>
                <w:bCs/>
                <w:sz w:val="17"/>
                <w:szCs w:val="17"/>
                <w:lang w:val="fr-FR"/>
              </w:rPr>
            </w:pPr>
            <w:r w:rsidRPr="004B3056">
              <w:rPr>
                <w:rFonts w:eastAsia="Calibri"/>
                <w:bCs/>
                <w:sz w:val="17"/>
                <w:szCs w:val="17"/>
                <w:lang w:val="fr-FR"/>
              </w:rPr>
              <w:t>Projet Régional d’Appui au Pastoralisme au Sahel</w:t>
            </w:r>
          </w:p>
        </w:tc>
        <w:tc>
          <w:tcPr>
            <w:tcW w:w="840" w:type="pct"/>
            <w:tcBorders>
              <w:top w:val="single" w:sz="4" w:space="0" w:color="auto"/>
              <w:left w:val="single" w:sz="4" w:space="0" w:color="auto"/>
              <w:bottom w:val="single" w:sz="4" w:space="0" w:color="auto"/>
              <w:right w:val="single" w:sz="4" w:space="0" w:color="auto"/>
            </w:tcBorders>
            <w:vAlign w:val="center"/>
          </w:tcPr>
          <w:p w14:paraId="05880B75" w14:textId="77777777" w:rsidR="001C59B7" w:rsidRPr="004B3056" w:rsidRDefault="001C59B7" w:rsidP="001C59B7">
            <w:pPr>
              <w:spacing w:after="0" w:line="240" w:lineRule="auto"/>
              <w:rPr>
                <w:rFonts w:cs="Arial"/>
                <w:bCs/>
                <w:caps/>
                <w:sz w:val="17"/>
                <w:szCs w:val="17"/>
                <w:lang w:val="fr-FR" w:eastAsia="zh-CN"/>
              </w:rPr>
            </w:pPr>
          </w:p>
        </w:tc>
        <w:tc>
          <w:tcPr>
            <w:tcW w:w="715" w:type="pct"/>
            <w:tcBorders>
              <w:top w:val="single" w:sz="4" w:space="0" w:color="auto"/>
              <w:left w:val="single" w:sz="4" w:space="0" w:color="auto"/>
              <w:bottom w:val="single" w:sz="4" w:space="0" w:color="auto"/>
              <w:right w:val="single" w:sz="4" w:space="0" w:color="auto"/>
            </w:tcBorders>
            <w:vAlign w:val="center"/>
          </w:tcPr>
          <w:p w14:paraId="4F2C2BB2" w14:textId="77777777" w:rsidR="001C59B7" w:rsidRPr="004B3056" w:rsidRDefault="001C59B7" w:rsidP="001C59B7">
            <w:pPr>
              <w:spacing w:after="0" w:line="240" w:lineRule="auto"/>
              <w:jc w:val="left"/>
              <w:rPr>
                <w:rFonts w:cs="Arial"/>
                <w:bCs/>
                <w:caps/>
                <w:sz w:val="17"/>
                <w:szCs w:val="17"/>
                <w:lang w:val="fr-FR" w:eastAsia="zh-CN"/>
              </w:rPr>
            </w:pPr>
            <w:r w:rsidRPr="004B3056">
              <w:rPr>
                <w:rFonts w:cs="Arial"/>
                <w:bCs/>
                <w:caps/>
                <w:sz w:val="17"/>
                <w:szCs w:val="17"/>
                <w:lang w:val="fr-FR" w:eastAsia="zh-CN"/>
              </w:rPr>
              <w:t xml:space="preserve">MDR/ DNPIA, DNSV, DNGR, </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14:paraId="6C951B3C"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2016-2022</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14:paraId="2F42C941"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45 Millions de US Dollars</w:t>
            </w:r>
          </w:p>
        </w:tc>
      </w:tr>
      <w:tr w:rsidR="001C59B7" w:rsidRPr="004B3056" w14:paraId="4036E659" w14:textId="77777777" w:rsidTr="00BA1953">
        <w:tc>
          <w:tcPr>
            <w:tcW w:w="670" w:type="pct"/>
            <w:tcBorders>
              <w:top w:val="single" w:sz="4" w:space="0" w:color="auto"/>
              <w:left w:val="single" w:sz="4" w:space="0" w:color="auto"/>
              <w:bottom w:val="single" w:sz="4" w:space="0" w:color="auto"/>
              <w:right w:val="single" w:sz="4" w:space="0" w:color="auto"/>
            </w:tcBorders>
            <w:vAlign w:val="center"/>
          </w:tcPr>
          <w:p w14:paraId="2BE2B337"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PGRNCC</w:t>
            </w:r>
          </w:p>
        </w:tc>
        <w:tc>
          <w:tcPr>
            <w:tcW w:w="1453" w:type="pct"/>
            <w:tcBorders>
              <w:top w:val="single" w:sz="4" w:space="0" w:color="auto"/>
              <w:left w:val="single" w:sz="4" w:space="0" w:color="auto"/>
              <w:bottom w:val="single" w:sz="4" w:space="0" w:color="auto"/>
              <w:right w:val="single" w:sz="4" w:space="0" w:color="auto"/>
            </w:tcBorders>
            <w:vAlign w:val="center"/>
          </w:tcPr>
          <w:p w14:paraId="3301FC5B" w14:textId="77777777" w:rsidR="001C59B7" w:rsidRPr="004B3056" w:rsidRDefault="001C59B7" w:rsidP="001C59B7">
            <w:pPr>
              <w:spacing w:after="0" w:line="240" w:lineRule="auto"/>
              <w:rPr>
                <w:rFonts w:cs="Arial"/>
                <w:bCs/>
                <w:caps/>
                <w:sz w:val="17"/>
                <w:szCs w:val="17"/>
                <w:lang w:val="fr-FR" w:eastAsia="zh-CN"/>
              </w:rPr>
            </w:pPr>
            <w:r w:rsidRPr="004B3056">
              <w:rPr>
                <w:rFonts w:cs="Arial"/>
                <w:bCs/>
                <w:sz w:val="17"/>
                <w:szCs w:val="17"/>
                <w:lang w:val="fr-FR" w:eastAsia="zh-CN"/>
              </w:rPr>
              <w:t>Projet de gestion des ressources naturelles et changement climatique</w:t>
            </w:r>
          </w:p>
        </w:tc>
        <w:tc>
          <w:tcPr>
            <w:tcW w:w="840" w:type="pct"/>
            <w:tcBorders>
              <w:top w:val="single" w:sz="4" w:space="0" w:color="auto"/>
              <w:left w:val="single" w:sz="4" w:space="0" w:color="auto"/>
              <w:bottom w:val="single" w:sz="4" w:space="0" w:color="auto"/>
              <w:right w:val="single" w:sz="4" w:space="0" w:color="auto"/>
            </w:tcBorders>
            <w:vAlign w:val="center"/>
          </w:tcPr>
          <w:p w14:paraId="6E3AEB73"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FEM</w:t>
            </w:r>
          </w:p>
        </w:tc>
        <w:tc>
          <w:tcPr>
            <w:tcW w:w="715" w:type="pct"/>
            <w:tcBorders>
              <w:top w:val="single" w:sz="4" w:space="0" w:color="auto"/>
              <w:left w:val="single" w:sz="4" w:space="0" w:color="auto"/>
              <w:bottom w:val="single" w:sz="4" w:space="0" w:color="auto"/>
              <w:right w:val="single" w:sz="4" w:space="0" w:color="auto"/>
            </w:tcBorders>
            <w:vAlign w:val="center"/>
          </w:tcPr>
          <w:p w14:paraId="6567840D"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AEDD</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14:paraId="4F41C881"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2014-2018</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14:paraId="29B5D847"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 14.114.000</w:t>
            </w:r>
          </w:p>
        </w:tc>
      </w:tr>
      <w:tr w:rsidR="001C59B7" w:rsidRPr="004B3056" w14:paraId="7507EF45" w14:textId="77777777" w:rsidTr="00BA1953">
        <w:tc>
          <w:tcPr>
            <w:tcW w:w="670" w:type="pct"/>
            <w:tcBorders>
              <w:top w:val="single" w:sz="4" w:space="0" w:color="auto"/>
              <w:left w:val="single" w:sz="4" w:space="0" w:color="auto"/>
              <w:bottom w:val="single" w:sz="4" w:space="0" w:color="auto"/>
              <w:right w:val="single" w:sz="4" w:space="0" w:color="auto"/>
            </w:tcBorders>
            <w:vAlign w:val="center"/>
          </w:tcPr>
          <w:p w14:paraId="152FB3E9"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PACUM</w:t>
            </w:r>
          </w:p>
        </w:tc>
        <w:tc>
          <w:tcPr>
            <w:tcW w:w="1453" w:type="pct"/>
            <w:tcBorders>
              <w:top w:val="single" w:sz="4" w:space="0" w:color="auto"/>
              <w:left w:val="single" w:sz="4" w:space="0" w:color="auto"/>
              <w:bottom w:val="single" w:sz="4" w:space="0" w:color="auto"/>
              <w:right w:val="single" w:sz="4" w:space="0" w:color="auto"/>
            </w:tcBorders>
            <w:vAlign w:val="center"/>
          </w:tcPr>
          <w:p w14:paraId="6215A15F" w14:textId="77777777" w:rsidR="001C59B7" w:rsidRPr="004B3056" w:rsidRDefault="001C59B7" w:rsidP="001C59B7">
            <w:pPr>
              <w:spacing w:after="0" w:line="240" w:lineRule="auto"/>
              <w:rPr>
                <w:rFonts w:cs="Arial"/>
                <w:bCs/>
                <w:caps/>
                <w:sz w:val="17"/>
                <w:szCs w:val="17"/>
                <w:lang w:val="fr-FR" w:eastAsia="zh-CN"/>
              </w:rPr>
            </w:pPr>
            <w:r w:rsidRPr="004B3056">
              <w:rPr>
                <w:rFonts w:cs="Arial"/>
                <w:bCs/>
                <w:sz w:val="17"/>
                <w:szCs w:val="17"/>
                <w:lang w:val="fr-FR" w:eastAsia="zh-CN"/>
              </w:rPr>
              <w:t>Projet d’appui aux communes urbaines du Mali</w:t>
            </w:r>
          </w:p>
        </w:tc>
        <w:tc>
          <w:tcPr>
            <w:tcW w:w="840" w:type="pct"/>
            <w:tcBorders>
              <w:top w:val="single" w:sz="4" w:space="0" w:color="auto"/>
              <w:left w:val="single" w:sz="4" w:space="0" w:color="auto"/>
              <w:bottom w:val="single" w:sz="4" w:space="0" w:color="auto"/>
              <w:right w:val="single" w:sz="4" w:space="0" w:color="auto"/>
            </w:tcBorders>
            <w:vAlign w:val="center"/>
          </w:tcPr>
          <w:p w14:paraId="72DCAE66"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Coopération Suisse</w:t>
            </w:r>
          </w:p>
        </w:tc>
        <w:tc>
          <w:tcPr>
            <w:tcW w:w="715" w:type="pct"/>
            <w:tcBorders>
              <w:top w:val="single" w:sz="4" w:space="0" w:color="auto"/>
              <w:left w:val="single" w:sz="4" w:space="0" w:color="auto"/>
              <w:bottom w:val="single" w:sz="4" w:space="0" w:color="auto"/>
              <w:right w:val="single" w:sz="4" w:space="0" w:color="auto"/>
            </w:tcBorders>
            <w:vAlign w:val="center"/>
          </w:tcPr>
          <w:p w14:paraId="171B66AF"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CAB, MUPV</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14:paraId="113F0325"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2012- 2018</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14:paraId="3968656E"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~12.200.000</w:t>
            </w:r>
          </w:p>
        </w:tc>
      </w:tr>
      <w:tr w:rsidR="001C59B7" w:rsidRPr="004B3056" w14:paraId="1E9085DA" w14:textId="77777777" w:rsidTr="00BA1953">
        <w:tc>
          <w:tcPr>
            <w:tcW w:w="670" w:type="pct"/>
            <w:tcBorders>
              <w:top w:val="single" w:sz="4" w:space="0" w:color="auto"/>
              <w:left w:val="single" w:sz="4" w:space="0" w:color="auto"/>
              <w:bottom w:val="single" w:sz="4" w:space="0" w:color="auto"/>
              <w:right w:val="single" w:sz="4" w:space="0" w:color="auto"/>
            </w:tcBorders>
            <w:vAlign w:val="center"/>
          </w:tcPr>
          <w:p w14:paraId="4C7320C1"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PREEFN</w:t>
            </w:r>
          </w:p>
        </w:tc>
        <w:tc>
          <w:tcPr>
            <w:tcW w:w="1453" w:type="pct"/>
            <w:tcBorders>
              <w:top w:val="single" w:sz="4" w:space="0" w:color="auto"/>
              <w:left w:val="single" w:sz="4" w:space="0" w:color="auto"/>
              <w:bottom w:val="single" w:sz="4" w:space="0" w:color="auto"/>
              <w:right w:val="single" w:sz="4" w:space="0" w:color="auto"/>
            </w:tcBorders>
            <w:vAlign w:val="center"/>
          </w:tcPr>
          <w:p w14:paraId="77BC5B29" w14:textId="77777777" w:rsidR="001C59B7" w:rsidRPr="004B3056" w:rsidRDefault="001C59B7" w:rsidP="001C59B7">
            <w:pPr>
              <w:spacing w:after="0" w:line="240" w:lineRule="auto"/>
              <w:rPr>
                <w:rFonts w:cs="Arial"/>
                <w:bCs/>
                <w:sz w:val="17"/>
                <w:szCs w:val="17"/>
                <w:lang w:val="fr-FR" w:eastAsia="zh-CN"/>
              </w:rPr>
            </w:pPr>
            <w:r w:rsidRPr="004B3056">
              <w:rPr>
                <w:rFonts w:cs="Arial"/>
                <w:bCs/>
                <w:sz w:val="17"/>
                <w:szCs w:val="17"/>
                <w:lang w:val="fr-FR" w:eastAsia="zh-CN"/>
              </w:rPr>
              <w:t xml:space="preserve">Projet de Réhabilitation Économique et Environnementale du Fleuve Niger </w:t>
            </w:r>
          </w:p>
        </w:tc>
        <w:tc>
          <w:tcPr>
            <w:tcW w:w="840" w:type="pct"/>
            <w:tcBorders>
              <w:top w:val="single" w:sz="4" w:space="0" w:color="auto"/>
              <w:left w:val="single" w:sz="4" w:space="0" w:color="auto"/>
              <w:bottom w:val="single" w:sz="4" w:space="0" w:color="auto"/>
              <w:right w:val="single" w:sz="4" w:space="0" w:color="auto"/>
            </w:tcBorders>
            <w:vAlign w:val="center"/>
          </w:tcPr>
          <w:p w14:paraId="100225F0" w14:textId="77777777" w:rsidR="001C59B7" w:rsidRPr="004B3056" w:rsidRDefault="001C59B7" w:rsidP="001C59B7">
            <w:pPr>
              <w:spacing w:after="0" w:line="240" w:lineRule="auto"/>
              <w:rPr>
                <w:rFonts w:cs="Arial"/>
                <w:bCs/>
                <w:caps/>
                <w:sz w:val="17"/>
                <w:szCs w:val="17"/>
                <w:lang w:val="fr-FR" w:eastAsia="zh-CN"/>
              </w:rPr>
            </w:pPr>
          </w:p>
        </w:tc>
        <w:tc>
          <w:tcPr>
            <w:tcW w:w="715" w:type="pct"/>
            <w:tcBorders>
              <w:top w:val="single" w:sz="4" w:space="0" w:color="auto"/>
              <w:left w:val="single" w:sz="4" w:space="0" w:color="auto"/>
              <w:bottom w:val="single" w:sz="4" w:space="0" w:color="auto"/>
              <w:right w:val="single" w:sz="4" w:space="0" w:color="auto"/>
            </w:tcBorders>
            <w:vAlign w:val="center"/>
          </w:tcPr>
          <w:p w14:paraId="3D762D59"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ABFN</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14:paraId="79B67BE8"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2017 -</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14:paraId="68BC658B"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27,8 Million US$</w:t>
            </w:r>
          </w:p>
        </w:tc>
      </w:tr>
      <w:tr w:rsidR="001C59B7" w:rsidRPr="004B3056" w14:paraId="7DF325D3" w14:textId="77777777" w:rsidTr="00BA1953">
        <w:tc>
          <w:tcPr>
            <w:tcW w:w="670" w:type="pct"/>
            <w:tcBorders>
              <w:top w:val="single" w:sz="4" w:space="0" w:color="auto"/>
              <w:left w:val="single" w:sz="4" w:space="0" w:color="auto"/>
              <w:bottom w:val="single" w:sz="4" w:space="0" w:color="auto"/>
              <w:right w:val="single" w:sz="4" w:space="0" w:color="auto"/>
            </w:tcBorders>
            <w:vAlign w:val="center"/>
          </w:tcPr>
          <w:p w14:paraId="296BB571"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PADEL - M</w:t>
            </w:r>
          </w:p>
        </w:tc>
        <w:tc>
          <w:tcPr>
            <w:tcW w:w="1453" w:type="pct"/>
            <w:tcBorders>
              <w:top w:val="single" w:sz="4" w:space="0" w:color="auto"/>
              <w:left w:val="single" w:sz="4" w:space="0" w:color="auto"/>
              <w:bottom w:val="single" w:sz="4" w:space="0" w:color="auto"/>
              <w:right w:val="single" w:sz="4" w:space="0" w:color="auto"/>
            </w:tcBorders>
            <w:vAlign w:val="center"/>
          </w:tcPr>
          <w:p w14:paraId="241C8133" w14:textId="77777777" w:rsidR="001C59B7" w:rsidRPr="004B3056" w:rsidRDefault="001C59B7" w:rsidP="001C59B7">
            <w:pPr>
              <w:spacing w:after="0" w:line="240" w:lineRule="auto"/>
              <w:rPr>
                <w:rFonts w:cs="Arial"/>
                <w:bCs/>
                <w:sz w:val="17"/>
                <w:szCs w:val="17"/>
                <w:lang w:val="fr-FR" w:eastAsia="zh-CN"/>
              </w:rPr>
            </w:pPr>
            <w:r w:rsidRPr="004B3056">
              <w:rPr>
                <w:rFonts w:cs="Arial"/>
                <w:bCs/>
                <w:sz w:val="17"/>
                <w:szCs w:val="17"/>
                <w:lang w:val="fr-FR" w:eastAsia="zh-CN"/>
              </w:rPr>
              <w:t>Projet de soutien au développement du secteur de l’élevage au Mali</w:t>
            </w:r>
          </w:p>
        </w:tc>
        <w:tc>
          <w:tcPr>
            <w:tcW w:w="840" w:type="pct"/>
            <w:tcBorders>
              <w:top w:val="single" w:sz="4" w:space="0" w:color="auto"/>
              <w:left w:val="single" w:sz="4" w:space="0" w:color="auto"/>
              <w:bottom w:val="single" w:sz="4" w:space="0" w:color="auto"/>
              <w:right w:val="single" w:sz="4" w:space="0" w:color="auto"/>
            </w:tcBorders>
            <w:vAlign w:val="center"/>
          </w:tcPr>
          <w:p w14:paraId="74955080" w14:textId="77777777" w:rsidR="001C59B7" w:rsidRPr="004B3056" w:rsidRDefault="001C59B7" w:rsidP="001C59B7">
            <w:pPr>
              <w:spacing w:after="0" w:line="240" w:lineRule="auto"/>
              <w:rPr>
                <w:rFonts w:cs="Arial"/>
                <w:bCs/>
                <w:caps/>
                <w:sz w:val="17"/>
                <w:szCs w:val="17"/>
                <w:lang w:val="fr-FR" w:eastAsia="zh-CN"/>
              </w:rPr>
            </w:pPr>
          </w:p>
        </w:tc>
        <w:tc>
          <w:tcPr>
            <w:tcW w:w="715" w:type="pct"/>
            <w:tcBorders>
              <w:top w:val="single" w:sz="4" w:space="0" w:color="auto"/>
              <w:left w:val="single" w:sz="4" w:space="0" w:color="auto"/>
              <w:bottom w:val="single" w:sz="4" w:space="0" w:color="auto"/>
              <w:right w:val="single" w:sz="4" w:space="0" w:color="auto"/>
            </w:tcBorders>
            <w:vAlign w:val="center"/>
          </w:tcPr>
          <w:p w14:paraId="1F3E2993" w14:textId="77777777" w:rsidR="001C59B7" w:rsidRPr="004B3056" w:rsidRDefault="001C59B7" w:rsidP="001C59B7">
            <w:pPr>
              <w:spacing w:after="0" w:line="240" w:lineRule="auto"/>
              <w:rPr>
                <w:rFonts w:cs="Arial"/>
                <w:bCs/>
                <w:caps/>
                <w:sz w:val="17"/>
                <w:szCs w:val="17"/>
                <w:lang w:val="fr-FR" w:eastAsia="zh-CN"/>
              </w:rPr>
            </w:pP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14:paraId="2ECDB59C"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2018 - 2021</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14:paraId="24BCE6E8"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78,4 Million US$</w:t>
            </w:r>
          </w:p>
        </w:tc>
      </w:tr>
      <w:tr w:rsidR="001C59B7" w:rsidRPr="004B3056" w14:paraId="39BB74E3" w14:textId="77777777" w:rsidTr="00BA1953">
        <w:tc>
          <w:tcPr>
            <w:tcW w:w="670" w:type="pct"/>
            <w:tcBorders>
              <w:top w:val="single" w:sz="4" w:space="0" w:color="auto"/>
              <w:left w:val="single" w:sz="4" w:space="0" w:color="auto"/>
              <w:bottom w:val="single" w:sz="4" w:space="0" w:color="auto"/>
              <w:right w:val="single" w:sz="4" w:space="0" w:color="auto"/>
            </w:tcBorders>
            <w:vAlign w:val="center"/>
          </w:tcPr>
          <w:p w14:paraId="73FEFDCB" w14:textId="77777777" w:rsidR="001C59B7" w:rsidRPr="004B3056" w:rsidRDefault="001C59B7" w:rsidP="001C59B7">
            <w:pPr>
              <w:spacing w:after="0" w:line="240" w:lineRule="auto"/>
              <w:rPr>
                <w:rFonts w:cs="Arial"/>
                <w:bCs/>
                <w:caps/>
                <w:sz w:val="17"/>
                <w:szCs w:val="17"/>
                <w:lang w:val="fr-FR" w:eastAsia="zh-CN"/>
              </w:rPr>
            </w:pPr>
          </w:p>
        </w:tc>
        <w:tc>
          <w:tcPr>
            <w:tcW w:w="1453" w:type="pct"/>
            <w:tcBorders>
              <w:top w:val="single" w:sz="4" w:space="0" w:color="auto"/>
              <w:left w:val="single" w:sz="4" w:space="0" w:color="auto"/>
              <w:bottom w:val="single" w:sz="4" w:space="0" w:color="auto"/>
              <w:right w:val="single" w:sz="4" w:space="0" w:color="auto"/>
            </w:tcBorders>
            <w:vAlign w:val="center"/>
          </w:tcPr>
          <w:p w14:paraId="185B558D" w14:textId="77777777" w:rsidR="001C59B7" w:rsidRPr="004B3056" w:rsidRDefault="001C59B7" w:rsidP="001C59B7">
            <w:pPr>
              <w:spacing w:after="0" w:line="240" w:lineRule="auto"/>
              <w:rPr>
                <w:rFonts w:cs="Arial"/>
                <w:bCs/>
                <w:sz w:val="17"/>
                <w:szCs w:val="17"/>
                <w:lang w:val="fr-FR" w:eastAsia="zh-CN"/>
              </w:rPr>
            </w:pPr>
            <w:r w:rsidRPr="004B3056">
              <w:rPr>
                <w:rFonts w:cs="Arial"/>
                <w:bCs/>
                <w:sz w:val="17"/>
                <w:szCs w:val="17"/>
                <w:lang w:val="fr-FR" w:eastAsia="zh-CN"/>
              </w:rPr>
              <w:t>Mali Drylands Development Project</w:t>
            </w:r>
          </w:p>
        </w:tc>
        <w:tc>
          <w:tcPr>
            <w:tcW w:w="840" w:type="pct"/>
            <w:tcBorders>
              <w:top w:val="single" w:sz="4" w:space="0" w:color="auto"/>
              <w:left w:val="single" w:sz="4" w:space="0" w:color="auto"/>
              <w:bottom w:val="single" w:sz="4" w:space="0" w:color="auto"/>
              <w:right w:val="single" w:sz="4" w:space="0" w:color="auto"/>
            </w:tcBorders>
            <w:vAlign w:val="center"/>
          </w:tcPr>
          <w:p w14:paraId="02EDBEFE" w14:textId="77777777" w:rsidR="001C59B7" w:rsidRPr="004B3056" w:rsidRDefault="001C59B7" w:rsidP="001C59B7">
            <w:pPr>
              <w:spacing w:after="0" w:line="240" w:lineRule="auto"/>
              <w:rPr>
                <w:rFonts w:cs="Arial"/>
                <w:bCs/>
                <w:caps/>
                <w:sz w:val="17"/>
                <w:szCs w:val="17"/>
                <w:lang w:val="fr-FR" w:eastAsia="zh-CN"/>
              </w:rPr>
            </w:pPr>
          </w:p>
        </w:tc>
        <w:tc>
          <w:tcPr>
            <w:tcW w:w="715" w:type="pct"/>
            <w:tcBorders>
              <w:top w:val="single" w:sz="4" w:space="0" w:color="auto"/>
              <w:left w:val="single" w:sz="4" w:space="0" w:color="auto"/>
              <w:bottom w:val="single" w:sz="4" w:space="0" w:color="auto"/>
              <w:right w:val="single" w:sz="4" w:space="0" w:color="auto"/>
            </w:tcBorders>
            <w:vAlign w:val="center"/>
          </w:tcPr>
          <w:p w14:paraId="75C4D5A9" w14:textId="77777777" w:rsidR="001C59B7" w:rsidRPr="004B3056" w:rsidRDefault="001C59B7" w:rsidP="001C59B7">
            <w:pPr>
              <w:spacing w:after="0" w:line="240" w:lineRule="auto"/>
              <w:rPr>
                <w:rFonts w:cs="Arial"/>
                <w:bCs/>
                <w:caps/>
                <w:sz w:val="17"/>
                <w:szCs w:val="17"/>
                <w:lang w:val="fr-FR" w:eastAsia="zh-CN"/>
              </w:rPr>
            </w:pP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14:paraId="1B45A7DD"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2018 - 2023</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14:paraId="5A45903E"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64,5 Million US$</w:t>
            </w:r>
          </w:p>
        </w:tc>
      </w:tr>
      <w:tr w:rsidR="001C59B7" w:rsidRPr="004B3056" w14:paraId="10272680" w14:textId="77777777" w:rsidTr="00BA1953">
        <w:tc>
          <w:tcPr>
            <w:tcW w:w="670" w:type="pct"/>
            <w:tcBorders>
              <w:top w:val="single" w:sz="4" w:space="0" w:color="auto"/>
              <w:left w:val="single" w:sz="4" w:space="0" w:color="auto"/>
              <w:bottom w:val="single" w:sz="4" w:space="0" w:color="auto"/>
              <w:right w:val="single" w:sz="4" w:space="0" w:color="auto"/>
            </w:tcBorders>
            <w:vAlign w:val="center"/>
          </w:tcPr>
          <w:p w14:paraId="6780048D" w14:textId="77777777" w:rsidR="001C59B7" w:rsidRPr="004B3056" w:rsidRDefault="001C59B7" w:rsidP="001C59B7">
            <w:pPr>
              <w:spacing w:after="0" w:line="240" w:lineRule="auto"/>
              <w:rPr>
                <w:rFonts w:cs="Arial"/>
                <w:bCs/>
                <w:caps/>
                <w:sz w:val="17"/>
                <w:szCs w:val="17"/>
                <w:lang w:val="fr-FR" w:eastAsia="zh-CN"/>
              </w:rPr>
            </w:pPr>
          </w:p>
        </w:tc>
        <w:tc>
          <w:tcPr>
            <w:tcW w:w="1453" w:type="pct"/>
            <w:tcBorders>
              <w:top w:val="single" w:sz="4" w:space="0" w:color="auto"/>
              <w:left w:val="single" w:sz="4" w:space="0" w:color="auto"/>
              <w:bottom w:val="single" w:sz="4" w:space="0" w:color="auto"/>
              <w:right w:val="single" w:sz="4" w:space="0" w:color="auto"/>
            </w:tcBorders>
            <w:vAlign w:val="center"/>
          </w:tcPr>
          <w:p w14:paraId="353B7821" w14:textId="77777777" w:rsidR="001C59B7" w:rsidRPr="004B3056" w:rsidRDefault="001C59B7" w:rsidP="001C59B7">
            <w:pPr>
              <w:spacing w:after="0" w:line="240" w:lineRule="auto"/>
              <w:rPr>
                <w:rFonts w:cs="Arial"/>
                <w:bCs/>
                <w:sz w:val="17"/>
                <w:szCs w:val="17"/>
                <w:lang w:val="fr-FR" w:eastAsia="zh-CN"/>
              </w:rPr>
            </w:pPr>
            <w:r w:rsidRPr="004B3056">
              <w:rPr>
                <w:rFonts w:cs="Arial"/>
                <w:bCs/>
                <w:sz w:val="17"/>
                <w:szCs w:val="17"/>
                <w:lang w:val="fr-FR" w:eastAsia="zh-CN"/>
              </w:rPr>
              <w:t>Mali : projet de garanties en faveur de l’énergie solaire à Ségou</w:t>
            </w:r>
          </w:p>
        </w:tc>
        <w:tc>
          <w:tcPr>
            <w:tcW w:w="840" w:type="pct"/>
            <w:tcBorders>
              <w:top w:val="single" w:sz="4" w:space="0" w:color="auto"/>
              <w:left w:val="single" w:sz="4" w:space="0" w:color="auto"/>
              <w:bottom w:val="single" w:sz="4" w:space="0" w:color="auto"/>
              <w:right w:val="single" w:sz="4" w:space="0" w:color="auto"/>
            </w:tcBorders>
            <w:vAlign w:val="center"/>
          </w:tcPr>
          <w:p w14:paraId="457C5AD6" w14:textId="77777777" w:rsidR="001C59B7" w:rsidRPr="004B3056" w:rsidRDefault="001C59B7" w:rsidP="001C59B7">
            <w:pPr>
              <w:spacing w:after="0" w:line="240" w:lineRule="auto"/>
              <w:rPr>
                <w:rFonts w:cs="Arial"/>
                <w:bCs/>
                <w:caps/>
                <w:sz w:val="17"/>
                <w:szCs w:val="17"/>
                <w:lang w:val="fr-FR" w:eastAsia="zh-CN"/>
              </w:rPr>
            </w:pPr>
          </w:p>
        </w:tc>
        <w:tc>
          <w:tcPr>
            <w:tcW w:w="715" w:type="pct"/>
            <w:tcBorders>
              <w:top w:val="single" w:sz="4" w:space="0" w:color="auto"/>
              <w:left w:val="single" w:sz="4" w:space="0" w:color="auto"/>
              <w:bottom w:val="single" w:sz="4" w:space="0" w:color="auto"/>
              <w:right w:val="single" w:sz="4" w:space="0" w:color="auto"/>
            </w:tcBorders>
            <w:vAlign w:val="center"/>
          </w:tcPr>
          <w:p w14:paraId="4EB59D35" w14:textId="77777777" w:rsidR="001C59B7" w:rsidRPr="004B3056" w:rsidRDefault="001C59B7" w:rsidP="001C59B7">
            <w:pPr>
              <w:spacing w:after="0" w:line="240" w:lineRule="auto"/>
              <w:rPr>
                <w:rFonts w:cs="Arial"/>
                <w:bCs/>
                <w:caps/>
                <w:sz w:val="17"/>
                <w:szCs w:val="17"/>
                <w:lang w:val="fr-FR" w:eastAsia="zh-CN"/>
              </w:rPr>
            </w:pP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14:paraId="285CCF73"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 xml:space="preserve">2017 - </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14:paraId="0B8F366A"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6,2 Million US$</w:t>
            </w:r>
          </w:p>
        </w:tc>
      </w:tr>
      <w:tr w:rsidR="001C59B7" w:rsidRPr="004B3056" w14:paraId="592C9EEB" w14:textId="77777777" w:rsidTr="00BA1953">
        <w:tc>
          <w:tcPr>
            <w:tcW w:w="670" w:type="pct"/>
            <w:tcBorders>
              <w:top w:val="single" w:sz="4" w:space="0" w:color="auto"/>
              <w:left w:val="single" w:sz="4" w:space="0" w:color="auto"/>
              <w:bottom w:val="single" w:sz="4" w:space="0" w:color="auto"/>
              <w:right w:val="single" w:sz="4" w:space="0" w:color="auto"/>
            </w:tcBorders>
            <w:vAlign w:val="center"/>
          </w:tcPr>
          <w:p w14:paraId="48FCB37F" w14:textId="77777777" w:rsidR="001C59B7" w:rsidRPr="004B3056" w:rsidRDefault="001C59B7" w:rsidP="001C59B7">
            <w:pPr>
              <w:spacing w:after="0" w:line="240" w:lineRule="auto"/>
              <w:rPr>
                <w:rFonts w:cs="Arial"/>
                <w:bCs/>
                <w:caps/>
                <w:sz w:val="17"/>
                <w:szCs w:val="17"/>
                <w:lang w:val="fr-FR" w:eastAsia="zh-CN"/>
              </w:rPr>
            </w:pPr>
          </w:p>
        </w:tc>
        <w:tc>
          <w:tcPr>
            <w:tcW w:w="1453" w:type="pct"/>
            <w:tcBorders>
              <w:top w:val="single" w:sz="4" w:space="0" w:color="auto"/>
              <w:left w:val="single" w:sz="4" w:space="0" w:color="auto"/>
              <w:bottom w:val="single" w:sz="4" w:space="0" w:color="auto"/>
              <w:right w:val="single" w:sz="4" w:space="0" w:color="auto"/>
            </w:tcBorders>
            <w:vAlign w:val="center"/>
          </w:tcPr>
          <w:p w14:paraId="217EF56B" w14:textId="77777777" w:rsidR="001C59B7" w:rsidRPr="004B3056" w:rsidRDefault="001C59B7" w:rsidP="001C59B7">
            <w:pPr>
              <w:spacing w:after="0" w:line="240" w:lineRule="auto"/>
              <w:rPr>
                <w:rFonts w:cs="Arial"/>
                <w:bCs/>
                <w:sz w:val="17"/>
                <w:szCs w:val="17"/>
                <w:lang w:val="fr-FR" w:eastAsia="zh-CN"/>
              </w:rPr>
            </w:pPr>
            <w:r w:rsidRPr="004B3056">
              <w:rPr>
                <w:rFonts w:cs="Arial"/>
                <w:bCs/>
                <w:sz w:val="17"/>
                <w:szCs w:val="17"/>
                <w:lang w:val="fr-FR" w:eastAsia="zh-CN"/>
              </w:rPr>
              <w:t>Mali Rural Electrification Program</w:t>
            </w:r>
          </w:p>
        </w:tc>
        <w:tc>
          <w:tcPr>
            <w:tcW w:w="840" w:type="pct"/>
            <w:tcBorders>
              <w:top w:val="single" w:sz="4" w:space="0" w:color="auto"/>
              <w:left w:val="single" w:sz="4" w:space="0" w:color="auto"/>
              <w:bottom w:val="single" w:sz="4" w:space="0" w:color="auto"/>
              <w:right w:val="single" w:sz="4" w:space="0" w:color="auto"/>
            </w:tcBorders>
            <w:vAlign w:val="center"/>
          </w:tcPr>
          <w:p w14:paraId="1E99BB07" w14:textId="77777777" w:rsidR="001C59B7" w:rsidRPr="004B3056" w:rsidRDefault="001C59B7" w:rsidP="001C59B7">
            <w:pPr>
              <w:spacing w:after="0" w:line="240" w:lineRule="auto"/>
              <w:rPr>
                <w:rFonts w:cs="Arial"/>
                <w:bCs/>
                <w:caps/>
                <w:sz w:val="17"/>
                <w:szCs w:val="17"/>
                <w:lang w:val="fr-FR" w:eastAsia="zh-CN"/>
              </w:rPr>
            </w:pPr>
          </w:p>
        </w:tc>
        <w:tc>
          <w:tcPr>
            <w:tcW w:w="715" w:type="pct"/>
            <w:tcBorders>
              <w:top w:val="single" w:sz="4" w:space="0" w:color="auto"/>
              <w:left w:val="single" w:sz="4" w:space="0" w:color="auto"/>
              <w:bottom w:val="single" w:sz="4" w:space="0" w:color="auto"/>
              <w:right w:val="single" w:sz="4" w:space="0" w:color="auto"/>
            </w:tcBorders>
            <w:vAlign w:val="center"/>
          </w:tcPr>
          <w:p w14:paraId="0AA8B504" w14:textId="77777777" w:rsidR="001C59B7" w:rsidRPr="004B3056" w:rsidRDefault="001C59B7" w:rsidP="001C59B7">
            <w:pPr>
              <w:spacing w:after="0" w:line="240" w:lineRule="auto"/>
              <w:rPr>
                <w:rFonts w:cs="Arial"/>
                <w:bCs/>
                <w:caps/>
                <w:sz w:val="17"/>
                <w:szCs w:val="17"/>
                <w:lang w:val="fr-FR" w:eastAsia="zh-CN"/>
              </w:rPr>
            </w:pP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14:paraId="05351A25"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2017 -</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14:paraId="6138C00D"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4,8 Million US$</w:t>
            </w:r>
          </w:p>
        </w:tc>
      </w:tr>
      <w:tr w:rsidR="001C59B7" w:rsidRPr="004B3056" w14:paraId="1B44F395" w14:textId="77777777" w:rsidTr="00BA1953">
        <w:tc>
          <w:tcPr>
            <w:tcW w:w="670" w:type="pct"/>
            <w:tcBorders>
              <w:top w:val="single" w:sz="4" w:space="0" w:color="auto"/>
              <w:left w:val="single" w:sz="4" w:space="0" w:color="auto"/>
              <w:bottom w:val="single" w:sz="4" w:space="0" w:color="auto"/>
              <w:right w:val="single" w:sz="4" w:space="0" w:color="auto"/>
            </w:tcBorders>
            <w:vAlign w:val="center"/>
          </w:tcPr>
          <w:p w14:paraId="1FD9824D" w14:textId="77777777" w:rsidR="001C59B7" w:rsidRPr="004B3056" w:rsidRDefault="001C59B7" w:rsidP="001C59B7">
            <w:pPr>
              <w:spacing w:after="0" w:line="240" w:lineRule="auto"/>
              <w:rPr>
                <w:rFonts w:cs="Arial"/>
                <w:bCs/>
                <w:caps/>
                <w:sz w:val="17"/>
                <w:szCs w:val="17"/>
                <w:lang w:val="fr-FR" w:eastAsia="zh-CN"/>
              </w:rPr>
            </w:pPr>
          </w:p>
        </w:tc>
        <w:tc>
          <w:tcPr>
            <w:tcW w:w="1453" w:type="pct"/>
            <w:tcBorders>
              <w:top w:val="single" w:sz="4" w:space="0" w:color="auto"/>
              <w:left w:val="single" w:sz="4" w:space="0" w:color="auto"/>
              <w:bottom w:val="single" w:sz="4" w:space="0" w:color="auto"/>
              <w:right w:val="single" w:sz="4" w:space="0" w:color="auto"/>
            </w:tcBorders>
            <w:vAlign w:val="center"/>
          </w:tcPr>
          <w:p w14:paraId="76689125" w14:textId="77777777" w:rsidR="001C59B7" w:rsidRPr="004B3056" w:rsidRDefault="001C59B7" w:rsidP="001C59B7">
            <w:pPr>
              <w:spacing w:after="0" w:line="240" w:lineRule="auto"/>
              <w:rPr>
                <w:rFonts w:cs="Arial"/>
                <w:bCs/>
                <w:sz w:val="17"/>
                <w:szCs w:val="17"/>
                <w:lang w:val="fr-FR" w:eastAsia="zh-CN"/>
              </w:rPr>
            </w:pPr>
            <w:r w:rsidRPr="004B3056">
              <w:rPr>
                <w:rFonts w:cs="Arial"/>
                <w:bCs/>
                <w:sz w:val="17"/>
                <w:szCs w:val="17"/>
                <w:lang w:val="fr-FR" w:eastAsia="zh-CN"/>
              </w:rPr>
              <w:t>Projet d’approvisionnement en eau en zone urbaine – financement supplémentaire (ex-projet d’approvisionnement en eau de Bamako)</w:t>
            </w:r>
          </w:p>
        </w:tc>
        <w:tc>
          <w:tcPr>
            <w:tcW w:w="840" w:type="pct"/>
            <w:tcBorders>
              <w:top w:val="single" w:sz="4" w:space="0" w:color="auto"/>
              <w:left w:val="single" w:sz="4" w:space="0" w:color="auto"/>
              <w:bottom w:val="single" w:sz="4" w:space="0" w:color="auto"/>
              <w:right w:val="single" w:sz="4" w:space="0" w:color="auto"/>
            </w:tcBorders>
            <w:vAlign w:val="center"/>
          </w:tcPr>
          <w:p w14:paraId="24953C18" w14:textId="77777777" w:rsidR="001C59B7" w:rsidRPr="004B3056" w:rsidRDefault="001C59B7" w:rsidP="001C59B7">
            <w:pPr>
              <w:spacing w:after="0" w:line="240" w:lineRule="auto"/>
              <w:rPr>
                <w:rFonts w:cs="Arial"/>
                <w:bCs/>
                <w:caps/>
                <w:sz w:val="17"/>
                <w:szCs w:val="17"/>
                <w:lang w:val="fr-FR" w:eastAsia="zh-CN"/>
              </w:rPr>
            </w:pPr>
          </w:p>
        </w:tc>
        <w:tc>
          <w:tcPr>
            <w:tcW w:w="715" w:type="pct"/>
            <w:tcBorders>
              <w:top w:val="single" w:sz="4" w:space="0" w:color="auto"/>
              <w:left w:val="single" w:sz="4" w:space="0" w:color="auto"/>
              <w:bottom w:val="single" w:sz="4" w:space="0" w:color="auto"/>
              <w:right w:val="single" w:sz="4" w:space="0" w:color="auto"/>
            </w:tcBorders>
            <w:vAlign w:val="center"/>
          </w:tcPr>
          <w:p w14:paraId="0C2F1DBE" w14:textId="77777777" w:rsidR="001C59B7" w:rsidRPr="004B3056" w:rsidRDefault="001C59B7" w:rsidP="001C59B7">
            <w:pPr>
              <w:spacing w:after="0" w:line="240" w:lineRule="auto"/>
              <w:rPr>
                <w:rFonts w:cs="Arial"/>
                <w:bCs/>
                <w:caps/>
                <w:sz w:val="17"/>
                <w:szCs w:val="17"/>
                <w:lang w:val="fr-FR" w:eastAsia="zh-CN"/>
              </w:rPr>
            </w:pP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14:paraId="0694BE45"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2016 -</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14:paraId="1354120B"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50 Million US$</w:t>
            </w:r>
          </w:p>
        </w:tc>
      </w:tr>
      <w:tr w:rsidR="001C59B7" w:rsidRPr="004B3056" w14:paraId="007367CE" w14:textId="77777777" w:rsidTr="00BA1953">
        <w:tc>
          <w:tcPr>
            <w:tcW w:w="670" w:type="pct"/>
            <w:tcBorders>
              <w:top w:val="single" w:sz="4" w:space="0" w:color="auto"/>
              <w:left w:val="single" w:sz="4" w:space="0" w:color="auto"/>
              <w:bottom w:val="single" w:sz="4" w:space="0" w:color="auto"/>
              <w:right w:val="single" w:sz="4" w:space="0" w:color="auto"/>
            </w:tcBorders>
            <w:vAlign w:val="center"/>
          </w:tcPr>
          <w:p w14:paraId="3F416ED3" w14:textId="77777777" w:rsidR="001C59B7" w:rsidRPr="004B3056" w:rsidRDefault="001C59B7" w:rsidP="001C59B7">
            <w:pPr>
              <w:spacing w:after="0" w:line="240" w:lineRule="auto"/>
              <w:rPr>
                <w:rFonts w:cs="Arial"/>
                <w:bCs/>
                <w:caps/>
                <w:sz w:val="17"/>
                <w:szCs w:val="17"/>
                <w:lang w:val="fr-FR" w:eastAsia="zh-CN"/>
              </w:rPr>
            </w:pPr>
          </w:p>
        </w:tc>
        <w:tc>
          <w:tcPr>
            <w:tcW w:w="1453" w:type="pct"/>
            <w:tcBorders>
              <w:top w:val="single" w:sz="4" w:space="0" w:color="auto"/>
              <w:left w:val="single" w:sz="4" w:space="0" w:color="auto"/>
              <w:bottom w:val="single" w:sz="4" w:space="0" w:color="auto"/>
              <w:right w:val="single" w:sz="4" w:space="0" w:color="auto"/>
            </w:tcBorders>
            <w:vAlign w:val="center"/>
          </w:tcPr>
          <w:p w14:paraId="4C456A5F" w14:textId="77777777" w:rsidR="001C59B7" w:rsidRPr="004B3056" w:rsidRDefault="001C59B7" w:rsidP="001C59B7">
            <w:pPr>
              <w:spacing w:after="0" w:line="240" w:lineRule="auto"/>
              <w:rPr>
                <w:rFonts w:cs="Arial"/>
                <w:bCs/>
                <w:sz w:val="17"/>
                <w:szCs w:val="17"/>
                <w:lang w:val="fr-FR" w:eastAsia="zh-CN"/>
              </w:rPr>
            </w:pPr>
            <w:r w:rsidRPr="004B3056">
              <w:rPr>
                <w:rFonts w:cs="Arial"/>
                <w:bCs/>
                <w:sz w:val="17"/>
                <w:szCs w:val="17"/>
                <w:lang w:val="fr-FR" w:eastAsia="zh-CN"/>
              </w:rPr>
              <w:t>Mali : projet de système hybride d’électrification rurale</w:t>
            </w:r>
          </w:p>
        </w:tc>
        <w:tc>
          <w:tcPr>
            <w:tcW w:w="840" w:type="pct"/>
            <w:tcBorders>
              <w:top w:val="single" w:sz="4" w:space="0" w:color="auto"/>
              <w:left w:val="single" w:sz="4" w:space="0" w:color="auto"/>
              <w:bottom w:val="single" w:sz="4" w:space="0" w:color="auto"/>
              <w:right w:val="single" w:sz="4" w:space="0" w:color="auto"/>
            </w:tcBorders>
            <w:vAlign w:val="center"/>
          </w:tcPr>
          <w:p w14:paraId="1E0E9090"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part du projet SREP multi-bailleur</w:t>
            </w:r>
          </w:p>
        </w:tc>
        <w:tc>
          <w:tcPr>
            <w:tcW w:w="715" w:type="pct"/>
            <w:tcBorders>
              <w:top w:val="single" w:sz="4" w:space="0" w:color="auto"/>
              <w:left w:val="single" w:sz="4" w:space="0" w:color="auto"/>
              <w:bottom w:val="single" w:sz="4" w:space="0" w:color="auto"/>
              <w:right w:val="single" w:sz="4" w:space="0" w:color="auto"/>
            </w:tcBorders>
            <w:vAlign w:val="center"/>
          </w:tcPr>
          <w:p w14:paraId="2FCC93D1" w14:textId="77777777" w:rsidR="001C59B7" w:rsidRPr="004B3056" w:rsidRDefault="001C59B7" w:rsidP="001C59B7">
            <w:pPr>
              <w:spacing w:after="0" w:line="240" w:lineRule="auto"/>
              <w:rPr>
                <w:rFonts w:cs="Arial"/>
                <w:bCs/>
                <w:caps/>
                <w:sz w:val="17"/>
                <w:szCs w:val="17"/>
                <w:lang w:val="fr-FR" w:eastAsia="zh-CN"/>
              </w:rPr>
            </w:pP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14:paraId="564F98E8"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 xml:space="preserve">2013 - </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14:paraId="46A9F045"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30 Millions US$</w:t>
            </w:r>
          </w:p>
        </w:tc>
      </w:tr>
      <w:tr w:rsidR="001C59B7" w:rsidRPr="004B3056" w14:paraId="0A1194D3" w14:textId="77777777" w:rsidTr="00BA1953">
        <w:tc>
          <w:tcPr>
            <w:tcW w:w="670" w:type="pct"/>
            <w:tcBorders>
              <w:top w:val="single" w:sz="4" w:space="0" w:color="auto"/>
              <w:left w:val="single" w:sz="4" w:space="0" w:color="auto"/>
              <w:bottom w:val="single" w:sz="4" w:space="0" w:color="auto"/>
              <w:right w:val="single" w:sz="4" w:space="0" w:color="auto"/>
            </w:tcBorders>
            <w:vAlign w:val="center"/>
          </w:tcPr>
          <w:p w14:paraId="6661EA0E"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PAPAM - GDT</w:t>
            </w:r>
          </w:p>
        </w:tc>
        <w:tc>
          <w:tcPr>
            <w:tcW w:w="1453" w:type="pct"/>
            <w:tcBorders>
              <w:top w:val="single" w:sz="4" w:space="0" w:color="auto"/>
              <w:left w:val="single" w:sz="4" w:space="0" w:color="auto"/>
              <w:bottom w:val="single" w:sz="4" w:space="0" w:color="auto"/>
              <w:right w:val="single" w:sz="4" w:space="0" w:color="auto"/>
            </w:tcBorders>
            <w:vAlign w:val="center"/>
          </w:tcPr>
          <w:p w14:paraId="555CF8F9" w14:textId="77777777" w:rsidR="001C59B7" w:rsidRPr="004B3056" w:rsidRDefault="001C59B7" w:rsidP="001C59B7">
            <w:pPr>
              <w:spacing w:after="0" w:line="240" w:lineRule="auto"/>
              <w:rPr>
                <w:rFonts w:cs="Arial"/>
                <w:bCs/>
                <w:sz w:val="17"/>
                <w:szCs w:val="17"/>
                <w:lang w:val="fr-FR" w:eastAsia="zh-CN"/>
              </w:rPr>
            </w:pPr>
            <w:r w:rsidRPr="004B3056">
              <w:rPr>
                <w:rFonts w:cs="Arial"/>
                <w:bCs/>
                <w:sz w:val="17"/>
                <w:szCs w:val="17"/>
                <w:lang w:val="fr-FR" w:eastAsia="zh-CN"/>
              </w:rPr>
              <w:t>Gestion durable des terres</w:t>
            </w:r>
          </w:p>
        </w:tc>
        <w:tc>
          <w:tcPr>
            <w:tcW w:w="840" w:type="pct"/>
            <w:tcBorders>
              <w:top w:val="single" w:sz="4" w:space="0" w:color="auto"/>
              <w:left w:val="single" w:sz="4" w:space="0" w:color="auto"/>
              <w:bottom w:val="single" w:sz="4" w:space="0" w:color="auto"/>
              <w:right w:val="single" w:sz="4" w:space="0" w:color="auto"/>
            </w:tcBorders>
            <w:vAlign w:val="center"/>
          </w:tcPr>
          <w:p w14:paraId="6AC83E3F" w14:textId="77777777" w:rsidR="001C59B7" w:rsidRPr="004B3056" w:rsidRDefault="001C59B7" w:rsidP="001C59B7">
            <w:pPr>
              <w:spacing w:after="0" w:line="240" w:lineRule="auto"/>
              <w:rPr>
                <w:rFonts w:cs="Arial"/>
                <w:bCs/>
                <w:caps/>
                <w:sz w:val="17"/>
                <w:szCs w:val="17"/>
                <w:lang w:val="fr-FR" w:eastAsia="zh-CN"/>
              </w:rPr>
            </w:pPr>
          </w:p>
        </w:tc>
        <w:tc>
          <w:tcPr>
            <w:tcW w:w="715" w:type="pct"/>
            <w:tcBorders>
              <w:top w:val="single" w:sz="4" w:space="0" w:color="auto"/>
              <w:left w:val="single" w:sz="4" w:space="0" w:color="auto"/>
              <w:bottom w:val="single" w:sz="4" w:space="0" w:color="auto"/>
              <w:right w:val="single" w:sz="4" w:space="0" w:color="auto"/>
            </w:tcBorders>
            <w:vAlign w:val="center"/>
          </w:tcPr>
          <w:p w14:paraId="1F08F644" w14:textId="77777777" w:rsidR="001C59B7" w:rsidRPr="004B3056" w:rsidRDefault="001C59B7" w:rsidP="001C59B7">
            <w:pPr>
              <w:spacing w:after="0" w:line="240" w:lineRule="auto"/>
              <w:rPr>
                <w:rFonts w:cs="Arial"/>
                <w:bCs/>
                <w:caps/>
                <w:sz w:val="17"/>
                <w:szCs w:val="17"/>
                <w:lang w:val="fr-FR" w:eastAsia="zh-CN"/>
              </w:rPr>
            </w:pP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14:paraId="35DC6073"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2010 - 2019</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14:paraId="626CFC22"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78,1 Million US$</w:t>
            </w:r>
          </w:p>
        </w:tc>
      </w:tr>
      <w:tr w:rsidR="001C59B7" w:rsidRPr="004B3056" w14:paraId="114EA535" w14:textId="77777777" w:rsidTr="00BA1953">
        <w:tc>
          <w:tcPr>
            <w:tcW w:w="670" w:type="pct"/>
            <w:tcBorders>
              <w:top w:val="single" w:sz="4" w:space="0" w:color="auto"/>
              <w:left w:val="single" w:sz="4" w:space="0" w:color="auto"/>
              <w:bottom w:val="single" w:sz="4" w:space="0" w:color="auto"/>
              <w:right w:val="single" w:sz="4" w:space="0" w:color="auto"/>
            </w:tcBorders>
            <w:vAlign w:val="center"/>
          </w:tcPr>
          <w:p w14:paraId="5F87086A" w14:textId="77777777" w:rsidR="001C59B7" w:rsidRPr="004B3056" w:rsidRDefault="001C59B7" w:rsidP="001C59B7">
            <w:pPr>
              <w:spacing w:after="0" w:line="240" w:lineRule="auto"/>
              <w:rPr>
                <w:rFonts w:cs="Arial"/>
                <w:bCs/>
                <w:caps/>
                <w:sz w:val="17"/>
                <w:szCs w:val="17"/>
                <w:lang w:val="fr-FR" w:eastAsia="zh-CN"/>
              </w:rPr>
            </w:pPr>
          </w:p>
        </w:tc>
        <w:tc>
          <w:tcPr>
            <w:tcW w:w="1453" w:type="pct"/>
            <w:tcBorders>
              <w:top w:val="single" w:sz="4" w:space="0" w:color="auto"/>
              <w:left w:val="single" w:sz="4" w:space="0" w:color="auto"/>
              <w:bottom w:val="single" w:sz="4" w:space="0" w:color="auto"/>
              <w:right w:val="single" w:sz="4" w:space="0" w:color="auto"/>
            </w:tcBorders>
            <w:vAlign w:val="center"/>
          </w:tcPr>
          <w:p w14:paraId="5A5AB953" w14:textId="77777777" w:rsidR="001C59B7" w:rsidRPr="004B3056" w:rsidRDefault="001C59B7" w:rsidP="001C59B7">
            <w:pPr>
              <w:spacing w:after="0" w:line="240" w:lineRule="auto"/>
              <w:rPr>
                <w:rFonts w:cs="Arial"/>
                <w:bCs/>
                <w:caps/>
                <w:sz w:val="17"/>
                <w:szCs w:val="17"/>
                <w:lang w:val="en-US" w:eastAsia="zh-CN"/>
              </w:rPr>
            </w:pPr>
            <w:r w:rsidRPr="004B3056">
              <w:rPr>
                <w:rFonts w:cs="Arial"/>
                <w:bCs/>
                <w:sz w:val="17"/>
                <w:szCs w:val="17"/>
                <w:lang w:val="en-US" w:eastAsia="zh-CN"/>
              </w:rPr>
              <w:t>ML-BioCarbon fund MASPP &amp; Biomass</w:t>
            </w:r>
          </w:p>
        </w:tc>
        <w:tc>
          <w:tcPr>
            <w:tcW w:w="840" w:type="pct"/>
            <w:tcBorders>
              <w:top w:val="single" w:sz="4" w:space="0" w:color="auto"/>
              <w:left w:val="single" w:sz="4" w:space="0" w:color="auto"/>
              <w:bottom w:val="single" w:sz="4" w:space="0" w:color="auto"/>
              <w:right w:val="single" w:sz="4" w:space="0" w:color="auto"/>
            </w:tcBorders>
            <w:vAlign w:val="center"/>
          </w:tcPr>
          <w:p w14:paraId="658497CA" w14:textId="77777777" w:rsidR="001C59B7" w:rsidRPr="004B3056" w:rsidRDefault="001C59B7" w:rsidP="001C59B7">
            <w:pPr>
              <w:spacing w:after="0" w:line="240" w:lineRule="auto"/>
              <w:rPr>
                <w:rFonts w:cs="Arial"/>
                <w:bCs/>
                <w:caps/>
                <w:sz w:val="17"/>
                <w:szCs w:val="17"/>
                <w:lang w:val="en-US" w:eastAsia="zh-CN"/>
              </w:rPr>
            </w:pPr>
          </w:p>
        </w:tc>
        <w:tc>
          <w:tcPr>
            <w:tcW w:w="715" w:type="pct"/>
            <w:tcBorders>
              <w:top w:val="single" w:sz="4" w:space="0" w:color="auto"/>
              <w:left w:val="single" w:sz="4" w:space="0" w:color="auto"/>
              <w:bottom w:val="single" w:sz="4" w:space="0" w:color="auto"/>
              <w:right w:val="single" w:sz="4" w:space="0" w:color="auto"/>
            </w:tcBorders>
            <w:vAlign w:val="center"/>
          </w:tcPr>
          <w:p w14:paraId="2AC01D24" w14:textId="77777777" w:rsidR="001C59B7" w:rsidRPr="004B3056" w:rsidRDefault="001C59B7" w:rsidP="001C59B7">
            <w:pPr>
              <w:spacing w:after="0" w:line="240" w:lineRule="auto"/>
              <w:rPr>
                <w:rFonts w:cs="Arial"/>
                <w:bCs/>
                <w:caps/>
                <w:sz w:val="17"/>
                <w:szCs w:val="17"/>
                <w:lang w:val="en-US" w:eastAsia="zh-CN"/>
              </w:rPr>
            </w:pP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14:paraId="272AB21D" w14:textId="77777777" w:rsidR="001C59B7" w:rsidRPr="004B3056" w:rsidRDefault="001C59B7" w:rsidP="001C59B7">
            <w:pPr>
              <w:spacing w:after="0" w:line="240" w:lineRule="auto"/>
              <w:rPr>
                <w:rFonts w:cs="Arial"/>
                <w:bCs/>
                <w:caps/>
                <w:sz w:val="17"/>
                <w:szCs w:val="17"/>
                <w:lang w:val="en-US" w:eastAsia="zh-CN"/>
              </w:rPr>
            </w:pPr>
            <w:r w:rsidRPr="004B3056">
              <w:rPr>
                <w:rFonts w:cs="Arial"/>
                <w:bCs/>
                <w:caps/>
                <w:sz w:val="17"/>
                <w:szCs w:val="17"/>
                <w:lang w:val="en-US" w:eastAsia="zh-CN"/>
              </w:rPr>
              <w:t xml:space="preserve">2017 - </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14:paraId="2BFFD9AE" w14:textId="77777777" w:rsidR="001C59B7" w:rsidRPr="004B3056" w:rsidRDefault="001C59B7" w:rsidP="001C59B7">
            <w:pPr>
              <w:spacing w:after="0" w:line="240" w:lineRule="auto"/>
              <w:rPr>
                <w:rFonts w:cs="Arial"/>
                <w:bCs/>
                <w:caps/>
                <w:sz w:val="17"/>
                <w:szCs w:val="17"/>
                <w:lang w:val="en-US" w:eastAsia="zh-CN"/>
              </w:rPr>
            </w:pPr>
          </w:p>
        </w:tc>
      </w:tr>
      <w:tr w:rsidR="001C59B7" w:rsidRPr="004B3056" w14:paraId="4C37EBF3" w14:textId="77777777" w:rsidTr="00BA1953">
        <w:tc>
          <w:tcPr>
            <w:tcW w:w="670" w:type="pct"/>
            <w:tcBorders>
              <w:top w:val="single" w:sz="4" w:space="0" w:color="auto"/>
              <w:left w:val="single" w:sz="4" w:space="0" w:color="auto"/>
              <w:bottom w:val="single" w:sz="4" w:space="0" w:color="auto"/>
              <w:right w:val="single" w:sz="4" w:space="0" w:color="auto"/>
            </w:tcBorders>
            <w:vAlign w:val="center"/>
          </w:tcPr>
          <w:p w14:paraId="11249030"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IGMV</w:t>
            </w:r>
          </w:p>
        </w:tc>
        <w:tc>
          <w:tcPr>
            <w:tcW w:w="1453" w:type="pct"/>
            <w:tcBorders>
              <w:top w:val="single" w:sz="4" w:space="0" w:color="auto"/>
              <w:left w:val="single" w:sz="4" w:space="0" w:color="auto"/>
              <w:bottom w:val="single" w:sz="4" w:space="0" w:color="auto"/>
              <w:right w:val="single" w:sz="4" w:space="0" w:color="auto"/>
            </w:tcBorders>
            <w:vAlign w:val="center"/>
          </w:tcPr>
          <w:p w14:paraId="42BC422D" w14:textId="77777777" w:rsidR="001C59B7" w:rsidRPr="004B3056" w:rsidRDefault="001C59B7" w:rsidP="001C59B7">
            <w:pPr>
              <w:spacing w:after="0" w:line="240" w:lineRule="auto"/>
              <w:rPr>
                <w:rFonts w:cs="Arial"/>
                <w:bCs/>
                <w:caps/>
                <w:sz w:val="17"/>
                <w:szCs w:val="17"/>
                <w:lang w:val="fr-FR" w:eastAsia="zh-CN"/>
              </w:rPr>
            </w:pPr>
            <w:r w:rsidRPr="004B3056">
              <w:rPr>
                <w:rFonts w:cs="Arial"/>
                <w:bCs/>
                <w:sz w:val="17"/>
                <w:szCs w:val="17"/>
                <w:lang w:val="fr-FR" w:eastAsia="zh-CN"/>
              </w:rPr>
              <w:t>Programme Sahel en Afrique de l’ouest en appui à l’Initiative de la Grande Muraille Verte</w:t>
            </w:r>
          </w:p>
        </w:tc>
        <w:tc>
          <w:tcPr>
            <w:tcW w:w="840" w:type="pct"/>
            <w:tcBorders>
              <w:top w:val="single" w:sz="4" w:space="0" w:color="auto"/>
              <w:left w:val="single" w:sz="4" w:space="0" w:color="auto"/>
              <w:bottom w:val="single" w:sz="4" w:space="0" w:color="auto"/>
              <w:right w:val="single" w:sz="4" w:space="0" w:color="auto"/>
            </w:tcBorders>
            <w:vAlign w:val="center"/>
          </w:tcPr>
          <w:p w14:paraId="4B438FCA" w14:textId="77777777" w:rsidR="001C59B7" w:rsidRPr="004B3056" w:rsidRDefault="001C59B7" w:rsidP="001C59B7">
            <w:pPr>
              <w:spacing w:after="0" w:line="240" w:lineRule="auto"/>
              <w:rPr>
                <w:rFonts w:cs="Arial"/>
                <w:bCs/>
                <w:caps/>
                <w:sz w:val="17"/>
                <w:szCs w:val="17"/>
                <w:lang w:val="fr-FR" w:eastAsia="zh-CN"/>
              </w:rPr>
            </w:pPr>
            <w:r w:rsidRPr="004B3056">
              <w:rPr>
                <w:rFonts w:cs="Arial"/>
                <w:bCs/>
                <w:sz w:val="17"/>
                <w:szCs w:val="17"/>
                <w:lang w:val="fr-FR" w:eastAsia="zh-CN"/>
              </w:rPr>
              <w:t>part du projet IGMV multi-bailleur (régional)</w:t>
            </w:r>
          </w:p>
        </w:tc>
        <w:tc>
          <w:tcPr>
            <w:tcW w:w="715" w:type="pct"/>
            <w:tcBorders>
              <w:top w:val="single" w:sz="4" w:space="0" w:color="auto"/>
              <w:left w:val="single" w:sz="4" w:space="0" w:color="auto"/>
              <w:bottom w:val="single" w:sz="4" w:space="0" w:color="auto"/>
              <w:right w:val="single" w:sz="4" w:space="0" w:color="auto"/>
            </w:tcBorders>
            <w:vAlign w:val="center"/>
          </w:tcPr>
          <w:p w14:paraId="79F0113F" w14:textId="77777777" w:rsidR="001C59B7" w:rsidRPr="004B3056" w:rsidRDefault="001C59B7" w:rsidP="001C59B7">
            <w:pPr>
              <w:spacing w:after="0" w:line="240" w:lineRule="auto"/>
              <w:rPr>
                <w:rFonts w:cs="Arial"/>
                <w:bCs/>
                <w:caps/>
                <w:sz w:val="17"/>
                <w:szCs w:val="17"/>
                <w:lang w:val="fr-FR" w:eastAsia="zh-CN"/>
              </w:rPr>
            </w:pP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14:paraId="09D28810" w14:textId="77777777" w:rsidR="001C59B7" w:rsidRPr="004B3056" w:rsidRDefault="001C59B7" w:rsidP="001C59B7">
            <w:pPr>
              <w:spacing w:after="0" w:line="240" w:lineRule="auto"/>
              <w:rPr>
                <w:rFonts w:cs="Arial"/>
                <w:bCs/>
                <w:caps/>
                <w:sz w:val="17"/>
                <w:szCs w:val="17"/>
                <w:lang w:val="fr-FR" w:eastAsia="zh-CN"/>
              </w:rPr>
            </w:pP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14:paraId="6CBA901F" w14:textId="77777777" w:rsidR="001C59B7" w:rsidRPr="004B3056" w:rsidRDefault="001C59B7" w:rsidP="001C59B7">
            <w:pPr>
              <w:spacing w:after="0" w:line="240" w:lineRule="auto"/>
              <w:rPr>
                <w:rFonts w:cs="Arial"/>
                <w:bCs/>
                <w:caps/>
                <w:sz w:val="17"/>
                <w:szCs w:val="17"/>
                <w:lang w:val="fr-FR" w:eastAsia="zh-CN"/>
              </w:rPr>
            </w:pPr>
            <w:r w:rsidRPr="004B3056">
              <w:rPr>
                <w:rFonts w:cs="Arial"/>
                <w:bCs/>
                <w:caps/>
                <w:sz w:val="17"/>
                <w:szCs w:val="17"/>
                <w:lang w:val="fr-FR" w:eastAsia="zh-CN"/>
              </w:rPr>
              <w:t xml:space="preserve">Global ~13.659.000 </w:t>
            </w:r>
          </w:p>
        </w:tc>
      </w:tr>
    </w:tbl>
    <w:p w14:paraId="18639854" w14:textId="77777777" w:rsidR="001C59B7" w:rsidRPr="004B3056" w:rsidRDefault="001C59B7" w:rsidP="001C59B7">
      <w:pPr>
        <w:spacing w:after="0" w:line="240" w:lineRule="auto"/>
        <w:rPr>
          <w:rFonts w:eastAsia="SimSun" w:cs="Arial"/>
          <w:sz w:val="18"/>
          <w:szCs w:val="18"/>
          <w:lang w:val="fr-FR" w:eastAsia="zh-CN"/>
        </w:rPr>
      </w:pPr>
    </w:p>
    <w:p w14:paraId="3FD79A32" w14:textId="77777777" w:rsidR="001C59B7" w:rsidRPr="004B3056" w:rsidRDefault="001C59B7" w:rsidP="004B3056">
      <w:pPr>
        <w:spacing w:after="0" w:line="240" w:lineRule="auto"/>
        <w:rPr>
          <w:sz w:val="18"/>
          <w:szCs w:val="18"/>
          <w:lang w:val="fr-FR" w:eastAsia="zh-CN"/>
        </w:rPr>
      </w:pPr>
      <w:bookmarkStart w:id="133" w:name="OLE_LINK12"/>
      <w:r w:rsidRPr="004B3056">
        <w:rPr>
          <w:sz w:val="18"/>
          <w:szCs w:val="18"/>
          <w:lang w:val="fr-FR" w:eastAsia="zh-CN"/>
        </w:rPr>
        <w:t>PNUD</w:t>
      </w:r>
    </w:p>
    <w:tbl>
      <w:tblPr>
        <w:tblStyle w:val="Tabellenraster3"/>
        <w:tblW w:w="5000" w:type="pct"/>
        <w:tblLook w:val="01E0" w:firstRow="1" w:lastRow="1" w:firstColumn="1" w:lastColumn="1" w:noHBand="0" w:noVBand="0"/>
      </w:tblPr>
      <w:tblGrid>
        <w:gridCol w:w="1021"/>
        <w:gridCol w:w="3370"/>
        <w:gridCol w:w="1478"/>
        <w:gridCol w:w="1531"/>
        <w:gridCol w:w="1178"/>
        <w:gridCol w:w="1559"/>
      </w:tblGrid>
      <w:tr w:rsidR="001C59B7" w:rsidRPr="004B3056" w14:paraId="79826767" w14:textId="77777777" w:rsidTr="00BA1953">
        <w:trPr>
          <w:cantSplit/>
          <w:tblHeader/>
        </w:trPr>
        <w:tc>
          <w:tcPr>
            <w:tcW w:w="504" w:type="pct"/>
            <w:shd w:val="clear" w:color="auto" w:fill="D9D9D9"/>
            <w:vAlign w:val="center"/>
          </w:tcPr>
          <w:p w14:paraId="4D43352C"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Projet Abr.</w:t>
            </w:r>
          </w:p>
        </w:tc>
        <w:tc>
          <w:tcPr>
            <w:tcW w:w="1662" w:type="pct"/>
            <w:shd w:val="clear" w:color="auto" w:fill="D9D9D9"/>
            <w:vAlign w:val="center"/>
          </w:tcPr>
          <w:p w14:paraId="265BBDFD"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Projet</w:t>
            </w:r>
          </w:p>
        </w:tc>
        <w:tc>
          <w:tcPr>
            <w:tcW w:w="729" w:type="pct"/>
            <w:shd w:val="clear" w:color="auto" w:fill="D9D9D9"/>
            <w:vAlign w:val="center"/>
          </w:tcPr>
          <w:p w14:paraId="2894670E"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Autres bailleurs de fonds</w:t>
            </w:r>
          </w:p>
        </w:tc>
        <w:tc>
          <w:tcPr>
            <w:tcW w:w="755" w:type="pct"/>
            <w:shd w:val="clear" w:color="auto" w:fill="D9D9D9"/>
            <w:vAlign w:val="center"/>
          </w:tcPr>
          <w:p w14:paraId="60425D40"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Partenaire de mise en oeuvre</w:t>
            </w:r>
          </w:p>
        </w:tc>
        <w:tc>
          <w:tcPr>
            <w:tcW w:w="581" w:type="pct"/>
            <w:shd w:val="clear" w:color="auto" w:fill="D9D9D9"/>
            <w:vAlign w:val="center"/>
          </w:tcPr>
          <w:p w14:paraId="6D003FEE"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Durée</w:t>
            </w:r>
          </w:p>
        </w:tc>
        <w:tc>
          <w:tcPr>
            <w:tcW w:w="769" w:type="pct"/>
            <w:shd w:val="clear" w:color="auto" w:fill="D9D9D9"/>
            <w:vAlign w:val="center"/>
          </w:tcPr>
          <w:p w14:paraId="3DA18BF1"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Montant (€)</w:t>
            </w:r>
          </w:p>
        </w:tc>
      </w:tr>
      <w:tr w:rsidR="001C59B7" w:rsidRPr="004B3056" w14:paraId="36BA2CE1" w14:textId="77777777" w:rsidTr="00BA1953">
        <w:tc>
          <w:tcPr>
            <w:tcW w:w="504" w:type="pct"/>
            <w:vAlign w:val="center"/>
          </w:tcPr>
          <w:p w14:paraId="1AC5C5DE" w14:textId="77777777" w:rsidR="001C59B7" w:rsidRPr="004B3056" w:rsidRDefault="001C59B7" w:rsidP="001C59B7">
            <w:pPr>
              <w:spacing w:line="240" w:lineRule="auto"/>
              <w:rPr>
                <w:rFonts w:cs="Arial"/>
                <w:sz w:val="17"/>
                <w:szCs w:val="17"/>
                <w:lang w:val="fr-FR" w:eastAsia="zh-CN"/>
              </w:rPr>
            </w:pPr>
          </w:p>
        </w:tc>
        <w:tc>
          <w:tcPr>
            <w:tcW w:w="1662" w:type="pct"/>
            <w:vAlign w:val="center"/>
          </w:tcPr>
          <w:p w14:paraId="30449B68"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Renforcement de la résilience des groupes de femmes productrices et des communautés vulnérables aux changements climatiques au Mali ou « projet Mali Femmes »</w:t>
            </w:r>
          </w:p>
        </w:tc>
        <w:tc>
          <w:tcPr>
            <w:tcW w:w="729" w:type="pct"/>
            <w:vAlign w:val="center"/>
          </w:tcPr>
          <w:p w14:paraId="530AC2BE"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FEM</w:t>
            </w:r>
          </w:p>
        </w:tc>
        <w:tc>
          <w:tcPr>
            <w:tcW w:w="755" w:type="pct"/>
            <w:vAlign w:val="center"/>
          </w:tcPr>
          <w:p w14:paraId="5EDDC452"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AEDD</w:t>
            </w:r>
          </w:p>
        </w:tc>
        <w:tc>
          <w:tcPr>
            <w:tcW w:w="581" w:type="pct"/>
            <w:vAlign w:val="center"/>
          </w:tcPr>
          <w:p w14:paraId="7CC15AB2"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2015 - 2020</w:t>
            </w:r>
          </w:p>
        </w:tc>
        <w:tc>
          <w:tcPr>
            <w:tcW w:w="769" w:type="pct"/>
            <w:vAlign w:val="center"/>
          </w:tcPr>
          <w:p w14:paraId="20C167DC"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1.632.370.320 FCFA</w:t>
            </w:r>
          </w:p>
        </w:tc>
      </w:tr>
      <w:tr w:rsidR="001C59B7" w:rsidRPr="004B3056" w14:paraId="437C2E35" w14:textId="77777777" w:rsidTr="00BA1953">
        <w:tc>
          <w:tcPr>
            <w:tcW w:w="504" w:type="pct"/>
            <w:vAlign w:val="center"/>
          </w:tcPr>
          <w:p w14:paraId="1F5871EE" w14:textId="77777777" w:rsidR="001C59B7" w:rsidRPr="004B3056" w:rsidRDefault="001C59B7" w:rsidP="001C59B7">
            <w:pPr>
              <w:spacing w:line="240" w:lineRule="auto"/>
              <w:rPr>
                <w:rFonts w:cs="Arial"/>
                <w:sz w:val="17"/>
                <w:szCs w:val="17"/>
                <w:lang w:val="fr-FR" w:eastAsia="zh-CN"/>
              </w:rPr>
            </w:pPr>
          </w:p>
        </w:tc>
        <w:tc>
          <w:tcPr>
            <w:tcW w:w="1662" w:type="pct"/>
            <w:vAlign w:val="center"/>
          </w:tcPr>
          <w:p w14:paraId="1F178829"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Renforcement des Capacités de Résilience au Changement Climatique dans le Secteur Agricole</w:t>
            </w:r>
          </w:p>
        </w:tc>
        <w:tc>
          <w:tcPr>
            <w:tcW w:w="729" w:type="pct"/>
            <w:vAlign w:val="center"/>
          </w:tcPr>
          <w:p w14:paraId="64CF586C"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FEM</w:t>
            </w:r>
          </w:p>
        </w:tc>
        <w:tc>
          <w:tcPr>
            <w:tcW w:w="755" w:type="pct"/>
            <w:vAlign w:val="center"/>
          </w:tcPr>
          <w:p w14:paraId="018004AD"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MA</w:t>
            </w:r>
          </w:p>
        </w:tc>
        <w:tc>
          <w:tcPr>
            <w:tcW w:w="581" w:type="pct"/>
            <w:vAlign w:val="center"/>
          </w:tcPr>
          <w:p w14:paraId="2740015E"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2009 - 2018</w:t>
            </w:r>
          </w:p>
        </w:tc>
        <w:tc>
          <w:tcPr>
            <w:tcW w:w="769" w:type="pct"/>
            <w:vAlign w:val="center"/>
          </w:tcPr>
          <w:p w14:paraId="5D81468B"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1-230.042.800 FCFA</w:t>
            </w:r>
          </w:p>
        </w:tc>
      </w:tr>
      <w:tr w:rsidR="001C59B7" w:rsidRPr="004B3056" w14:paraId="4FDE40FA" w14:textId="77777777" w:rsidTr="00BA1953">
        <w:tc>
          <w:tcPr>
            <w:tcW w:w="504" w:type="pct"/>
            <w:vAlign w:val="center"/>
          </w:tcPr>
          <w:p w14:paraId="0E057209" w14:textId="77777777" w:rsidR="001C59B7" w:rsidRPr="004B3056" w:rsidRDefault="001C59B7" w:rsidP="001C59B7">
            <w:pPr>
              <w:spacing w:line="240" w:lineRule="auto"/>
              <w:rPr>
                <w:rFonts w:cs="Arial"/>
                <w:sz w:val="17"/>
                <w:szCs w:val="17"/>
                <w:lang w:val="fr-FR" w:eastAsia="zh-CN"/>
              </w:rPr>
            </w:pPr>
          </w:p>
        </w:tc>
        <w:tc>
          <w:tcPr>
            <w:tcW w:w="1662" w:type="pct"/>
            <w:vAlign w:val="center"/>
          </w:tcPr>
          <w:p w14:paraId="01F48164"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Adaptation changements climatiques Mopti/ Tombouctou</w:t>
            </w:r>
          </w:p>
        </w:tc>
        <w:tc>
          <w:tcPr>
            <w:tcW w:w="729" w:type="pct"/>
            <w:vAlign w:val="center"/>
          </w:tcPr>
          <w:p w14:paraId="1C147CB2" w14:textId="77777777" w:rsidR="001C59B7" w:rsidRPr="004B3056" w:rsidRDefault="001C59B7" w:rsidP="001C59B7">
            <w:pPr>
              <w:spacing w:line="240" w:lineRule="auto"/>
              <w:rPr>
                <w:rFonts w:cs="Arial"/>
                <w:sz w:val="17"/>
                <w:szCs w:val="17"/>
                <w:lang w:val="en-GB" w:eastAsia="zh-CN"/>
              </w:rPr>
            </w:pPr>
            <w:r w:rsidRPr="004B3056">
              <w:rPr>
                <w:rFonts w:cs="Arial"/>
                <w:sz w:val="17"/>
                <w:szCs w:val="17"/>
                <w:lang w:val="en-GB" w:eastAsia="zh-CN"/>
              </w:rPr>
              <w:t>FEM</w:t>
            </w:r>
          </w:p>
        </w:tc>
        <w:tc>
          <w:tcPr>
            <w:tcW w:w="755" w:type="pct"/>
            <w:vAlign w:val="center"/>
          </w:tcPr>
          <w:p w14:paraId="59008850" w14:textId="77777777" w:rsidR="001C59B7" w:rsidRPr="004B3056" w:rsidRDefault="001C59B7" w:rsidP="001C59B7">
            <w:pPr>
              <w:spacing w:line="240" w:lineRule="auto"/>
              <w:rPr>
                <w:rFonts w:cs="Arial"/>
                <w:sz w:val="17"/>
                <w:szCs w:val="17"/>
                <w:lang w:val="en-GB" w:eastAsia="zh-CN"/>
              </w:rPr>
            </w:pPr>
            <w:r w:rsidRPr="004B3056">
              <w:rPr>
                <w:rFonts w:cs="Arial"/>
                <w:sz w:val="17"/>
                <w:szCs w:val="17"/>
                <w:lang w:val="en-GB" w:eastAsia="zh-CN"/>
              </w:rPr>
              <w:t>AEDD</w:t>
            </w:r>
          </w:p>
        </w:tc>
        <w:tc>
          <w:tcPr>
            <w:tcW w:w="581" w:type="pct"/>
            <w:vAlign w:val="center"/>
          </w:tcPr>
          <w:p w14:paraId="047A5921" w14:textId="77777777" w:rsidR="001C59B7" w:rsidRPr="004B3056" w:rsidRDefault="001C59B7" w:rsidP="001C59B7">
            <w:pPr>
              <w:spacing w:line="240" w:lineRule="auto"/>
              <w:rPr>
                <w:rFonts w:cs="Arial"/>
                <w:sz w:val="17"/>
                <w:szCs w:val="17"/>
                <w:lang w:val="en-GB" w:eastAsia="zh-CN"/>
              </w:rPr>
            </w:pPr>
            <w:r w:rsidRPr="004B3056">
              <w:rPr>
                <w:rFonts w:cs="Arial"/>
                <w:sz w:val="17"/>
                <w:szCs w:val="17"/>
                <w:lang w:val="en-GB" w:eastAsia="zh-CN"/>
              </w:rPr>
              <w:t>2016 - 2019</w:t>
            </w:r>
          </w:p>
        </w:tc>
        <w:tc>
          <w:tcPr>
            <w:tcW w:w="769" w:type="pct"/>
            <w:vAlign w:val="center"/>
          </w:tcPr>
          <w:p w14:paraId="64BA0853" w14:textId="77777777" w:rsidR="001C59B7" w:rsidRPr="004B3056" w:rsidRDefault="001C59B7" w:rsidP="001C59B7">
            <w:pPr>
              <w:spacing w:line="240" w:lineRule="auto"/>
              <w:rPr>
                <w:rFonts w:cs="Arial"/>
                <w:sz w:val="17"/>
                <w:szCs w:val="17"/>
                <w:lang w:val="en-GB" w:eastAsia="zh-CN"/>
              </w:rPr>
            </w:pPr>
            <w:r w:rsidRPr="004B3056">
              <w:rPr>
                <w:rFonts w:cs="Arial"/>
                <w:sz w:val="17"/>
                <w:szCs w:val="17"/>
                <w:lang w:val="en-GB" w:eastAsia="zh-CN"/>
              </w:rPr>
              <w:t>5.822.380 US$</w:t>
            </w:r>
          </w:p>
        </w:tc>
      </w:tr>
      <w:tr w:rsidR="001C59B7" w:rsidRPr="00865CCB" w14:paraId="49DC819B" w14:textId="77777777" w:rsidTr="00BA1953">
        <w:tc>
          <w:tcPr>
            <w:tcW w:w="504" w:type="pct"/>
            <w:vAlign w:val="center"/>
          </w:tcPr>
          <w:p w14:paraId="1C6F9515" w14:textId="77777777" w:rsidR="001C59B7" w:rsidRPr="00865CCB" w:rsidRDefault="001C59B7" w:rsidP="001C59B7">
            <w:pPr>
              <w:spacing w:line="240" w:lineRule="auto"/>
              <w:rPr>
                <w:rFonts w:cs="Arial"/>
                <w:sz w:val="17"/>
                <w:szCs w:val="17"/>
                <w:lang w:val="fr-FR" w:eastAsia="zh-CN"/>
              </w:rPr>
            </w:pPr>
          </w:p>
        </w:tc>
        <w:tc>
          <w:tcPr>
            <w:tcW w:w="1662" w:type="pct"/>
            <w:vAlign w:val="center"/>
          </w:tcPr>
          <w:p w14:paraId="7FB70D6F" w14:textId="77777777" w:rsidR="001C59B7" w:rsidRPr="00865CCB" w:rsidRDefault="001C59B7" w:rsidP="001C59B7">
            <w:pPr>
              <w:spacing w:line="240" w:lineRule="auto"/>
              <w:rPr>
                <w:rFonts w:cs="Arial"/>
                <w:sz w:val="17"/>
                <w:szCs w:val="17"/>
                <w:lang w:val="fr-FR" w:eastAsia="zh-CN"/>
              </w:rPr>
            </w:pPr>
            <w:r w:rsidRPr="00865CCB">
              <w:rPr>
                <w:rFonts w:cs="Arial"/>
                <w:sz w:val="17"/>
                <w:szCs w:val="17"/>
                <w:lang w:val="fr-FR" w:eastAsia="zh-CN"/>
              </w:rPr>
              <w:t>Gestion des risques d'inondation</w:t>
            </w:r>
          </w:p>
        </w:tc>
        <w:tc>
          <w:tcPr>
            <w:tcW w:w="729" w:type="pct"/>
            <w:vAlign w:val="center"/>
          </w:tcPr>
          <w:p w14:paraId="2C8B4E1E" w14:textId="77777777" w:rsidR="001C59B7" w:rsidRPr="00865CCB" w:rsidRDefault="001C59B7" w:rsidP="001C59B7">
            <w:pPr>
              <w:spacing w:line="240" w:lineRule="auto"/>
              <w:rPr>
                <w:rFonts w:cs="Arial"/>
                <w:sz w:val="17"/>
                <w:szCs w:val="17"/>
                <w:lang w:val="fr-FR" w:eastAsia="zh-CN"/>
              </w:rPr>
            </w:pPr>
            <w:r w:rsidRPr="00865CCB">
              <w:rPr>
                <w:rFonts w:cs="Arial"/>
                <w:sz w:val="17"/>
                <w:szCs w:val="17"/>
                <w:lang w:val="fr-FR" w:eastAsia="zh-CN"/>
              </w:rPr>
              <w:t>FEM</w:t>
            </w:r>
          </w:p>
        </w:tc>
        <w:tc>
          <w:tcPr>
            <w:tcW w:w="755" w:type="pct"/>
            <w:vAlign w:val="center"/>
          </w:tcPr>
          <w:p w14:paraId="774092DC" w14:textId="77777777" w:rsidR="001C59B7" w:rsidRPr="00865CCB" w:rsidRDefault="001C59B7" w:rsidP="001C59B7">
            <w:pPr>
              <w:spacing w:line="240" w:lineRule="auto"/>
              <w:rPr>
                <w:rFonts w:cs="Arial"/>
                <w:sz w:val="17"/>
                <w:szCs w:val="17"/>
                <w:lang w:val="fr-FR" w:eastAsia="zh-CN"/>
              </w:rPr>
            </w:pPr>
            <w:r w:rsidRPr="00865CCB">
              <w:rPr>
                <w:rFonts w:cs="Arial"/>
                <w:sz w:val="17"/>
                <w:szCs w:val="17"/>
                <w:lang w:val="fr-FR" w:eastAsia="zh-CN"/>
              </w:rPr>
              <w:t>AEDD</w:t>
            </w:r>
          </w:p>
        </w:tc>
        <w:tc>
          <w:tcPr>
            <w:tcW w:w="581" w:type="pct"/>
            <w:vAlign w:val="center"/>
          </w:tcPr>
          <w:p w14:paraId="034F0A72" w14:textId="77777777" w:rsidR="001C59B7" w:rsidRPr="00865CCB" w:rsidRDefault="001C59B7" w:rsidP="001C59B7">
            <w:pPr>
              <w:spacing w:line="240" w:lineRule="auto"/>
              <w:rPr>
                <w:rFonts w:cs="Arial"/>
                <w:sz w:val="17"/>
                <w:szCs w:val="17"/>
                <w:lang w:val="fr-FR" w:eastAsia="zh-CN"/>
              </w:rPr>
            </w:pPr>
            <w:r w:rsidRPr="00865CCB">
              <w:rPr>
                <w:rFonts w:cs="Arial"/>
                <w:sz w:val="17"/>
                <w:szCs w:val="17"/>
                <w:lang w:val="fr-FR" w:eastAsia="zh-CN"/>
              </w:rPr>
              <w:t>2016 - 2021</w:t>
            </w:r>
          </w:p>
        </w:tc>
        <w:tc>
          <w:tcPr>
            <w:tcW w:w="769" w:type="pct"/>
            <w:vAlign w:val="center"/>
          </w:tcPr>
          <w:p w14:paraId="0A506918" w14:textId="77777777" w:rsidR="001C59B7" w:rsidRPr="00865CCB" w:rsidRDefault="001C59B7" w:rsidP="001C59B7">
            <w:pPr>
              <w:spacing w:line="240" w:lineRule="auto"/>
              <w:rPr>
                <w:rFonts w:cs="Arial"/>
                <w:sz w:val="17"/>
                <w:szCs w:val="17"/>
                <w:lang w:val="fr-FR" w:eastAsia="zh-CN"/>
              </w:rPr>
            </w:pPr>
            <w:r w:rsidRPr="00865CCB">
              <w:rPr>
                <w:rFonts w:cs="Arial"/>
                <w:sz w:val="17"/>
                <w:szCs w:val="17"/>
                <w:lang w:val="fr-FR" w:eastAsia="zh-CN"/>
              </w:rPr>
              <w:t>2.150.000 US $</w:t>
            </w:r>
          </w:p>
        </w:tc>
      </w:tr>
      <w:tr w:rsidR="001C59B7" w:rsidRPr="004B3056" w14:paraId="10B650FB" w14:textId="77777777" w:rsidTr="00BA1953">
        <w:tc>
          <w:tcPr>
            <w:tcW w:w="504" w:type="pct"/>
            <w:vAlign w:val="center"/>
          </w:tcPr>
          <w:p w14:paraId="2B64F782" w14:textId="77777777" w:rsidR="001C59B7" w:rsidRPr="004B3056" w:rsidRDefault="001C59B7" w:rsidP="001C59B7">
            <w:pPr>
              <w:spacing w:line="240" w:lineRule="auto"/>
              <w:rPr>
                <w:rFonts w:cs="Arial"/>
                <w:sz w:val="17"/>
                <w:szCs w:val="17"/>
                <w:lang w:val="fr-FR" w:eastAsia="zh-CN"/>
              </w:rPr>
            </w:pPr>
          </w:p>
        </w:tc>
        <w:tc>
          <w:tcPr>
            <w:tcW w:w="1662" w:type="pct"/>
            <w:vAlign w:val="center"/>
          </w:tcPr>
          <w:p w14:paraId="5B780978"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Amélioration de la production agricole</w:t>
            </w:r>
          </w:p>
        </w:tc>
        <w:tc>
          <w:tcPr>
            <w:tcW w:w="729" w:type="pct"/>
            <w:vAlign w:val="center"/>
          </w:tcPr>
          <w:p w14:paraId="2710393B" w14:textId="77777777" w:rsidR="001C59B7" w:rsidRPr="004B3056" w:rsidRDefault="001C59B7" w:rsidP="001C59B7">
            <w:pPr>
              <w:spacing w:line="240" w:lineRule="auto"/>
              <w:rPr>
                <w:rFonts w:cs="Arial"/>
                <w:sz w:val="17"/>
                <w:szCs w:val="17"/>
                <w:lang w:val="en-GB" w:eastAsia="zh-CN"/>
              </w:rPr>
            </w:pPr>
            <w:r w:rsidRPr="004B3056">
              <w:rPr>
                <w:rFonts w:cs="Arial"/>
                <w:sz w:val="17"/>
                <w:szCs w:val="17"/>
                <w:lang w:val="en-GB" w:eastAsia="zh-CN"/>
              </w:rPr>
              <w:t>FEM</w:t>
            </w:r>
          </w:p>
        </w:tc>
        <w:tc>
          <w:tcPr>
            <w:tcW w:w="755" w:type="pct"/>
            <w:vAlign w:val="center"/>
          </w:tcPr>
          <w:p w14:paraId="347050D8" w14:textId="77777777" w:rsidR="001C59B7" w:rsidRPr="004B3056" w:rsidRDefault="001C59B7" w:rsidP="001C59B7">
            <w:pPr>
              <w:spacing w:line="240" w:lineRule="auto"/>
              <w:rPr>
                <w:rFonts w:cs="Arial"/>
                <w:sz w:val="17"/>
                <w:szCs w:val="17"/>
                <w:lang w:val="en-GB" w:eastAsia="zh-CN"/>
              </w:rPr>
            </w:pPr>
            <w:r w:rsidRPr="004B3056">
              <w:rPr>
                <w:rFonts w:cs="Arial"/>
                <w:sz w:val="17"/>
                <w:szCs w:val="17"/>
                <w:lang w:val="en-GB" w:eastAsia="zh-CN"/>
              </w:rPr>
              <w:t>?</w:t>
            </w:r>
          </w:p>
        </w:tc>
        <w:tc>
          <w:tcPr>
            <w:tcW w:w="581" w:type="pct"/>
            <w:vAlign w:val="center"/>
          </w:tcPr>
          <w:p w14:paraId="53DA4216" w14:textId="77777777" w:rsidR="001C59B7" w:rsidRPr="004B3056" w:rsidRDefault="001C59B7" w:rsidP="001C59B7">
            <w:pPr>
              <w:spacing w:line="240" w:lineRule="auto"/>
              <w:rPr>
                <w:rFonts w:cs="Arial"/>
                <w:sz w:val="17"/>
                <w:szCs w:val="17"/>
                <w:lang w:val="en-GB" w:eastAsia="zh-CN"/>
              </w:rPr>
            </w:pPr>
            <w:r w:rsidRPr="004B3056">
              <w:rPr>
                <w:rFonts w:cs="Arial"/>
                <w:sz w:val="17"/>
                <w:szCs w:val="17"/>
                <w:lang w:val="en-GB" w:eastAsia="zh-CN"/>
              </w:rPr>
              <w:t>2017 - 2019</w:t>
            </w:r>
          </w:p>
        </w:tc>
        <w:tc>
          <w:tcPr>
            <w:tcW w:w="769" w:type="pct"/>
            <w:vAlign w:val="center"/>
          </w:tcPr>
          <w:p w14:paraId="77263B1A"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224.000.000 FCFA</w:t>
            </w:r>
          </w:p>
        </w:tc>
      </w:tr>
      <w:tr w:rsidR="001C59B7" w:rsidRPr="004B3056" w14:paraId="7E2DC019" w14:textId="77777777" w:rsidTr="00BA1953">
        <w:tc>
          <w:tcPr>
            <w:tcW w:w="504" w:type="pct"/>
            <w:vAlign w:val="center"/>
          </w:tcPr>
          <w:p w14:paraId="3D4D5C77" w14:textId="77777777" w:rsidR="001C59B7" w:rsidRPr="004B3056" w:rsidRDefault="001C59B7" w:rsidP="001C59B7">
            <w:pPr>
              <w:spacing w:line="240" w:lineRule="auto"/>
              <w:rPr>
                <w:rFonts w:cs="Arial"/>
                <w:sz w:val="17"/>
                <w:szCs w:val="17"/>
                <w:lang w:val="fr-FR" w:eastAsia="zh-CN"/>
              </w:rPr>
            </w:pPr>
          </w:p>
        </w:tc>
        <w:tc>
          <w:tcPr>
            <w:tcW w:w="1662" w:type="pct"/>
            <w:vAlign w:val="center"/>
          </w:tcPr>
          <w:p w14:paraId="5BE10C4F"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Production Durable d’Electricité Rurale</w:t>
            </w:r>
          </w:p>
        </w:tc>
        <w:tc>
          <w:tcPr>
            <w:tcW w:w="729" w:type="pct"/>
            <w:vAlign w:val="center"/>
          </w:tcPr>
          <w:p w14:paraId="63A20CB0" w14:textId="77777777" w:rsidR="001C59B7" w:rsidRPr="004B3056" w:rsidRDefault="001C59B7" w:rsidP="001C59B7">
            <w:pPr>
              <w:spacing w:line="240" w:lineRule="auto"/>
              <w:rPr>
                <w:rFonts w:cs="Arial"/>
                <w:sz w:val="17"/>
                <w:szCs w:val="17"/>
                <w:lang w:val="en-GB" w:eastAsia="zh-CN"/>
              </w:rPr>
            </w:pPr>
            <w:r w:rsidRPr="004B3056">
              <w:rPr>
                <w:rFonts w:cs="Arial"/>
                <w:sz w:val="17"/>
                <w:szCs w:val="17"/>
                <w:lang w:val="en-GB" w:eastAsia="zh-CN"/>
              </w:rPr>
              <w:t>FEM</w:t>
            </w:r>
          </w:p>
        </w:tc>
        <w:tc>
          <w:tcPr>
            <w:tcW w:w="755" w:type="pct"/>
            <w:vAlign w:val="center"/>
          </w:tcPr>
          <w:p w14:paraId="5ACD9B8B" w14:textId="77777777" w:rsidR="001C59B7" w:rsidRPr="004B3056" w:rsidRDefault="001C59B7" w:rsidP="001C59B7">
            <w:pPr>
              <w:spacing w:line="240" w:lineRule="auto"/>
              <w:rPr>
                <w:rFonts w:cs="Arial"/>
                <w:sz w:val="17"/>
                <w:szCs w:val="17"/>
                <w:lang w:val="en-GB" w:eastAsia="zh-CN"/>
              </w:rPr>
            </w:pPr>
            <w:r w:rsidRPr="004B3056">
              <w:rPr>
                <w:rFonts w:cs="Arial"/>
                <w:sz w:val="17"/>
                <w:szCs w:val="17"/>
                <w:lang w:val="en-GB" w:eastAsia="zh-CN"/>
              </w:rPr>
              <w:t>?</w:t>
            </w:r>
          </w:p>
        </w:tc>
        <w:tc>
          <w:tcPr>
            <w:tcW w:w="581" w:type="pct"/>
            <w:vAlign w:val="center"/>
          </w:tcPr>
          <w:p w14:paraId="1CD51B02" w14:textId="77777777" w:rsidR="001C59B7" w:rsidRPr="004B3056" w:rsidRDefault="001C59B7" w:rsidP="001C59B7">
            <w:pPr>
              <w:spacing w:line="240" w:lineRule="auto"/>
              <w:rPr>
                <w:rFonts w:cs="Arial"/>
                <w:sz w:val="17"/>
                <w:szCs w:val="17"/>
                <w:lang w:val="en-GB" w:eastAsia="zh-CN"/>
              </w:rPr>
            </w:pPr>
            <w:r w:rsidRPr="004B3056">
              <w:rPr>
                <w:rFonts w:cs="Arial"/>
                <w:sz w:val="17"/>
                <w:szCs w:val="17"/>
                <w:lang w:val="en-GB" w:eastAsia="zh-CN"/>
              </w:rPr>
              <w:t>?</w:t>
            </w:r>
          </w:p>
        </w:tc>
        <w:tc>
          <w:tcPr>
            <w:tcW w:w="769" w:type="pct"/>
            <w:vAlign w:val="center"/>
          </w:tcPr>
          <w:p w14:paraId="3679EAB4"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138.763.738 FCFA</w:t>
            </w:r>
          </w:p>
        </w:tc>
      </w:tr>
      <w:tr w:rsidR="001C59B7" w:rsidRPr="004B3056" w14:paraId="782C6083" w14:textId="77777777" w:rsidTr="00BA1953">
        <w:tc>
          <w:tcPr>
            <w:tcW w:w="504" w:type="pct"/>
            <w:vAlign w:val="center"/>
          </w:tcPr>
          <w:p w14:paraId="3C2F6E93" w14:textId="77777777" w:rsidR="001C59B7" w:rsidRPr="004B3056" w:rsidRDefault="001C59B7" w:rsidP="001C59B7">
            <w:pPr>
              <w:spacing w:line="240" w:lineRule="auto"/>
              <w:rPr>
                <w:rFonts w:cs="Arial"/>
                <w:sz w:val="17"/>
                <w:szCs w:val="17"/>
                <w:lang w:val="fr-FR" w:eastAsia="zh-CN"/>
              </w:rPr>
            </w:pPr>
          </w:p>
        </w:tc>
        <w:tc>
          <w:tcPr>
            <w:tcW w:w="1662" w:type="pct"/>
            <w:vAlign w:val="center"/>
          </w:tcPr>
          <w:p w14:paraId="02B1E209"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Promotion de la production d’électricité durable dans les zones rurales du Mali grâce aux technologies hybrides</w:t>
            </w:r>
          </w:p>
        </w:tc>
        <w:tc>
          <w:tcPr>
            <w:tcW w:w="729" w:type="pct"/>
            <w:vAlign w:val="center"/>
          </w:tcPr>
          <w:p w14:paraId="7D392492" w14:textId="77777777" w:rsidR="001C59B7" w:rsidRPr="004B3056" w:rsidRDefault="001C59B7" w:rsidP="001C59B7">
            <w:pPr>
              <w:spacing w:line="240" w:lineRule="auto"/>
              <w:rPr>
                <w:rFonts w:cs="Arial"/>
                <w:sz w:val="17"/>
                <w:szCs w:val="17"/>
                <w:lang w:val="en-GB" w:eastAsia="zh-CN"/>
              </w:rPr>
            </w:pPr>
            <w:r w:rsidRPr="004B3056">
              <w:rPr>
                <w:rFonts w:cs="Arial"/>
                <w:sz w:val="17"/>
                <w:szCs w:val="17"/>
                <w:lang w:val="en-GB" w:eastAsia="zh-CN"/>
              </w:rPr>
              <w:t>FEM</w:t>
            </w:r>
          </w:p>
        </w:tc>
        <w:tc>
          <w:tcPr>
            <w:tcW w:w="755" w:type="pct"/>
            <w:vAlign w:val="center"/>
          </w:tcPr>
          <w:p w14:paraId="143CE2D0" w14:textId="77777777" w:rsidR="001C59B7" w:rsidRPr="004B3056" w:rsidRDefault="001C59B7" w:rsidP="001C59B7">
            <w:pPr>
              <w:spacing w:line="240" w:lineRule="auto"/>
              <w:rPr>
                <w:rFonts w:cs="Arial"/>
                <w:sz w:val="17"/>
                <w:szCs w:val="17"/>
                <w:lang w:val="en-GB" w:eastAsia="zh-CN"/>
              </w:rPr>
            </w:pPr>
            <w:r w:rsidRPr="004B3056">
              <w:rPr>
                <w:rFonts w:cs="Arial"/>
                <w:sz w:val="17"/>
                <w:szCs w:val="17"/>
                <w:lang w:val="en-GB" w:eastAsia="zh-CN"/>
              </w:rPr>
              <w:t>AER</w:t>
            </w:r>
          </w:p>
        </w:tc>
        <w:tc>
          <w:tcPr>
            <w:tcW w:w="581" w:type="pct"/>
            <w:vAlign w:val="center"/>
          </w:tcPr>
          <w:p w14:paraId="7ED61402" w14:textId="77777777" w:rsidR="001C59B7" w:rsidRPr="004B3056" w:rsidRDefault="001C59B7" w:rsidP="001C59B7">
            <w:pPr>
              <w:spacing w:line="240" w:lineRule="auto"/>
              <w:rPr>
                <w:rFonts w:cs="Arial"/>
                <w:sz w:val="17"/>
                <w:szCs w:val="17"/>
                <w:lang w:val="en-GB" w:eastAsia="zh-CN"/>
              </w:rPr>
            </w:pPr>
            <w:r w:rsidRPr="004B3056">
              <w:rPr>
                <w:rFonts w:cs="Arial"/>
                <w:sz w:val="17"/>
                <w:szCs w:val="17"/>
                <w:lang w:val="en-GB" w:eastAsia="zh-CN"/>
              </w:rPr>
              <w:t>?</w:t>
            </w:r>
          </w:p>
        </w:tc>
        <w:tc>
          <w:tcPr>
            <w:tcW w:w="769" w:type="pct"/>
            <w:vAlign w:val="center"/>
          </w:tcPr>
          <w:p w14:paraId="75CA97BF"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96.456.640 F.CFA</w:t>
            </w:r>
          </w:p>
        </w:tc>
      </w:tr>
      <w:tr w:rsidR="001C59B7" w:rsidRPr="004B3056" w14:paraId="125D3082" w14:textId="77777777" w:rsidTr="00BA1953">
        <w:tc>
          <w:tcPr>
            <w:tcW w:w="504" w:type="pct"/>
            <w:vAlign w:val="center"/>
          </w:tcPr>
          <w:p w14:paraId="597F719B" w14:textId="77777777" w:rsidR="001C59B7" w:rsidRPr="004B3056" w:rsidRDefault="001C59B7" w:rsidP="001C59B7">
            <w:pPr>
              <w:spacing w:line="240" w:lineRule="auto"/>
              <w:rPr>
                <w:rFonts w:cs="Arial"/>
                <w:sz w:val="17"/>
                <w:szCs w:val="17"/>
                <w:lang w:val="fr-FR" w:eastAsia="zh-CN"/>
              </w:rPr>
            </w:pPr>
          </w:p>
        </w:tc>
        <w:tc>
          <w:tcPr>
            <w:tcW w:w="1662" w:type="pct"/>
            <w:vAlign w:val="center"/>
          </w:tcPr>
          <w:p w14:paraId="0936366E"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Protection des éléphants de Gourma</w:t>
            </w:r>
          </w:p>
        </w:tc>
        <w:tc>
          <w:tcPr>
            <w:tcW w:w="729" w:type="pct"/>
            <w:vAlign w:val="center"/>
          </w:tcPr>
          <w:p w14:paraId="7FD2DBBF"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FEM</w:t>
            </w:r>
          </w:p>
        </w:tc>
        <w:tc>
          <w:tcPr>
            <w:tcW w:w="755" w:type="pct"/>
            <w:vAlign w:val="center"/>
          </w:tcPr>
          <w:p w14:paraId="57451AA8"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DNEF, Wetland</w:t>
            </w:r>
          </w:p>
        </w:tc>
        <w:tc>
          <w:tcPr>
            <w:tcW w:w="581" w:type="pct"/>
            <w:vAlign w:val="center"/>
          </w:tcPr>
          <w:p w14:paraId="111C8B02"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En préparation</w:t>
            </w:r>
          </w:p>
        </w:tc>
        <w:tc>
          <w:tcPr>
            <w:tcW w:w="769" w:type="pct"/>
            <w:vAlign w:val="center"/>
          </w:tcPr>
          <w:p w14:paraId="0F0D7564" w14:textId="77777777" w:rsidR="001C59B7" w:rsidRPr="004B3056" w:rsidRDefault="001C59B7" w:rsidP="001C59B7">
            <w:pPr>
              <w:spacing w:line="240" w:lineRule="auto"/>
              <w:rPr>
                <w:rFonts w:cs="Arial"/>
                <w:sz w:val="17"/>
                <w:szCs w:val="17"/>
                <w:lang w:val="fr-FR" w:eastAsia="zh-CN"/>
              </w:rPr>
            </w:pPr>
          </w:p>
        </w:tc>
      </w:tr>
      <w:tr w:rsidR="001C59B7" w:rsidRPr="004B3056" w14:paraId="56660C9C" w14:textId="77777777" w:rsidTr="00BA1953">
        <w:tc>
          <w:tcPr>
            <w:tcW w:w="504" w:type="pct"/>
            <w:vAlign w:val="center"/>
          </w:tcPr>
          <w:p w14:paraId="1C1AA107" w14:textId="77777777" w:rsidR="001C59B7" w:rsidRPr="004B3056" w:rsidRDefault="001C59B7" w:rsidP="001C59B7">
            <w:pPr>
              <w:spacing w:line="240" w:lineRule="auto"/>
              <w:rPr>
                <w:rFonts w:cs="Arial"/>
                <w:sz w:val="17"/>
                <w:szCs w:val="17"/>
                <w:lang w:val="fr-FR" w:eastAsia="zh-CN"/>
              </w:rPr>
            </w:pPr>
          </w:p>
        </w:tc>
        <w:tc>
          <w:tcPr>
            <w:tcW w:w="1662" w:type="pct"/>
            <w:vAlign w:val="center"/>
          </w:tcPr>
          <w:p w14:paraId="44A04D0E"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Programme d’appui à la stratégie nationale changement climatique du Mali</w:t>
            </w:r>
          </w:p>
        </w:tc>
        <w:tc>
          <w:tcPr>
            <w:tcW w:w="729" w:type="pct"/>
            <w:vAlign w:val="center"/>
          </w:tcPr>
          <w:p w14:paraId="54B8DED0"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GIZ</w:t>
            </w:r>
          </w:p>
        </w:tc>
        <w:tc>
          <w:tcPr>
            <w:tcW w:w="755" w:type="pct"/>
            <w:vAlign w:val="center"/>
          </w:tcPr>
          <w:p w14:paraId="5348AB67" w14:textId="77777777" w:rsidR="001C59B7" w:rsidRPr="004B3056" w:rsidRDefault="001C59B7" w:rsidP="001C59B7">
            <w:pPr>
              <w:spacing w:line="240" w:lineRule="auto"/>
              <w:rPr>
                <w:rFonts w:cs="Arial"/>
                <w:sz w:val="17"/>
                <w:szCs w:val="17"/>
                <w:lang w:val="fr-FR" w:eastAsia="zh-CN"/>
              </w:rPr>
            </w:pPr>
          </w:p>
        </w:tc>
        <w:tc>
          <w:tcPr>
            <w:tcW w:w="581" w:type="pct"/>
            <w:vAlign w:val="center"/>
          </w:tcPr>
          <w:p w14:paraId="25E46017" w14:textId="77777777" w:rsidR="001C59B7" w:rsidRPr="004B3056" w:rsidRDefault="001C59B7" w:rsidP="001C59B7">
            <w:pPr>
              <w:spacing w:line="240" w:lineRule="auto"/>
              <w:rPr>
                <w:rFonts w:cs="Arial"/>
                <w:sz w:val="17"/>
                <w:szCs w:val="17"/>
                <w:lang w:val="fr-FR" w:eastAsia="zh-CN"/>
              </w:rPr>
            </w:pPr>
          </w:p>
        </w:tc>
        <w:tc>
          <w:tcPr>
            <w:tcW w:w="769" w:type="pct"/>
            <w:vAlign w:val="center"/>
          </w:tcPr>
          <w:p w14:paraId="45472BBF" w14:textId="77777777" w:rsidR="001C59B7" w:rsidRPr="004B3056" w:rsidRDefault="001C59B7" w:rsidP="001C59B7">
            <w:pPr>
              <w:spacing w:line="240" w:lineRule="auto"/>
              <w:rPr>
                <w:rFonts w:cs="Arial"/>
                <w:sz w:val="17"/>
                <w:szCs w:val="17"/>
                <w:lang w:val="fr-FR" w:eastAsia="zh-CN"/>
              </w:rPr>
            </w:pPr>
          </w:p>
        </w:tc>
      </w:tr>
      <w:tr w:rsidR="001C59B7" w:rsidRPr="004B3056" w14:paraId="57DF172D" w14:textId="77777777" w:rsidTr="00BA1953">
        <w:tc>
          <w:tcPr>
            <w:tcW w:w="504" w:type="pct"/>
            <w:vAlign w:val="center"/>
          </w:tcPr>
          <w:p w14:paraId="23FEAECA" w14:textId="77777777" w:rsidR="001C59B7" w:rsidRPr="004B3056" w:rsidRDefault="001C59B7" w:rsidP="001C59B7">
            <w:pPr>
              <w:spacing w:line="240" w:lineRule="auto"/>
              <w:rPr>
                <w:rFonts w:cs="Arial"/>
                <w:sz w:val="17"/>
                <w:szCs w:val="17"/>
                <w:lang w:val="fr-FR" w:eastAsia="zh-CN"/>
              </w:rPr>
            </w:pPr>
          </w:p>
        </w:tc>
        <w:tc>
          <w:tcPr>
            <w:tcW w:w="1662" w:type="pct"/>
            <w:vAlign w:val="center"/>
          </w:tcPr>
          <w:p w14:paraId="7C84475B"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Projet Appui À La Restauration Du Système Lac Faguibine</w:t>
            </w:r>
          </w:p>
        </w:tc>
        <w:tc>
          <w:tcPr>
            <w:tcW w:w="729" w:type="pct"/>
            <w:vAlign w:val="center"/>
          </w:tcPr>
          <w:p w14:paraId="79B2754D"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Nor</w:t>
            </w:r>
            <w:r w:rsidR="00865CCB">
              <w:rPr>
                <w:rFonts w:cs="Arial"/>
                <w:sz w:val="17"/>
                <w:szCs w:val="17"/>
                <w:lang w:val="fr-FR" w:eastAsia="zh-CN"/>
              </w:rPr>
              <w:t>vè</w:t>
            </w:r>
            <w:r w:rsidRPr="004B3056">
              <w:rPr>
                <w:rFonts w:cs="Arial"/>
                <w:sz w:val="17"/>
                <w:szCs w:val="17"/>
                <w:lang w:val="fr-FR" w:eastAsia="zh-CN"/>
              </w:rPr>
              <w:t>ge</w:t>
            </w:r>
          </w:p>
        </w:tc>
        <w:tc>
          <w:tcPr>
            <w:tcW w:w="755" w:type="pct"/>
            <w:vAlign w:val="center"/>
          </w:tcPr>
          <w:p w14:paraId="4E4B05EE" w14:textId="77777777" w:rsidR="001C59B7" w:rsidRPr="004B3056" w:rsidRDefault="001C59B7" w:rsidP="001C59B7">
            <w:pPr>
              <w:spacing w:line="240" w:lineRule="auto"/>
              <w:rPr>
                <w:rFonts w:cs="Arial"/>
                <w:sz w:val="17"/>
                <w:szCs w:val="17"/>
                <w:lang w:val="fr-FR" w:eastAsia="zh-CN"/>
              </w:rPr>
            </w:pPr>
          </w:p>
        </w:tc>
        <w:tc>
          <w:tcPr>
            <w:tcW w:w="581" w:type="pct"/>
            <w:vAlign w:val="center"/>
          </w:tcPr>
          <w:p w14:paraId="2F2F5826"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2011 - 2018</w:t>
            </w:r>
          </w:p>
        </w:tc>
        <w:tc>
          <w:tcPr>
            <w:tcW w:w="769" w:type="pct"/>
            <w:vAlign w:val="center"/>
          </w:tcPr>
          <w:p w14:paraId="465577BB"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369.350 US$</w:t>
            </w:r>
          </w:p>
        </w:tc>
      </w:tr>
      <w:tr w:rsidR="001C59B7" w:rsidRPr="004B3056" w14:paraId="6E900D69" w14:textId="77777777" w:rsidTr="00BA1953">
        <w:tc>
          <w:tcPr>
            <w:tcW w:w="504" w:type="pct"/>
            <w:vAlign w:val="center"/>
          </w:tcPr>
          <w:p w14:paraId="2488F5D0"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PAGEDD</w:t>
            </w:r>
          </w:p>
        </w:tc>
        <w:tc>
          <w:tcPr>
            <w:tcW w:w="1662" w:type="pct"/>
            <w:vAlign w:val="center"/>
          </w:tcPr>
          <w:p w14:paraId="354AE595"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 xml:space="preserve">Programme d'Appui à la Gestion de l'Environnement et la Promotion du Développement Durable au Mali </w:t>
            </w:r>
          </w:p>
        </w:tc>
        <w:tc>
          <w:tcPr>
            <w:tcW w:w="729" w:type="pct"/>
            <w:vAlign w:val="center"/>
          </w:tcPr>
          <w:p w14:paraId="155667BD" w14:textId="77777777" w:rsidR="001C59B7" w:rsidRPr="004B3056" w:rsidRDefault="001C59B7" w:rsidP="001C59B7">
            <w:pPr>
              <w:spacing w:line="240" w:lineRule="auto"/>
              <w:rPr>
                <w:rFonts w:cs="Arial"/>
                <w:sz w:val="17"/>
                <w:szCs w:val="17"/>
                <w:lang w:val="fr-FR" w:eastAsia="zh-CN"/>
              </w:rPr>
            </w:pPr>
          </w:p>
        </w:tc>
        <w:tc>
          <w:tcPr>
            <w:tcW w:w="755" w:type="pct"/>
            <w:vAlign w:val="center"/>
          </w:tcPr>
          <w:p w14:paraId="2ED672A3" w14:textId="77777777" w:rsidR="001C59B7" w:rsidRPr="004B3056" w:rsidRDefault="001C59B7" w:rsidP="001C59B7">
            <w:pPr>
              <w:spacing w:line="240" w:lineRule="auto"/>
              <w:rPr>
                <w:rFonts w:cs="Arial"/>
                <w:sz w:val="17"/>
                <w:szCs w:val="17"/>
                <w:lang w:val="fr-FR" w:eastAsia="zh-CN"/>
              </w:rPr>
            </w:pPr>
          </w:p>
        </w:tc>
        <w:tc>
          <w:tcPr>
            <w:tcW w:w="581" w:type="pct"/>
            <w:vAlign w:val="center"/>
          </w:tcPr>
          <w:p w14:paraId="73F89ACC"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2011 - 2018</w:t>
            </w:r>
          </w:p>
        </w:tc>
        <w:tc>
          <w:tcPr>
            <w:tcW w:w="769" w:type="pct"/>
            <w:vAlign w:val="center"/>
          </w:tcPr>
          <w:p w14:paraId="23577E2B" w14:textId="77777777" w:rsidR="001C59B7" w:rsidRPr="004B3056" w:rsidRDefault="001C59B7" w:rsidP="001C59B7">
            <w:pPr>
              <w:spacing w:line="240" w:lineRule="auto"/>
              <w:rPr>
                <w:rFonts w:cs="Arial"/>
                <w:sz w:val="17"/>
                <w:szCs w:val="17"/>
                <w:lang w:val="fr-FR" w:eastAsia="zh-CN"/>
              </w:rPr>
            </w:pPr>
          </w:p>
        </w:tc>
      </w:tr>
      <w:tr w:rsidR="001C59B7" w:rsidRPr="004B3056" w14:paraId="2CD68C3D" w14:textId="77777777" w:rsidTr="00BA1953">
        <w:tc>
          <w:tcPr>
            <w:tcW w:w="504" w:type="pct"/>
            <w:vAlign w:val="center"/>
          </w:tcPr>
          <w:p w14:paraId="275F7486" w14:textId="77777777" w:rsidR="001C59B7" w:rsidRPr="004B3056" w:rsidRDefault="001C59B7" w:rsidP="001C59B7">
            <w:pPr>
              <w:spacing w:line="240" w:lineRule="auto"/>
              <w:rPr>
                <w:rFonts w:cs="Arial"/>
                <w:sz w:val="17"/>
                <w:szCs w:val="17"/>
                <w:lang w:val="fr-FR" w:eastAsia="zh-CN"/>
              </w:rPr>
            </w:pPr>
          </w:p>
        </w:tc>
        <w:tc>
          <w:tcPr>
            <w:tcW w:w="1662" w:type="pct"/>
            <w:vAlign w:val="center"/>
          </w:tcPr>
          <w:p w14:paraId="14060A6E"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Appui Agriculture Durable Résilience CC Yanfolila</w:t>
            </w:r>
          </w:p>
        </w:tc>
        <w:tc>
          <w:tcPr>
            <w:tcW w:w="729" w:type="pct"/>
            <w:vAlign w:val="center"/>
          </w:tcPr>
          <w:p w14:paraId="46CAD7F5"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Climat fund</w:t>
            </w:r>
          </w:p>
        </w:tc>
        <w:tc>
          <w:tcPr>
            <w:tcW w:w="755" w:type="pct"/>
            <w:vAlign w:val="center"/>
          </w:tcPr>
          <w:p w14:paraId="6ECB9C1B" w14:textId="77777777" w:rsidR="001C59B7" w:rsidRPr="004B3056" w:rsidRDefault="001C59B7" w:rsidP="001C59B7">
            <w:pPr>
              <w:spacing w:line="240" w:lineRule="auto"/>
              <w:rPr>
                <w:rFonts w:cs="Arial"/>
                <w:sz w:val="17"/>
                <w:szCs w:val="17"/>
                <w:lang w:val="fr-FR" w:eastAsia="zh-CN"/>
              </w:rPr>
            </w:pPr>
          </w:p>
        </w:tc>
        <w:tc>
          <w:tcPr>
            <w:tcW w:w="581" w:type="pct"/>
            <w:vAlign w:val="center"/>
          </w:tcPr>
          <w:p w14:paraId="1430AA4D"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2014 - 2018</w:t>
            </w:r>
          </w:p>
        </w:tc>
        <w:tc>
          <w:tcPr>
            <w:tcW w:w="769" w:type="pct"/>
            <w:vAlign w:val="center"/>
          </w:tcPr>
          <w:p w14:paraId="2A02146E"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737.210 US$</w:t>
            </w:r>
          </w:p>
        </w:tc>
      </w:tr>
      <w:tr w:rsidR="001C59B7" w:rsidRPr="004B3056" w14:paraId="6A6BCB23" w14:textId="77777777" w:rsidTr="00BA1953">
        <w:tc>
          <w:tcPr>
            <w:tcW w:w="504" w:type="pct"/>
            <w:vAlign w:val="center"/>
          </w:tcPr>
          <w:p w14:paraId="3DCED68E" w14:textId="77777777" w:rsidR="001C59B7" w:rsidRPr="004B3056" w:rsidRDefault="001C59B7" w:rsidP="001C59B7">
            <w:pPr>
              <w:spacing w:line="240" w:lineRule="auto"/>
              <w:rPr>
                <w:rFonts w:cs="Arial"/>
                <w:sz w:val="17"/>
                <w:szCs w:val="17"/>
                <w:lang w:val="fr-FR" w:eastAsia="zh-CN"/>
              </w:rPr>
            </w:pPr>
          </w:p>
        </w:tc>
        <w:tc>
          <w:tcPr>
            <w:tcW w:w="1662" w:type="pct"/>
            <w:vAlign w:val="center"/>
          </w:tcPr>
          <w:p w14:paraId="4309C99F"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Programme National de Développement des Plateformes Multifonctionnelles pour la lutte contre la pauvreté</w:t>
            </w:r>
          </w:p>
        </w:tc>
        <w:tc>
          <w:tcPr>
            <w:tcW w:w="729" w:type="pct"/>
            <w:vAlign w:val="center"/>
          </w:tcPr>
          <w:p w14:paraId="6988AFE7" w14:textId="77777777" w:rsidR="001C59B7" w:rsidRPr="004B3056" w:rsidRDefault="001C59B7" w:rsidP="001C59B7">
            <w:pPr>
              <w:spacing w:line="240" w:lineRule="auto"/>
              <w:rPr>
                <w:rFonts w:cs="Arial"/>
                <w:sz w:val="17"/>
                <w:szCs w:val="17"/>
                <w:lang w:val="fr-FR" w:eastAsia="zh-CN"/>
              </w:rPr>
            </w:pPr>
          </w:p>
        </w:tc>
        <w:tc>
          <w:tcPr>
            <w:tcW w:w="755" w:type="pct"/>
            <w:vAlign w:val="center"/>
          </w:tcPr>
          <w:p w14:paraId="3BD11446" w14:textId="77777777" w:rsidR="001C59B7" w:rsidRPr="004B3056" w:rsidRDefault="001C59B7" w:rsidP="001C59B7">
            <w:pPr>
              <w:spacing w:line="240" w:lineRule="auto"/>
              <w:rPr>
                <w:rFonts w:cs="Arial"/>
                <w:sz w:val="17"/>
                <w:szCs w:val="17"/>
                <w:lang w:val="fr-FR" w:eastAsia="zh-CN"/>
              </w:rPr>
            </w:pPr>
          </w:p>
        </w:tc>
        <w:tc>
          <w:tcPr>
            <w:tcW w:w="581" w:type="pct"/>
            <w:vAlign w:val="center"/>
          </w:tcPr>
          <w:p w14:paraId="5F0395B9" w14:textId="77777777" w:rsidR="001C59B7" w:rsidRPr="004B3056" w:rsidRDefault="001C59B7" w:rsidP="001C59B7">
            <w:pPr>
              <w:spacing w:line="240" w:lineRule="auto"/>
              <w:rPr>
                <w:rFonts w:cs="Arial"/>
                <w:sz w:val="17"/>
                <w:szCs w:val="17"/>
                <w:lang w:val="fr-FR" w:eastAsia="zh-CN"/>
              </w:rPr>
            </w:pPr>
          </w:p>
        </w:tc>
        <w:tc>
          <w:tcPr>
            <w:tcW w:w="769" w:type="pct"/>
            <w:vAlign w:val="center"/>
          </w:tcPr>
          <w:p w14:paraId="2793C14F" w14:textId="77777777" w:rsidR="001C59B7" w:rsidRPr="004B3056" w:rsidRDefault="001C59B7" w:rsidP="001C59B7">
            <w:pPr>
              <w:spacing w:line="240" w:lineRule="auto"/>
              <w:rPr>
                <w:rFonts w:cs="Arial"/>
                <w:sz w:val="17"/>
                <w:szCs w:val="17"/>
                <w:lang w:val="fr-FR" w:eastAsia="zh-CN"/>
              </w:rPr>
            </w:pPr>
          </w:p>
        </w:tc>
      </w:tr>
      <w:tr w:rsidR="001C59B7" w:rsidRPr="004B3056" w14:paraId="5645C1ED" w14:textId="77777777" w:rsidTr="00BA1953">
        <w:tc>
          <w:tcPr>
            <w:tcW w:w="504" w:type="pct"/>
            <w:vAlign w:val="center"/>
          </w:tcPr>
          <w:p w14:paraId="445CFCF1"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PNUD-PMF/FEM</w:t>
            </w:r>
          </w:p>
        </w:tc>
        <w:tc>
          <w:tcPr>
            <w:tcW w:w="1662" w:type="pct"/>
            <w:vAlign w:val="center"/>
          </w:tcPr>
          <w:p w14:paraId="3E6093B9"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Programme de Micro- fonds (SGP)</w:t>
            </w:r>
          </w:p>
        </w:tc>
        <w:tc>
          <w:tcPr>
            <w:tcW w:w="729" w:type="pct"/>
            <w:vAlign w:val="center"/>
          </w:tcPr>
          <w:p w14:paraId="1A1008CF"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FEM</w:t>
            </w:r>
          </w:p>
        </w:tc>
        <w:tc>
          <w:tcPr>
            <w:tcW w:w="755" w:type="pct"/>
            <w:vAlign w:val="center"/>
          </w:tcPr>
          <w:p w14:paraId="742EB68D"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14 ONG nationales</w:t>
            </w:r>
          </w:p>
        </w:tc>
        <w:tc>
          <w:tcPr>
            <w:tcW w:w="581" w:type="pct"/>
            <w:vAlign w:val="center"/>
          </w:tcPr>
          <w:p w14:paraId="3F1E38C2"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 xml:space="preserve">2016 - </w:t>
            </w:r>
          </w:p>
        </w:tc>
        <w:tc>
          <w:tcPr>
            <w:tcW w:w="769" w:type="pct"/>
            <w:vAlign w:val="center"/>
          </w:tcPr>
          <w:p w14:paraId="057435EF"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359 315 286 FCFA</w:t>
            </w:r>
          </w:p>
        </w:tc>
      </w:tr>
    </w:tbl>
    <w:p w14:paraId="4D2D9277" w14:textId="77777777" w:rsidR="001C59B7" w:rsidRPr="004B3056" w:rsidRDefault="001C59B7" w:rsidP="001C59B7">
      <w:pPr>
        <w:spacing w:after="0" w:line="240" w:lineRule="auto"/>
        <w:rPr>
          <w:rFonts w:eastAsia="SimSun" w:cs="Arial"/>
          <w:sz w:val="18"/>
          <w:szCs w:val="18"/>
          <w:lang w:val="fr-FR" w:eastAsia="zh-CN"/>
        </w:rPr>
      </w:pPr>
    </w:p>
    <w:p w14:paraId="6858B240" w14:textId="77777777" w:rsidR="001C59B7" w:rsidRPr="004B3056" w:rsidRDefault="001C59B7" w:rsidP="004B3056">
      <w:pPr>
        <w:spacing w:after="0" w:line="240" w:lineRule="auto"/>
        <w:rPr>
          <w:sz w:val="18"/>
          <w:szCs w:val="18"/>
          <w:lang w:val="fr-FR" w:eastAsia="zh-CN"/>
        </w:rPr>
      </w:pPr>
      <w:r w:rsidRPr="004B3056">
        <w:rPr>
          <w:sz w:val="18"/>
          <w:szCs w:val="18"/>
          <w:lang w:val="fr-FR" w:eastAsia="zh-CN"/>
        </w:rPr>
        <w:t>FIDA</w:t>
      </w:r>
    </w:p>
    <w:tbl>
      <w:tblPr>
        <w:tblStyle w:val="Tabellenraster3"/>
        <w:tblW w:w="5000" w:type="pct"/>
        <w:tblLook w:val="01E0" w:firstRow="1" w:lastRow="1" w:firstColumn="1" w:lastColumn="1" w:noHBand="0" w:noVBand="0"/>
      </w:tblPr>
      <w:tblGrid>
        <w:gridCol w:w="4971"/>
        <w:gridCol w:w="3045"/>
        <w:gridCol w:w="2121"/>
      </w:tblGrid>
      <w:tr w:rsidR="001C59B7" w:rsidRPr="004B3056" w14:paraId="034D15E5" w14:textId="77777777" w:rsidTr="00BA1953">
        <w:tc>
          <w:tcPr>
            <w:tcW w:w="2452" w:type="pct"/>
            <w:tcBorders>
              <w:top w:val="single" w:sz="4" w:space="0" w:color="auto"/>
              <w:left w:val="single" w:sz="4" w:space="0" w:color="auto"/>
              <w:bottom w:val="single" w:sz="4" w:space="0" w:color="auto"/>
              <w:right w:val="single" w:sz="4" w:space="0" w:color="auto"/>
            </w:tcBorders>
            <w:shd w:val="clear" w:color="auto" w:fill="D9D9D9"/>
            <w:vAlign w:val="center"/>
          </w:tcPr>
          <w:p w14:paraId="2DBB24FB"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Projet</w:t>
            </w:r>
          </w:p>
        </w:tc>
        <w:tc>
          <w:tcPr>
            <w:tcW w:w="1502" w:type="pct"/>
            <w:tcBorders>
              <w:top w:val="single" w:sz="4" w:space="0" w:color="auto"/>
              <w:left w:val="single" w:sz="4" w:space="0" w:color="auto"/>
              <w:bottom w:val="single" w:sz="4" w:space="0" w:color="auto"/>
              <w:right w:val="single" w:sz="4" w:space="0" w:color="auto"/>
            </w:tcBorders>
            <w:shd w:val="clear" w:color="auto" w:fill="D9D9D9"/>
            <w:vAlign w:val="center"/>
          </w:tcPr>
          <w:p w14:paraId="7F8681F4"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Autres bailleurs de fonds</w:t>
            </w:r>
          </w:p>
        </w:tc>
        <w:tc>
          <w:tcPr>
            <w:tcW w:w="1046" w:type="pct"/>
            <w:tcBorders>
              <w:top w:val="single" w:sz="4" w:space="0" w:color="auto"/>
              <w:left w:val="single" w:sz="4" w:space="0" w:color="auto"/>
              <w:bottom w:val="single" w:sz="4" w:space="0" w:color="auto"/>
              <w:right w:val="single" w:sz="4" w:space="0" w:color="auto"/>
            </w:tcBorders>
            <w:shd w:val="clear" w:color="auto" w:fill="D9D9D9"/>
            <w:vAlign w:val="center"/>
          </w:tcPr>
          <w:p w14:paraId="6634667F"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Durée</w:t>
            </w:r>
          </w:p>
        </w:tc>
      </w:tr>
      <w:tr w:rsidR="001C59B7" w:rsidRPr="004B3056" w14:paraId="504DF8CF" w14:textId="77777777" w:rsidTr="00BA1953">
        <w:tc>
          <w:tcPr>
            <w:tcW w:w="2452" w:type="pct"/>
            <w:tcBorders>
              <w:top w:val="single" w:sz="4" w:space="0" w:color="auto"/>
              <w:left w:val="single" w:sz="4" w:space="0" w:color="auto"/>
              <w:bottom w:val="single" w:sz="4" w:space="0" w:color="auto"/>
              <w:right w:val="single" w:sz="4" w:space="0" w:color="auto"/>
            </w:tcBorders>
            <w:vAlign w:val="center"/>
          </w:tcPr>
          <w:p w14:paraId="3F4D9A0E" w14:textId="77777777" w:rsidR="001C59B7" w:rsidRPr="004B3056" w:rsidRDefault="001C59B7" w:rsidP="001C59B7">
            <w:pPr>
              <w:spacing w:line="240" w:lineRule="auto"/>
              <w:rPr>
                <w:rFonts w:cs="Arial"/>
                <w:bCs/>
                <w:sz w:val="17"/>
                <w:szCs w:val="17"/>
                <w:lang w:val="fr-FR" w:eastAsia="zh-CN"/>
              </w:rPr>
            </w:pPr>
            <w:bookmarkStart w:id="134" w:name="_Hlk524880646"/>
            <w:r w:rsidRPr="004B3056">
              <w:rPr>
                <w:rFonts w:cs="Arial"/>
                <w:bCs/>
                <w:sz w:val="17"/>
                <w:szCs w:val="17"/>
                <w:lang w:val="fr-FR" w:eastAsia="zh-CN"/>
              </w:rPr>
              <w:t>Projet Accroissement de la Productivité Agricole au Mali (PAPAM)</w:t>
            </w:r>
          </w:p>
        </w:tc>
        <w:tc>
          <w:tcPr>
            <w:tcW w:w="1502" w:type="pct"/>
            <w:tcBorders>
              <w:top w:val="single" w:sz="4" w:space="0" w:color="auto"/>
              <w:left w:val="single" w:sz="4" w:space="0" w:color="auto"/>
              <w:bottom w:val="single" w:sz="4" w:space="0" w:color="auto"/>
              <w:right w:val="single" w:sz="4" w:space="0" w:color="auto"/>
            </w:tcBorders>
            <w:vAlign w:val="center"/>
          </w:tcPr>
          <w:p w14:paraId="1F1BD6D8"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BM</w:t>
            </w:r>
          </w:p>
        </w:tc>
        <w:tc>
          <w:tcPr>
            <w:tcW w:w="1046" w:type="pct"/>
            <w:tcBorders>
              <w:top w:val="single" w:sz="4" w:space="0" w:color="auto"/>
              <w:left w:val="single" w:sz="4" w:space="0" w:color="auto"/>
              <w:bottom w:val="single" w:sz="4" w:space="0" w:color="auto"/>
              <w:right w:val="single" w:sz="4" w:space="0" w:color="auto"/>
            </w:tcBorders>
            <w:vAlign w:val="center"/>
          </w:tcPr>
          <w:p w14:paraId="0A0DD917"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2011 - fin 2018</w:t>
            </w:r>
          </w:p>
        </w:tc>
      </w:tr>
      <w:bookmarkEnd w:id="134"/>
      <w:tr w:rsidR="001C59B7" w:rsidRPr="004B3056" w14:paraId="1A1312A2" w14:textId="77777777" w:rsidTr="00BA1953">
        <w:trPr>
          <w:trHeight w:val="905"/>
        </w:trPr>
        <w:tc>
          <w:tcPr>
            <w:tcW w:w="2452" w:type="pct"/>
            <w:tcBorders>
              <w:top w:val="single" w:sz="4" w:space="0" w:color="auto"/>
              <w:left w:val="single" w:sz="4" w:space="0" w:color="auto"/>
              <w:right w:val="single" w:sz="4" w:space="0" w:color="auto"/>
            </w:tcBorders>
            <w:vAlign w:val="center"/>
          </w:tcPr>
          <w:p w14:paraId="5A4EF28B"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Appui aux systèmes de microfinance en milieu rural à travers : (i) Programme de diversification des revenus en zone Mali-Sud, (ii) Projet de développement dans la zone lacustre, (iii) Programme de fonds de développement en zone sahélienne (FODESA)</w:t>
            </w:r>
          </w:p>
        </w:tc>
        <w:tc>
          <w:tcPr>
            <w:tcW w:w="1502" w:type="pct"/>
            <w:tcBorders>
              <w:top w:val="single" w:sz="4" w:space="0" w:color="auto"/>
              <w:left w:val="single" w:sz="4" w:space="0" w:color="auto"/>
              <w:right w:val="single" w:sz="4" w:space="0" w:color="auto"/>
            </w:tcBorders>
            <w:vAlign w:val="center"/>
          </w:tcPr>
          <w:p w14:paraId="21BB9411"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Canada, BM, PNUD</w:t>
            </w:r>
          </w:p>
        </w:tc>
        <w:tc>
          <w:tcPr>
            <w:tcW w:w="1046" w:type="pct"/>
            <w:tcBorders>
              <w:top w:val="single" w:sz="4" w:space="0" w:color="auto"/>
              <w:left w:val="single" w:sz="4" w:space="0" w:color="auto"/>
              <w:right w:val="single" w:sz="4" w:space="0" w:color="auto"/>
            </w:tcBorders>
            <w:vAlign w:val="center"/>
          </w:tcPr>
          <w:p w14:paraId="342C1449"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2009 - 2018</w:t>
            </w:r>
          </w:p>
        </w:tc>
      </w:tr>
    </w:tbl>
    <w:p w14:paraId="68BE89B8" w14:textId="77777777" w:rsidR="001C59B7" w:rsidRPr="004B3056" w:rsidRDefault="001C59B7" w:rsidP="001C59B7">
      <w:pPr>
        <w:spacing w:after="0" w:line="240" w:lineRule="auto"/>
        <w:rPr>
          <w:rFonts w:eastAsia="SimSun" w:cs="Arial"/>
          <w:sz w:val="18"/>
          <w:szCs w:val="18"/>
          <w:lang w:val="fr-FR" w:eastAsia="zh-CN"/>
        </w:rPr>
      </w:pPr>
    </w:p>
    <w:p w14:paraId="70B652E0" w14:textId="77777777" w:rsidR="001C59B7" w:rsidRPr="004B3056" w:rsidRDefault="001C59B7" w:rsidP="004B3056">
      <w:pPr>
        <w:spacing w:after="0" w:line="240" w:lineRule="auto"/>
        <w:rPr>
          <w:sz w:val="18"/>
          <w:szCs w:val="18"/>
          <w:lang w:val="fr-FR" w:eastAsia="zh-CN"/>
        </w:rPr>
      </w:pPr>
      <w:r w:rsidRPr="004B3056">
        <w:rPr>
          <w:sz w:val="18"/>
          <w:szCs w:val="18"/>
          <w:lang w:val="fr-FR" w:eastAsia="zh-CN"/>
        </w:rPr>
        <w:t>FAO</w:t>
      </w:r>
    </w:p>
    <w:tbl>
      <w:tblPr>
        <w:tblStyle w:val="Tabellenraster3"/>
        <w:tblW w:w="5000" w:type="pct"/>
        <w:tblLook w:val="01E0" w:firstRow="1" w:lastRow="1" w:firstColumn="1" w:lastColumn="1" w:noHBand="0" w:noVBand="0"/>
      </w:tblPr>
      <w:tblGrid>
        <w:gridCol w:w="1564"/>
        <w:gridCol w:w="3860"/>
        <w:gridCol w:w="1699"/>
        <w:gridCol w:w="1283"/>
        <w:gridCol w:w="1731"/>
      </w:tblGrid>
      <w:tr w:rsidR="001C59B7" w:rsidRPr="004B3056" w14:paraId="7D706E20" w14:textId="77777777" w:rsidTr="00BA1953">
        <w:tc>
          <w:tcPr>
            <w:tcW w:w="771" w:type="pct"/>
            <w:tcBorders>
              <w:top w:val="single" w:sz="4" w:space="0" w:color="auto"/>
              <w:left w:val="single" w:sz="4" w:space="0" w:color="auto"/>
              <w:bottom w:val="single" w:sz="4" w:space="0" w:color="auto"/>
              <w:right w:val="single" w:sz="4" w:space="0" w:color="auto"/>
            </w:tcBorders>
            <w:shd w:val="clear" w:color="auto" w:fill="D9D9D9"/>
            <w:vAlign w:val="center"/>
          </w:tcPr>
          <w:p w14:paraId="1D963EF5"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Projet Abr.</w:t>
            </w:r>
          </w:p>
        </w:tc>
        <w:tc>
          <w:tcPr>
            <w:tcW w:w="1904" w:type="pct"/>
            <w:tcBorders>
              <w:top w:val="single" w:sz="4" w:space="0" w:color="auto"/>
              <w:left w:val="single" w:sz="4" w:space="0" w:color="auto"/>
              <w:bottom w:val="single" w:sz="4" w:space="0" w:color="auto"/>
              <w:right w:val="single" w:sz="4" w:space="0" w:color="auto"/>
            </w:tcBorders>
            <w:shd w:val="clear" w:color="auto" w:fill="D9D9D9"/>
            <w:vAlign w:val="center"/>
          </w:tcPr>
          <w:p w14:paraId="27F9FFEB"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Projet</w:t>
            </w:r>
          </w:p>
        </w:tc>
        <w:tc>
          <w:tcPr>
            <w:tcW w:w="838" w:type="pct"/>
            <w:tcBorders>
              <w:top w:val="single" w:sz="4" w:space="0" w:color="auto"/>
              <w:left w:val="single" w:sz="4" w:space="0" w:color="auto"/>
              <w:bottom w:val="single" w:sz="4" w:space="0" w:color="auto"/>
              <w:right w:val="single" w:sz="4" w:space="0" w:color="auto"/>
            </w:tcBorders>
            <w:shd w:val="clear" w:color="auto" w:fill="D9D9D9"/>
            <w:vAlign w:val="center"/>
          </w:tcPr>
          <w:p w14:paraId="3CDB95B7"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Autres bailleurs de fonds</w:t>
            </w:r>
          </w:p>
        </w:tc>
        <w:tc>
          <w:tcPr>
            <w:tcW w:w="633" w:type="pct"/>
            <w:tcBorders>
              <w:top w:val="single" w:sz="4" w:space="0" w:color="auto"/>
              <w:left w:val="single" w:sz="4" w:space="0" w:color="auto"/>
              <w:bottom w:val="single" w:sz="4" w:space="0" w:color="auto"/>
              <w:right w:val="single" w:sz="4" w:space="0" w:color="auto"/>
            </w:tcBorders>
            <w:shd w:val="clear" w:color="auto" w:fill="D9D9D9"/>
            <w:vAlign w:val="center"/>
          </w:tcPr>
          <w:p w14:paraId="4F0B61ED"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Durée</w:t>
            </w:r>
          </w:p>
        </w:tc>
        <w:tc>
          <w:tcPr>
            <w:tcW w:w="854" w:type="pct"/>
            <w:tcBorders>
              <w:top w:val="single" w:sz="4" w:space="0" w:color="auto"/>
              <w:left w:val="single" w:sz="4" w:space="0" w:color="auto"/>
              <w:bottom w:val="single" w:sz="4" w:space="0" w:color="auto"/>
              <w:right w:val="single" w:sz="4" w:space="0" w:color="auto"/>
            </w:tcBorders>
            <w:shd w:val="clear" w:color="auto" w:fill="D9D9D9"/>
            <w:vAlign w:val="center"/>
          </w:tcPr>
          <w:p w14:paraId="02B88FC7"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Montant (€)</w:t>
            </w:r>
          </w:p>
        </w:tc>
      </w:tr>
      <w:tr w:rsidR="001C59B7" w:rsidRPr="004B3056" w14:paraId="3C486B34" w14:textId="77777777" w:rsidTr="00BA1953">
        <w:tc>
          <w:tcPr>
            <w:tcW w:w="771" w:type="pct"/>
            <w:tcBorders>
              <w:top w:val="single" w:sz="4" w:space="0" w:color="auto"/>
              <w:left w:val="single" w:sz="4" w:space="0" w:color="auto"/>
              <w:bottom w:val="single" w:sz="4" w:space="0" w:color="auto"/>
              <w:right w:val="single" w:sz="4" w:space="0" w:color="auto"/>
            </w:tcBorders>
            <w:vAlign w:val="center"/>
          </w:tcPr>
          <w:p w14:paraId="5D3DC19A" w14:textId="77777777" w:rsidR="001C59B7" w:rsidRPr="004B3056" w:rsidRDefault="001C59B7" w:rsidP="001C59B7">
            <w:pPr>
              <w:spacing w:line="240" w:lineRule="auto"/>
              <w:rPr>
                <w:rFonts w:cs="Arial"/>
                <w:bCs/>
                <w:caps/>
                <w:sz w:val="17"/>
                <w:szCs w:val="17"/>
                <w:lang w:val="fr-FR" w:eastAsia="zh-CN"/>
              </w:rPr>
            </w:pPr>
            <w:r w:rsidRPr="004B3056">
              <w:rPr>
                <w:sz w:val="17"/>
                <w:szCs w:val="17"/>
              </w:rPr>
              <w:t>UNJP/MLI/047/UNJ</w:t>
            </w:r>
          </w:p>
        </w:tc>
        <w:tc>
          <w:tcPr>
            <w:tcW w:w="1904" w:type="pct"/>
            <w:tcBorders>
              <w:top w:val="single" w:sz="4" w:space="0" w:color="auto"/>
              <w:left w:val="single" w:sz="4" w:space="0" w:color="auto"/>
              <w:bottom w:val="single" w:sz="4" w:space="0" w:color="auto"/>
              <w:right w:val="single" w:sz="4" w:space="0" w:color="auto"/>
            </w:tcBorders>
            <w:vAlign w:val="center"/>
          </w:tcPr>
          <w:p w14:paraId="25392B28" w14:textId="77777777" w:rsidR="001C59B7" w:rsidRPr="004B3056" w:rsidRDefault="001C59B7" w:rsidP="001C59B7">
            <w:pPr>
              <w:spacing w:line="240" w:lineRule="auto"/>
              <w:rPr>
                <w:rFonts w:cs="Arial"/>
                <w:bCs/>
                <w:sz w:val="17"/>
                <w:szCs w:val="17"/>
                <w:lang w:val="fr-FR" w:eastAsia="zh-CN"/>
              </w:rPr>
            </w:pPr>
            <w:bookmarkStart w:id="135" w:name="TOP"/>
            <w:r w:rsidRPr="004B3056">
              <w:rPr>
                <w:sz w:val="17"/>
                <w:szCs w:val="17"/>
              </w:rPr>
              <w:t>Programme de Développement des capacités de production aquacole résilientes et durables adaptées aux changements climatiques et à la variabilité climatique au Mali</w:t>
            </w:r>
            <w:bookmarkEnd w:id="135"/>
          </w:p>
        </w:tc>
        <w:tc>
          <w:tcPr>
            <w:tcW w:w="838" w:type="pct"/>
            <w:tcBorders>
              <w:top w:val="single" w:sz="4" w:space="0" w:color="auto"/>
              <w:left w:val="single" w:sz="4" w:space="0" w:color="auto"/>
              <w:bottom w:val="single" w:sz="4" w:space="0" w:color="auto"/>
              <w:right w:val="single" w:sz="4" w:space="0" w:color="auto"/>
            </w:tcBorders>
            <w:vAlign w:val="center"/>
          </w:tcPr>
          <w:p w14:paraId="1D395AD3" w14:textId="77777777" w:rsidR="001C59B7" w:rsidRPr="004B3056" w:rsidRDefault="001C59B7" w:rsidP="001C59B7">
            <w:pPr>
              <w:spacing w:line="240" w:lineRule="auto"/>
              <w:rPr>
                <w:rFonts w:cs="Arial"/>
                <w:bCs/>
                <w:caps/>
                <w:sz w:val="17"/>
                <w:szCs w:val="17"/>
                <w:lang w:val="fr-FR" w:eastAsia="zh-CN"/>
              </w:rPr>
            </w:pPr>
          </w:p>
        </w:tc>
        <w:tc>
          <w:tcPr>
            <w:tcW w:w="633" w:type="pct"/>
            <w:tcBorders>
              <w:top w:val="single" w:sz="4" w:space="0" w:color="auto"/>
              <w:left w:val="single" w:sz="4" w:space="0" w:color="auto"/>
              <w:bottom w:val="single" w:sz="4" w:space="0" w:color="auto"/>
              <w:right w:val="single" w:sz="4" w:space="0" w:color="auto"/>
            </w:tcBorders>
            <w:vAlign w:val="center"/>
          </w:tcPr>
          <w:p w14:paraId="3C5E1A75"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2017-2019</w:t>
            </w:r>
          </w:p>
        </w:tc>
        <w:tc>
          <w:tcPr>
            <w:tcW w:w="854" w:type="pct"/>
            <w:tcBorders>
              <w:top w:val="single" w:sz="4" w:space="0" w:color="auto"/>
              <w:left w:val="single" w:sz="4" w:space="0" w:color="auto"/>
              <w:bottom w:val="single" w:sz="4" w:space="0" w:color="auto"/>
              <w:right w:val="single" w:sz="4" w:space="0" w:color="auto"/>
            </w:tcBorders>
            <w:vAlign w:val="center"/>
          </w:tcPr>
          <w:p w14:paraId="0129D120" w14:textId="77777777" w:rsidR="001C59B7" w:rsidRPr="004B3056" w:rsidRDefault="001C59B7" w:rsidP="001C59B7">
            <w:pPr>
              <w:spacing w:line="240" w:lineRule="auto"/>
              <w:rPr>
                <w:rFonts w:cs="Arial"/>
                <w:bCs/>
                <w:caps/>
                <w:sz w:val="17"/>
                <w:szCs w:val="17"/>
                <w:lang w:val="fr-FR" w:eastAsia="zh-CN"/>
              </w:rPr>
            </w:pPr>
            <w:r w:rsidRPr="004B3056">
              <w:rPr>
                <w:sz w:val="17"/>
                <w:szCs w:val="17"/>
              </w:rPr>
              <w:t>147,832 US $</w:t>
            </w:r>
          </w:p>
        </w:tc>
      </w:tr>
      <w:tr w:rsidR="001C59B7" w:rsidRPr="004B3056" w14:paraId="1C9EF327" w14:textId="77777777" w:rsidTr="00BA1953">
        <w:tc>
          <w:tcPr>
            <w:tcW w:w="771" w:type="pct"/>
            <w:tcBorders>
              <w:top w:val="single" w:sz="4" w:space="0" w:color="auto"/>
              <w:left w:val="single" w:sz="4" w:space="0" w:color="auto"/>
              <w:bottom w:val="single" w:sz="4" w:space="0" w:color="auto"/>
              <w:right w:val="single" w:sz="4" w:space="0" w:color="auto"/>
            </w:tcBorders>
            <w:vAlign w:val="center"/>
          </w:tcPr>
          <w:p w14:paraId="414574AC" w14:textId="77777777" w:rsidR="001C59B7" w:rsidRPr="004B3056" w:rsidRDefault="001C59B7" w:rsidP="001C59B7">
            <w:pPr>
              <w:spacing w:line="240" w:lineRule="auto"/>
              <w:rPr>
                <w:sz w:val="17"/>
                <w:szCs w:val="17"/>
              </w:rPr>
            </w:pPr>
            <w:r w:rsidRPr="004B3056">
              <w:rPr>
                <w:sz w:val="17"/>
                <w:szCs w:val="17"/>
              </w:rPr>
              <w:t>GCP/MLI/038/LDF</w:t>
            </w:r>
          </w:p>
        </w:tc>
        <w:tc>
          <w:tcPr>
            <w:tcW w:w="1904" w:type="pct"/>
            <w:tcBorders>
              <w:top w:val="single" w:sz="4" w:space="0" w:color="auto"/>
              <w:left w:val="single" w:sz="4" w:space="0" w:color="auto"/>
              <w:bottom w:val="single" w:sz="4" w:space="0" w:color="auto"/>
              <w:right w:val="single" w:sz="4" w:space="0" w:color="auto"/>
            </w:tcBorders>
            <w:vAlign w:val="center"/>
          </w:tcPr>
          <w:p w14:paraId="2099B411" w14:textId="77777777" w:rsidR="001C59B7" w:rsidRPr="004B3056" w:rsidRDefault="001C59B7" w:rsidP="001C59B7">
            <w:pPr>
              <w:spacing w:line="240" w:lineRule="auto"/>
              <w:rPr>
                <w:sz w:val="17"/>
                <w:szCs w:val="17"/>
              </w:rPr>
            </w:pPr>
            <w:r w:rsidRPr="004B3056">
              <w:rPr>
                <w:sz w:val="17"/>
                <w:szCs w:val="17"/>
              </w:rPr>
              <w:t xml:space="preserve">Intensifier la résilience aux changements climatiques à travers une gestion agricole et pastorale intégrée dans la zone sahélienne dans le cadre de l'approche de Gestion </w:t>
            </w:r>
            <w:r w:rsidRPr="004B3056">
              <w:rPr>
                <w:sz w:val="17"/>
                <w:szCs w:val="17"/>
              </w:rPr>
              <w:lastRenderedPageBreak/>
              <w:t xml:space="preserve">durable des terres </w:t>
            </w:r>
          </w:p>
        </w:tc>
        <w:tc>
          <w:tcPr>
            <w:tcW w:w="838" w:type="pct"/>
            <w:tcBorders>
              <w:top w:val="single" w:sz="4" w:space="0" w:color="auto"/>
              <w:left w:val="single" w:sz="4" w:space="0" w:color="auto"/>
              <w:bottom w:val="single" w:sz="4" w:space="0" w:color="auto"/>
              <w:right w:val="single" w:sz="4" w:space="0" w:color="auto"/>
            </w:tcBorders>
            <w:vAlign w:val="center"/>
          </w:tcPr>
          <w:p w14:paraId="439DB1E3"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lastRenderedPageBreak/>
              <w:t>FEM</w:t>
            </w:r>
          </w:p>
        </w:tc>
        <w:tc>
          <w:tcPr>
            <w:tcW w:w="633" w:type="pct"/>
            <w:tcBorders>
              <w:top w:val="single" w:sz="4" w:space="0" w:color="auto"/>
              <w:left w:val="single" w:sz="4" w:space="0" w:color="auto"/>
              <w:bottom w:val="single" w:sz="4" w:space="0" w:color="auto"/>
              <w:right w:val="single" w:sz="4" w:space="0" w:color="auto"/>
            </w:tcBorders>
            <w:vAlign w:val="center"/>
          </w:tcPr>
          <w:p w14:paraId="13BE36C5"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2015 - 2018</w:t>
            </w:r>
          </w:p>
        </w:tc>
        <w:tc>
          <w:tcPr>
            <w:tcW w:w="854" w:type="pct"/>
            <w:tcBorders>
              <w:top w:val="single" w:sz="4" w:space="0" w:color="auto"/>
              <w:left w:val="single" w:sz="4" w:space="0" w:color="auto"/>
              <w:bottom w:val="single" w:sz="4" w:space="0" w:color="auto"/>
              <w:right w:val="single" w:sz="4" w:space="0" w:color="auto"/>
            </w:tcBorders>
            <w:vAlign w:val="center"/>
          </w:tcPr>
          <w:p w14:paraId="0347ED3A" w14:textId="77777777" w:rsidR="001C59B7" w:rsidRPr="004B3056" w:rsidRDefault="001C59B7" w:rsidP="001C59B7">
            <w:pPr>
              <w:spacing w:line="240" w:lineRule="auto"/>
              <w:rPr>
                <w:sz w:val="17"/>
                <w:szCs w:val="17"/>
              </w:rPr>
            </w:pPr>
            <w:r w:rsidRPr="004B3056">
              <w:rPr>
                <w:sz w:val="17"/>
                <w:szCs w:val="17"/>
              </w:rPr>
              <w:t>1 216 727 120</w:t>
            </w:r>
          </w:p>
          <w:p w14:paraId="79646C62" w14:textId="77777777" w:rsidR="001C59B7" w:rsidRPr="004B3056" w:rsidRDefault="001C59B7" w:rsidP="001C59B7">
            <w:pPr>
              <w:spacing w:line="240" w:lineRule="auto"/>
              <w:rPr>
                <w:sz w:val="17"/>
                <w:szCs w:val="17"/>
              </w:rPr>
            </w:pPr>
            <w:r w:rsidRPr="004B3056">
              <w:rPr>
                <w:sz w:val="17"/>
                <w:szCs w:val="17"/>
              </w:rPr>
              <w:t>F.CFA</w:t>
            </w:r>
          </w:p>
        </w:tc>
      </w:tr>
      <w:tr w:rsidR="001C59B7" w:rsidRPr="004B3056" w14:paraId="78A0B92F" w14:textId="77777777" w:rsidTr="00BA1953">
        <w:tc>
          <w:tcPr>
            <w:tcW w:w="771" w:type="pct"/>
            <w:tcBorders>
              <w:top w:val="single" w:sz="4" w:space="0" w:color="auto"/>
              <w:left w:val="single" w:sz="4" w:space="0" w:color="auto"/>
              <w:bottom w:val="single" w:sz="4" w:space="0" w:color="auto"/>
              <w:right w:val="single" w:sz="4" w:space="0" w:color="auto"/>
            </w:tcBorders>
            <w:vAlign w:val="center"/>
          </w:tcPr>
          <w:p w14:paraId="18E2D9D7" w14:textId="77777777" w:rsidR="001C59B7" w:rsidRPr="004B3056" w:rsidRDefault="001C59B7" w:rsidP="001C59B7">
            <w:pPr>
              <w:spacing w:line="240" w:lineRule="auto"/>
              <w:rPr>
                <w:sz w:val="17"/>
                <w:szCs w:val="17"/>
              </w:rPr>
            </w:pPr>
          </w:p>
        </w:tc>
        <w:tc>
          <w:tcPr>
            <w:tcW w:w="1904" w:type="pct"/>
            <w:tcBorders>
              <w:top w:val="single" w:sz="4" w:space="0" w:color="auto"/>
              <w:left w:val="single" w:sz="4" w:space="0" w:color="auto"/>
              <w:bottom w:val="single" w:sz="4" w:space="0" w:color="auto"/>
              <w:right w:val="single" w:sz="4" w:space="0" w:color="auto"/>
            </w:tcBorders>
            <w:vAlign w:val="center"/>
          </w:tcPr>
          <w:p w14:paraId="51CBC932" w14:textId="77777777" w:rsidR="001C59B7" w:rsidRPr="004B3056" w:rsidRDefault="001C59B7" w:rsidP="001C59B7">
            <w:pPr>
              <w:spacing w:after="0" w:line="240" w:lineRule="auto"/>
              <w:rPr>
                <w:sz w:val="17"/>
                <w:szCs w:val="17"/>
              </w:rPr>
            </w:pPr>
            <w:r w:rsidRPr="004B3056">
              <w:rPr>
                <w:sz w:val="17"/>
                <w:szCs w:val="17"/>
              </w:rPr>
              <w:t>Intégrer la résilience face au changement climatique</w:t>
            </w:r>
          </w:p>
          <w:p w14:paraId="11F276EE" w14:textId="77777777" w:rsidR="001C59B7" w:rsidRPr="004B3056" w:rsidRDefault="001C59B7" w:rsidP="001C59B7">
            <w:pPr>
              <w:spacing w:after="0" w:line="240" w:lineRule="auto"/>
              <w:rPr>
                <w:sz w:val="17"/>
                <w:szCs w:val="17"/>
              </w:rPr>
            </w:pPr>
            <w:r w:rsidRPr="004B3056">
              <w:rPr>
                <w:sz w:val="17"/>
                <w:szCs w:val="17"/>
              </w:rPr>
              <w:t>dans la production agricole, en vue de la sécurité alimentaire dans les zones rurales du Mali</w:t>
            </w:r>
          </w:p>
        </w:tc>
        <w:tc>
          <w:tcPr>
            <w:tcW w:w="838" w:type="pct"/>
            <w:tcBorders>
              <w:top w:val="single" w:sz="4" w:space="0" w:color="auto"/>
              <w:left w:val="single" w:sz="4" w:space="0" w:color="auto"/>
              <w:bottom w:val="single" w:sz="4" w:space="0" w:color="auto"/>
              <w:right w:val="single" w:sz="4" w:space="0" w:color="auto"/>
            </w:tcBorders>
            <w:vAlign w:val="center"/>
          </w:tcPr>
          <w:p w14:paraId="1DC9544A" w14:textId="77777777" w:rsidR="001C59B7" w:rsidRPr="004B3056" w:rsidRDefault="001C59B7" w:rsidP="001C59B7">
            <w:pPr>
              <w:spacing w:line="240" w:lineRule="auto"/>
              <w:rPr>
                <w:rFonts w:cs="Arial"/>
                <w:bCs/>
                <w:caps/>
                <w:sz w:val="17"/>
                <w:szCs w:val="17"/>
                <w:lang w:val="fr-FR" w:eastAsia="zh-CN"/>
              </w:rPr>
            </w:pPr>
          </w:p>
        </w:tc>
        <w:tc>
          <w:tcPr>
            <w:tcW w:w="633" w:type="pct"/>
            <w:tcBorders>
              <w:top w:val="single" w:sz="4" w:space="0" w:color="auto"/>
              <w:left w:val="single" w:sz="4" w:space="0" w:color="auto"/>
              <w:bottom w:val="single" w:sz="4" w:space="0" w:color="auto"/>
              <w:right w:val="single" w:sz="4" w:space="0" w:color="auto"/>
            </w:tcBorders>
            <w:vAlign w:val="center"/>
          </w:tcPr>
          <w:p w14:paraId="4FB36DD4" w14:textId="77777777" w:rsidR="001C59B7" w:rsidRPr="004B3056" w:rsidRDefault="001C59B7" w:rsidP="001C59B7">
            <w:pPr>
              <w:spacing w:line="240" w:lineRule="auto"/>
              <w:rPr>
                <w:rFonts w:cs="Arial"/>
                <w:bCs/>
                <w:sz w:val="17"/>
                <w:szCs w:val="17"/>
                <w:lang w:val="fr-FR" w:eastAsia="zh-CN"/>
              </w:rPr>
            </w:pPr>
          </w:p>
        </w:tc>
        <w:tc>
          <w:tcPr>
            <w:tcW w:w="854" w:type="pct"/>
            <w:tcBorders>
              <w:top w:val="single" w:sz="4" w:space="0" w:color="auto"/>
              <w:left w:val="single" w:sz="4" w:space="0" w:color="auto"/>
              <w:bottom w:val="single" w:sz="4" w:space="0" w:color="auto"/>
              <w:right w:val="single" w:sz="4" w:space="0" w:color="auto"/>
            </w:tcBorders>
            <w:vAlign w:val="center"/>
          </w:tcPr>
          <w:p w14:paraId="31893AC7" w14:textId="77777777" w:rsidR="001C59B7" w:rsidRPr="004B3056" w:rsidRDefault="001C59B7" w:rsidP="001C59B7">
            <w:pPr>
              <w:spacing w:line="240" w:lineRule="auto"/>
              <w:rPr>
                <w:sz w:val="17"/>
                <w:szCs w:val="17"/>
              </w:rPr>
            </w:pPr>
          </w:p>
        </w:tc>
      </w:tr>
      <w:tr w:rsidR="001C59B7" w:rsidRPr="004B3056" w14:paraId="3251AF5F" w14:textId="77777777" w:rsidTr="00BA1953">
        <w:tc>
          <w:tcPr>
            <w:tcW w:w="771" w:type="pct"/>
            <w:tcBorders>
              <w:top w:val="single" w:sz="4" w:space="0" w:color="auto"/>
              <w:left w:val="single" w:sz="4" w:space="0" w:color="auto"/>
              <w:bottom w:val="single" w:sz="4" w:space="0" w:color="auto"/>
              <w:right w:val="single" w:sz="4" w:space="0" w:color="auto"/>
            </w:tcBorders>
            <w:vAlign w:val="center"/>
          </w:tcPr>
          <w:p w14:paraId="48ED388F" w14:textId="77777777" w:rsidR="001C59B7" w:rsidRPr="004B3056" w:rsidRDefault="001C59B7" w:rsidP="001C59B7">
            <w:pPr>
              <w:spacing w:line="240" w:lineRule="auto"/>
              <w:rPr>
                <w:rFonts w:cs="Arial"/>
                <w:bCs/>
                <w:caps/>
                <w:sz w:val="17"/>
                <w:szCs w:val="17"/>
                <w:lang w:val="fr-FR" w:eastAsia="zh-CN"/>
              </w:rPr>
            </w:pPr>
          </w:p>
        </w:tc>
        <w:tc>
          <w:tcPr>
            <w:tcW w:w="1904" w:type="pct"/>
            <w:tcBorders>
              <w:top w:val="single" w:sz="4" w:space="0" w:color="auto"/>
              <w:left w:val="single" w:sz="4" w:space="0" w:color="auto"/>
              <w:bottom w:val="single" w:sz="4" w:space="0" w:color="auto"/>
              <w:right w:val="single" w:sz="4" w:space="0" w:color="auto"/>
            </w:tcBorders>
            <w:vAlign w:val="center"/>
          </w:tcPr>
          <w:p w14:paraId="4F9FA2C9" w14:textId="77777777" w:rsidR="001C59B7" w:rsidRPr="004B3056" w:rsidRDefault="001C59B7" w:rsidP="001C59B7">
            <w:pPr>
              <w:spacing w:line="240" w:lineRule="auto"/>
              <w:rPr>
                <w:rFonts w:cs="Arial"/>
                <w:bCs/>
                <w:sz w:val="17"/>
                <w:szCs w:val="17"/>
                <w:lang w:val="fr-FR" w:eastAsia="zh-CN"/>
              </w:rPr>
            </w:pPr>
            <w:r w:rsidRPr="004B3056">
              <w:rPr>
                <w:rFonts w:cs="Arial"/>
                <w:bCs/>
                <w:sz w:val="17"/>
                <w:szCs w:val="17"/>
                <w:lang w:val="fr-FR" w:eastAsia="zh-CN"/>
              </w:rPr>
              <w:t>Programme Sahel en Afrique de l’Ouest en appui à l’initiative de la Grande muraille verte</w:t>
            </w:r>
          </w:p>
        </w:tc>
        <w:tc>
          <w:tcPr>
            <w:tcW w:w="838" w:type="pct"/>
            <w:tcBorders>
              <w:top w:val="single" w:sz="4" w:space="0" w:color="auto"/>
              <w:left w:val="single" w:sz="4" w:space="0" w:color="auto"/>
              <w:bottom w:val="single" w:sz="4" w:space="0" w:color="auto"/>
              <w:right w:val="single" w:sz="4" w:space="0" w:color="auto"/>
            </w:tcBorders>
            <w:vAlign w:val="center"/>
          </w:tcPr>
          <w:p w14:paraId="3A34D4E2" w14:textId="77777777" w:rsidR="001C59B7" w:rsidRPr="004B3056" w:rsidRDefault="001C59B7" w:rsidP="001C59B7">
            <w:pPr>
              <w:spacing w:line="240" w:lineRule="auto"/>
              <w:rPr>
                <w:rFonts w:cs="Arial"/>
                <w:bCs/>
                <w:caps/>
                <w:sz w:val="17"/>
                <w:szCs w:val="17"/>
                <w:lang w:val="fr-FR" w:eastAsia="zh-CN"/>
              </w:rPr>
            </w:pPr>
            <w:r w:rsidRPr="004B3056">
              <w:rPr>
                <w:rFonts w:cs="Arial"/>
                <w:bCs/>
                <w:sz w:val="17"/>
                <w:szCs w:val="17"/>
                <w:lang w:val="fr-FR" w:eastAsia="zh-CN"/>
              </w:rPr>
              <w:t>Part du projet multi-bailleur régional</w:t>
            </w:r>
          </w:p>
        </w:tc>
        <w:tc>
          <w:tcPr>
            <w:tcW w:w="633" w:type="pct"/>
            <w:tcBorders>
              <w:top w:val="single" w:sz="4" w:space="0" w:color="auto"/>
              <w:left w:val="single" w:sz="4" w:space="0" w:color="auto"/>
              <w:bottom w:val="single" w:sz="4" w:space="0" w:color="auto"/>
              <w:right w:val="single" w:sz="4" w:space="0" w:color="auto"/>
            </w:tcBorders>
            <w:vAlign w:val="center"/>
          </w:tcPr>
          <w:p w14:paraId="17D7B01B" w14:textId="77777777" w:rsidR="001C59B7" w:rsidRPr="004B3056" w:rsidRDefault="001C59B7" w:rsidP="001C59B7">
            <w:pPr>
              <w:spacing w:line="240" w:lineRule="auto"/>
              <w:rPr>
                <w:rFonts w:cs="Arial"/>
                <w:bCs/>
                <w:caps/>
                <w:sz w:val="17"/>
                <w:szCs w:val="17"/>
                <w:lang w:val="fr-FR" w:eastAsia="zh-CN"/>
              </w:rPr>
            </w:pPr>
          </w:p>
        </w:tc>
        <w:tc>
          <w:tcPr>
            <w:tcW w:w="854" w:type="pct"/>
            <w:tcBorders>
              <w:top w:val="single" w:sz="4" w:space="0" w:color="auto"/>
              <w:left w:val="single" w:sz="4" w:space="0" w:color="auto"/>
              <w:bottom w:val="single" w:sz="4" w:space="0" w:color="auto"/>
              <w:right w:val="single" w:sz="4" w:space="0" w:color="auto"/>
            </w:tcBorders>
            <w:vAlign w:val="center"/>
          </w:tcPr>
          <w:p w14:paraId="488BB2A8" w14:textId="77777777" w:rsidR="001C59B7" w:rsidRPr="004B3056" w:rsidRDefault="001C59B7" w:rsidP="001C59B7">
            <w:pPr>
              <w:spacing w:line="240" w:lineRule="auto"/>
              <w:rPr>
                <w:rFonts w:cs="Arial"/>
                <w:bCs/>
                <w:caps/>
                <w:sz w:val="17"/>
                <w:szCs w:val="17"/>
                <w:lang w:val="fr-FR" w:eastAsia="zh-CN"/>
              </w:rPr>
            </w:pPr>
            <w:r w:rsidRPr="004B3056">
              <w:rPr>
                <w:rFonts w:cs="Arial"/>
                <w:bCs/>
                <w:caps/>
                <w:sz w:val="17"/>
                <w:szCs w:val="17"/>
                <w:lang w:val="fr-FR" w:eastAsia="zh-CN"/>
              </w:rPr>
              <w:t>~300.000</w:t>
            </w:r>
          </w:p>
        </w:tc>
      </w:tr>
    </w:tbl>
    <w:p w14:paraId="02C1AF46" w14:textId="77777777" w:rsidR="001C59B7" w:rsidRPr="004B3056" w:rsidRDefault="001C59B7" w:rsidP="001C59B7">
      <w:pPr>
        <w:spacing w:after="0" w:line="240" w:lineRule="auto"/>
        <w:rPr>
          <w:rFonts w:eastAsia="SimSun" w:cs="Arial"/>
          <w:sz w:val="18"/>
          <w:szCs w:val="18"/>
          <w:lang w:val="fr-FR" w:eastAsia="zh-CN"/>
        </w:rPr>
      </w:pPr>
    </w:p>
    <w:p w14:paraId="5B6DC926" w14:textId="77777777" w:rsidR="001C59B7" w:rsidRPr="004B3056" w:rsidRDefault="001C59B7" w:rsidP="001C59B7">
      <w:pPr>
        <w:spacing w:after="0" w:line="240" w:lineRule="auto"/>
        <w:rPr>
          <w:rFonts w:eastAsia="SimSun" w:cs="Arial"/>
          <w:sz w:val="18"/>
          <w:szCs w:val="18"/>
          <w:lang w:val="fr-FR" w:eastAsia="zh-CN"/>
        </w:rPr>
      </w:pPr>
    </w:p>
    <w:bookmarkEnd w:id="133"/>
    <w:p w14:paraId="1DCAA3E8" w14:textId="77777777" w:rsidR="001C59B7" w:rsidRPr="004B3056" w:rsidRDefault="001C59B7" w:rsidP="004B3056">
      <w:pPr>
        <w:spacing w:after="0" w:line="240" w:lineRule="auto"/>
        <w:jc w:val="left"/>
        <w:rPr>
          <w:sz w:val="18"/>
          <w:szCs w:val="18"/>
          <w:lang w:val="fr-FR" w:eastAsia="zh-CN"/>
        </w:rPr>
      </w:pPr>
      <w:r w:rsidRPr="004B3056">
        <w:rPr>
          <w:sz w:val="18"/>
          <w:szCs w:val="18"/>
          <w:lang w:val="fr-FR" w:eastAsia="zh-CN"/>
        </w:rPr>
        <w:t>Projets multi bailleurs et autres</w:t>
      </w:r>
    </w:p>
    <w:tbl>
      <w:tblPr>
        <w:tblStyle w:val="Tabellenraster3"/>
        <w:tblW w:w="5000" w:type="pct"/>
        <w:tblLayout w:type="fixed"/>
        <w:tblLook w:val="01E0" w:firstRow="1" w:lastRow="1" w:firstColumn="1" w:lastColumn="1" w:noHBand="0" w:noVBand="0"/>
      </w:tblPr>
      <w:tblGrid>
        <w:gridCol w:w="1000"/>
        <w:gridCol w:w="2952"/>
        <w:gridCol w:w="2009"/>
        <w:gridCol w:w="1506"/>
        <w:gridCol w:w="1210"/>
        <w:gridCol w:w="1460"/>
      </w:tblGrid>
      <w:tr w:rsidR="001C59B7" w:rsidRPr="004B3056" w14:paraId="76D70CB7" w14:textId="77777777" w:rsidTr="00BA1953">
        <w:tc>
          <w:tcPr>
            <w:tcW w:w="493" w:type="pct"/>
            <w:shd w:val="clear" w:color="auto" w:fill="D9D9D9"/>
            <w:vAlign w:val="center"/>
          </w:tcPr>
          <w:p w14:paraId="01FEB162"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Projet Abr.</w:t>
            </w:r>
          </w:p>
        </w:tc>
        <w:tc>
          <w:tcPr>
            <w:tcW w:w="1456" w:type="pct"/>
            <w:shd w:val="clear" w:color="auto" w:fill="D9D9D9"/>
            <w:vAlign w:val="center"/>
          </w:tcPr>
          <w:p w14:paraId="22E7B5A0"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Projet</w:t>
            </w:r>
          </w:p>
        </w:tc>
        <w:tc>
          <w:tcPr>
            <w:tcW w:w="991" w:type="pct"/>
            <w:shd w:val="clear" w:color="auto" w:fill="D9D9D9"/>
            <w:vAlign w:val="center"/>
          </w:tcPr>
          <w:p w14:paraId="2E2F775F"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bailleurs de fonds</w:t>
            </w:r>
          </w:p>
        </w:tc>
        <w:tc>
          <w:tcPr>
            <w:tcW w:w="743" w:type="pct"/>
            <w:shd w:val="clear" w:color="auto" w:fill="D9D9D9"/>
            <w:vAlign w:val="center"/>
          </w:tcPr>
          <w:p w14:paraId="6E03437D"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Partenaire de mise en oeuvre</w:t>
            </w:r>
          </w:p>
        </w:tc>
        <w:tc>
          <w:tcPr>
            <w:tcW w:w="597" w:type="pct"/>
            <w:shd w:val="clear" w:color="auto" w:fill="D9D9D9"/>
            <w:vAlign w:val="center"/>
          </w:tcPr>
          <w:p w14:paraId="0E40F34C"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Durée</w:t>
            </w:r>
          </w:p>
        </w:tc>
        <w:tc>
          <w:tcPr>
            <w:tcW w:w="720" w:type="pct"/>
            <w:shd w:val="clear" w:color="auto" w:fill="D9D9D9"/>
            <w:vAlign w:val="center"/>
          </w:tcPr>
          <w:p w14:paraId="6CC258D6" w14:textId="77777777" w:rsidR="001C59B7" w:rsidRPr="004B3056" w:rsidRDefault="001C59B7" w:rsidP="001C59B7">
            <w:pPr>
              <w:spacing w:line="240" w:lineRule="auto"/>
              <w:jc w:val="center"/>
              <w:rPr>
                <w:rFonts w:cs="Arial"/>
                <w:caps/>
                <w:sz w:val="18"/>
                <w:szCs w:val="18"/>
                <w:lang w:val="fr-FR" w:eastAsia="zh-CN"/>
              </w:rPr>
            </w:pPr>
            <w:r w:rsidRPr="004B3056">
              <w:rPr>
                <w:rFonts w:cs="Arial"/>
                <w:caps/>
                <w:sz w:val="18"/>
                <w:szCs w:val="18"/>
                <w:lang w:val="fr-FR" w:eastAsia="zh-CN"/>
              </w:rPr>
              <w:t>Montant (€)</w:t>
            </w:r>
          </w:p>
        </w:tc>
      </w:tr>
      <w:tr w:rsidR="006C7870" w:rsidRPr="00865CCB" w14:paraId="49218EAF" w14:textId="77777777" w:rsidTr="00BA1953">
        <w:tc>
          <w:tcPr>
            <w:tcW w:w="493" w:type="pct"/>
            <w:vAlign w:val="center"/>
          </w:tcPr>
          <w:p w14:paraId="330FB5CD" w14:textId="77777777" w:rsidR="006C7870" w:rsidRPr="00865CCB" w:rsidRDefault="006C7870" w:rsidP="001C59B7">
            <w:pPr>
              <w:spacing w:line="240" w:lineRule="auto"/>
              <w:rPr>
                <w:rFonts w:cs="Arial"/>
                <w:sz w:val="17"/>
                <w:szCs w:val="17"/>
                <w:lang w:val="fr-FR" w:eastAsia="zh-CN"/>
              </w:rPr>
            </w:pPr>
            <w:r>
              <w:rPr>
                <w:rFonts w:cs="Arial"/>
                <w:sz w:val="17"/>
                <w:szCs w:val="17"/>
                <w:lang w:val="fr-FR" w:eastAsia="zh-CN"/>
              </w:rPr>
              <w:t>LoCAL</w:t>
            </w:r>
          </w:p>
        </w:tc>
        <w:tc>
          <w:tcPr>
            <w:tcW w:w="1456" w:type="pct"/>
            <w:vAlign w:val="center"/>
          </w:tcPr>
          <w:p w14:paraId="7CBE53E8" w14:textId="77777777" w:rsidR="006C7870" w:rsidRPr="00865CCB" w:rsidRDefault="006C7870" w:rsidP="006C7870">
            <w:pPr>
              <w:spacing w:after="0" w:line="240" w:lineRule="auto"/>
              <w:rPr>
                <w:rFonts w:cs="Arial"/>
                <w:sz w:val="17"/>
                <w:szCs w:val="17"/>
                <w:lang w:val="fr-FR" w:eastAsia="zh-CN"/>
              </w:rPr>
            </w:pPr>
            <w:r w:rsidRPr="006C7870">
              <w:rPr>
                <w:rFonts w:cs="Arial"/>
                <w:sz w:val="17"/>
                <w:szCs w:val="17"/>
                <w:lang w:val="fr-FR" w:eastAsia="zh-CN"/>
              </w:rPr>
              <w:t>Mécanisme de financement de l’adaptation au niveau local</w:t>
            </w:r>
          </w:p>
        </w:tc>
        <w:tc>
          <w:tcPr>
            <w:tcW w:w="991" w:type="pct"/>
            <w:vAlign w:val="center"/>
          </w:tcPr>
          <w:p w14:paraId="2CA5F4B4" w14:textId="77777777" w:rsidR="006C7870" w:rsidRPr="006C7870" w:rsidRDefault="006C7870" w:rsidP="001C59B7">
            <w:pPr>
              <w:spacing w:line="240" w:lineRule="auto"/>
              <w:rPr>
                <w:rFonts w:cs="Arial"/>
                <w:sz w:val="17"/>
                <w:szCs w:val="17"/>
                <w:lang w:val="fr-FR" w:eastAsia="zh-CN"/>
              </w:rPr>
            </w:pPr>
            <w:r>
              <w:rPr>
                <w:rFonts w:cs="Arial"/>
                <w:sz w:val="17"/>
                <w:szCs w:val="17"/>
                <w:lang w:val="fr-FR" w:eastAsia="zh-CN"/>
              </w:rPr>
              <w:t>UE, AMCC, SIDA, Italie, Belgique,…</w:t>
            </w:r>
          </w:p>
        </w:tc>
        <w:tc>
          <w:tcPr>
            <w:tcW w:w="743" w:type="pct"/>
            <w:vAlign w:val="center"/>
          </w:tcPr>
          <w:p w14:paraId="75A955F5" w14:textId="77777777" w:rsidR="006C7870" w:rsidRPr="006C7870" w:rsidRDefault="006C7870" w:rsidP="001C59B7">
            <w:pPr>
              <w:spacing w:line="240" w:lineRule="auto"/>
              <w:rPr>
                <w:rFonts w:cs="Arial"/>
                <w:sz w:val="17"/>
                <w:szCs w:val="17"/>
                <w:lang w:val="fr-FR" w:eastAsia="zh-CN"/>
              </w:rPr>
            </w:pPr>
            <w:r>
              <w:rPr>
                <w:rFonts w:cs="Arial"/>
                <w:sz w:val="17"/>
                <w:szCs w:val="17"/>
                <w:lang w:val="fr-FR" w:eastAsia="zh-CN"/>
              </w:rPr>
              <w:t>UNCDF</w:t>
            </w:r>
          </w:p>
        </w:tc>
        <w:tc>
          <w:tcPr>
            <w:tcW w:w="597" w:type="pct"/>
            <w:vAlign w:val="center"/>
          </w:tcPr>
          <w:p w14:paraId="7C539D86" w14:textId="77777777" w:rsidR="006C7870" w:rsidRDefault="006C7870" w:rsidP="006C7870">
            <w:pPr>
              <w:spacing w:line="240" w:lineRule="auto"/>
              <w:rPr>
                <w:rFonts w:cs="Arial"/>
                <w:sz w:val="17"/>
                <w:szCs w:val="17"/>
                <w:lang w:val="fr-FR" w:eastAsia="zh-CN"/>
              </w:rPr>
            </w:pPr>
            <w:r>
              <w:rPr>
                <w:rFonts w:cs="Arial"/>
                <w:sz w:val="17"/>
                <w:szCs w:val="17"/>
                <w:lang w:val="fr-FR" w:eastAsia="zh-CN"/>
              </w:rPr>
              <w:t>Phase 1: 14 -18</w:t>
            </w:r>
          </w:p>
          <w:p w14:paraId="2ECF11E5" w14:textId="77777777" w:rsidR="006C7870" w:rsidRPr="00865CCB" w:rsidRDefault="006C7870" w:rsidP="006C7870">
            <w:pPr>
              <w:spacing w:line="240" w:lineRule="auto"/>
              <w:rPr>
                <w:rFonts w:cs="Arial"/>
                <w:sz w:val="17"/>
                <w:szCs w:val="17"/>
                <w:lang w:val="fr-FR" w:eastAsia="zh-CN"/>
              </w:rPr>
            </w:pPr>
            <w:r>
              <w:rPr>
                <w:rFonts w:cs="Arial"/>
                <w:sz w:val="17"/>
                <w:szCs w:val="17"/>
                <w:lang w:val="fr-FR" w:eastAsia="zh-CN"/>
              </w:rPr>
              <w:t>Phase 2 en cours</w:t>
            </w:r>
          </w:p>
        </w:tc>
        <w:tc>
          <w:tcPr>
            <w:tcW w:w="720" w:type="pct"/>
            <w:vAlign w:val="center"/>
          </w:tcPr>
          <w:p w14:paraId="58EE4D8A" w14:textId="77777777" w:rsidR="006C7870" w:rsidRPr="00865CCB" w:rsidRDefault="006C7870" w:rsidP="001C59B7">
            <w:pPr>
              <w:spacing w:line="240" w:lineRule="auto"/>
              <w:rPr>
                <w:rFonts w:cs="Arial"/>
                <w:sz w:val="17"/>
                <w:szCs w:val="17"/>
                <w:lang w:val="fr-FR" w:eastAsia="zh-CN"/>
              </w:rPr>
            </w:pPr>
          </w:p>
        </w:tc>
      </w:tr>
      <w:tr w:rsidR="001C59B7" w:rsidRPr="00865CCB" w14:paraId="36314426" w14:textId="77777777" w:rsidTr="00BA1953">
        <w:tc>
          <w:tcPr>
            <w:tcW w:w="493" w:type="pct"/>
            <w:vAlign w:val="center"/>
          </w:tcPr>
          <w:p w14:paraId="276BAA77" w14:textId="77777777" w:rsidR="001C59B7" w:rsidRPr="00865CCB" w:rsidRDefault="001C59B7" w:rsidP="001C59B7">
            <w:pPr>
              <w:spacing w:line="240" w:lineRule="auto"/>
              <w:rPr>
                <w:rFonts w:cs="Arial"/>
                <w:sz w:val="17"/>
                <w:szCs w:val="17"/>
                <w:lang w:val="fr-FR" w:eastAsia="zh-CN"/>
              </w:rPr>
            </w:pPr>
            <w:r w:rsidRPr="00865CCB">
              <w:rPr>
                <w:rFonts w:cs="Arial"/>
                <w:sz w:val="17"/>
                <w:szCs w:val="17"/>
                <w:lang w:val="fr-FR" w:eastAsia="zh-CN"/>
              </w:rPr>
              <w:t>PPAAO/WAAPP</w:t>
            </w:r>
          </w:p>
        </w:tc>
        <w:tc>
          <w:tcPr>
            <w:tcW w:w="1456" w:type="pct"/>
            <w:vAlign w:val="center"/>
          </w:tcPr>
          <w:p w14:paraId="6877575E" w14:textId="77777777" w:rsidR="001C59B7" w:rsidRPr="00865CCB" w:rsidRDefault="001C59B7" w:rsidP="001C59B7">
            <w:pPr>
              <w:spacing w:line="240" w:lineRule="auto"/>
              <w:rPr>
                <w:rFonts w:cs="Arial"/>
                <w:sz w:val="17"/>
                <w:szCs w:val="17"/>
                <w:lang w:val="fr-FR" w:eastAsia="zh-CN"/>
              </w:rPr>
            </w:pPr>
            <w:r w:rsidRPr="00865CCB">
              <w:rPr>
                <w:rFonts w:cs="Arial"/>
                <w:sz w:val="17"/>
                <w:szCs w:val="17"/>
                <w:lang w:val="fr-FR" w:eastAsia="zh-CN"/>
              </w:rPr>
              <w:t>Programme de Productivité Agricole en Afrique de l’Ouest (phase 1 et 2)</w:t>
            </w:r>
          </w:p>
        </w:tc>
        <w:tc>
          <w:tcPr>
            <w:tcW w:w="991" w:type="pct"/>
            <w:vAlign w:val="center"/>
          </w:tcPr>
          <w:p w14:paraId="455F9D92" w14:textId="77777777" w:rsidR="001C59B7" w:rsidRPr="008862DD" w:rsidRDefault="001C59B7" w:rsidP="001C59B7">
            <w:pPr>
              <w:spacing w:line="240" w:lineRule="auto"/>
              <w:rPr>
                <w:rFonts w:cs="Arial"/>
                <w:sz w:val="17"/>
                <w:szCs w:val="17"/>
                <w:lang w:val="en-GB" w:eastAsia="zh-CN"/>
              </w:rPr>
            </w:pPr>
            <w:r w:rsidRPr="008862DD">
              <w:rPr>
                <w:rFonts w:cs="Arial"/>
                <w:sz w:val="17"/>
                <w:szCs w:val="17"/>
                <w:lang w:val="en-GB" w:eastAsia="zh-CN"/>
              </w:rPr>
              <w:t>BM/ DANIDA/FAO/AECID/JICA</w:t>
            </w:r>
          </w:p>
        </w:tc>
        <w:tc>
          <w:tcPr>
            <w:tcW w:w="743" w:type="pct"/>
            <w:vAlign w:val="center"/>
          </w:tcPr>
          <w:p w14:paraId="002CBD83" w14:textId="77777777" w:rsidR="001C59B7" w:rsidRPr="008862DD" w:rsidRDefault="001C59B7" w:rsidP="001C59B7">
            <w:pPr>
              <w:spacing w:line="240" w:lineRule="auto"/>
              <w:rPr>
                <w:rFonts w:cs="Arial"/>
                <w:sz w:val="17"/>
                <w:szCs w:val="17"/>
                <w:lang w:val="en-GB" w:eastAsia="zh-CN"/>
              </w:rPr>
            </w:pPr>
          </w:p>
        </w:tc>
        <w:tc>
          <w:tcPr>
            <w:tcW w:w="597" w:type="pct"/>
            <w:vAlign w:val="center"/>
          </w:tcPr>
          <w:p w14:paraId="4F6F0B67" w14:textId="77777777" w:rsidR="001C59B7" w:rsidRPr="00865CCB" w:rsidRDefault="001C59B7" w:rsidP="001C59B7">
            <w:pPr>
              <w:spacing w:line="240" w:lineRule="auto"/>
              <w:rPr>
                <w:rFonts w:cs="Arial"/>
                <w:sz w:val="17"/>
                <w:szCs w:val="17"/>
                <w:lang w:val="fr-FR" w:eastAsia="zh-CN"/>
              </w:rPr>
            </w:pPr>
            <w:r w:rsidRPr="00865CCB">
              <w:rPr>
                <w:rFonts w:cs="Arial"/>
                <w:sz w:val="17"/>
                <w:szCs w:val="17"/>
                <w:lang w:val="fr-FR" w:eastAsia="zh-CN"/>
              </w:rPr>
              <w:t>2008 – 2018</w:t>
            </w:r>
          </w:p>
        </w:tc>
        <w:tc>
          <w:tcPr>
            <w:tcW w:w="720" w:type="pct"/>
            <w:vAlign w:val="center"/>
          </w:tcPr>
          <w:p w14:paraId="72154CD4" w14:textId="77777777" w:rsidR="001C59B7" w:rsidRPr="00865CCB" w:rsidRDefault="00865CCB" w:rsidP="001C59B7">
            <w:pPr>
              <w:spacing w:line="240" w:lineRule="auto"/>
              <w:rPr>
                <w:rFonts w:cs="Arial"/>
                <w:sz w:val="17"/>
                <w:szCs w:val="17"/>
                <w:lang w:val="fr-FR" w:eastAsia="zh-CN"/>
              </w:rPr>
            </w:pPr>
            <w:r w:rsidRPr="00865CCB">
              <w:rPr>
                <w:rFonts w:cs="Arial"/>
                <w:sz w:val="17"/>
                <w:szCs w:val="17"/>
                <w:lang w:val="fr-FR" w:eastAsia="zh-CN"/>
              </w:rPr>
              <w:t>Régional</w:t>
            </w:r>
          </w:p>
        </w:tc>
      </w:tr>
      <w:tr w:rsidR="001C59B7" w:rsidRPr="00865CCB" w14:paraId="545018FD" w14:textId="77777777" w:rsidTr="00BA1953">
        <w:tc>
          <w:tcPr>
            <w:tcW w:w="493" w:type="pct"/>
            <w:vAlign w:val="center"/>
          </w:tcPr>
          <w:p w14:paraId="1B102546" w14:textId="77777777" w:rsidR="001C59B7" w:rsidRPr="00865CCB" w:rsidRDefault="001C59B7" w:rsidP="001C59B7">
            <w:pPr>
              <w:spacing w:line="240" w:lineRule="auto"/>
              <w:rPr>
                <w:rFonts w:cs="Arial"/>
                <w:sz w:val="17"/>
                <w:szCs w:val="17"/>
                <w:lang w:val="fr-FR" w:eastAsia="zh-CN"/>
              </w:rPr>
            </w:pPr>
            <w:r w:rsidRPr="00865CCB">
              <w:rPr>
                <w:rFonts w:cs="Arial"/>
                <w:sz w:val="17"/>
                <w:szCs w:val="17"/>
                <w:lang w:val="fr-FR" w:eastAsia="zh-CN"/>
              </w:rPr>
              <w:t>SREP</w:t>
            </w:r>
          </w:p>
        </w:tc>
        <w:tc>
          <w:tcPr>
            <w:tcW w:w="1456" w:type="pct"/>
            <w:vAlign w:val="center"/>
          </w:tcPr>
          <w:p w14:paraId="55729C23" w14:textId="77777777" w:rsidR="001C59B7" w:rsidRPr="00865CCB" w:rsidRDefault="001C59B7" w:rsidP="001C59B7">
            <w:pPr>
              <w:spacing w:line="240" w:lineRule="auto"/>
              <w:rPr>
                <w:rFonts w:cs="Arial"/>
                <w:sz w:val="17"/>
                <w:szCs w:val="17"/>
                <w:lang w:val="fr-FR" w:eastAsia="zh-CN"/>
              </w:rPr>
            </w:pPr>
            <w:r w:rsidRPr="00865CCB">
              <w:rPr>
                <w:rFonts w:cs="Arial"/>
                <w:sz w:val="17"/>
                <w:szCs w:val="17"/>
                <w:lang w:val="fr-FR" w:eastAsia="zh-CN"/>
              </w:rPr>
              <w:t>Programme de Valorisation à Grande Echelle des Energies Renouvelables</w:t>
            </w:r>
          </w:p>
        </w:tc>
        <w:tc>
          <w:tcPr>
            <w:tcW w:w="991" w:type="pct"/>
            <w:vAlign w:val="center"/>
          </w:tcPr>
          <w:p w14:paraId="28DCBCEA" w14:textId="77777777" w:rsidR="001C59B7" w:rsidRPr="00865CCB" w:rsidRDefault="001C59B7" w:rsidP="001C59B7">
            <w:pPr>
              <w:spacing w:line="240" w:lineRule="auto"/>
              <w:rPr>
                <w:rFonts w:cs="Arial"/>
                <w:sz w:val="17"/>
                <w:szCs w:val="17"/>
                <w:lang w:val="fr-FR" w:eastAsia="zh-CN"/>
              </w:rPr>
            </w:pPr>
            <w:r w:rsidRPr="00865CCB">
              <w:rPr>
                <w:rFonts w:cs="Arial"/>
                <w:sz w:val="17"/>
                <w:szCs w:val="17"/>
                <w:lang w:val="fr-FR" w:eastAsia="zh-CN"/>
              </w:rPr>
              <w:t>BAD, BM, IFC</w:t>
            </w:r>
          </w:p>
        </w:tc>
        <w:tc>
          <w:tcPr>
            <w:tcW w:w="743" w:type="pct"/>
            <w:vAlign w:val="center"/>
          </w:tcPr>
          <w:p w14:paraId="37481A73" w14:textId="77777777" w:rsidR="001C59B7" w:rsidRPr="00865CCB" w:rsidRDefault="001C59B7" w:rsidP="001C59B7">
            <w:pPr>
              <w:spacing w:line="240" w:lineRule="auto"/>
              <w:rPr>
                <w:rFonts w:cs="Arial"/>
                <w:sz w:val="17"/>
                <w:szCs w:val="17"/>
                <w:lang w:val="fr-FR" w:eastAsia="zh-CN"/>
              </w:rPr>
            </w:pPr>
            <w:r w:rsidRPr="00865CCB">
              <w:rPr>
                <w:rFonts w:cs="Arial"/>
                <w:sz w:val="17"/>
                <w:szCs w:val="17"/>
                <w:lang w:val="fr-FR" w:eastAsia="zh-CN"/>
              </w:rPr>
              <w:t>DNE, secteur privé</w:t>
            </w:r>
          </w:p>
        </w:tc>
        <w:tc>
          <w:tcPr>
            <w:tcW w:w="597" w:type="pct"/>
            <w:vAlign w:val="center"/>
          </w:tcPr>
          <w:p w14:paraId="642B8584" w14:textId="77777777" w:rsidR="001C59B7" w:rsidRPr="00865CCB" w:rsidRDefault="001C59B7" w:rsidP="001C59B7">
            <w:pPr>
              <w:spacing w:line="240" w:lineRule="auto"/>
              <w:rPr>
                <w:rFonts w:cs="Arial"/>
                <w:sz w:val="17"/>
                <w:szCs w:val="17"/>
                <w:lang w:val="fr-FR" w:eastAsia="zh-CN"/>
              </w:rPr>
            </w:pPr>
            <w:r w:rsidRPr="00865CCB">
              <w:rPr>
                <w:rFonts w:cs="Arial"/>
                <w:sz w:val="17"/>
                <w:szCs w:val="17"/>
                <w:lang w:val="fr-FR" w:eastAsia="zh-CN"/>
              </w:rPr>
              <w:t>2012-2017</w:t>
            </w:r>
          </w:p>
        </w:tc>
        <w:tc>
          <w:tcPr>
            <w:tcW w:w="720" w:type="pct"/>
            <w:vAlign w:val="center"/>
          </w:tcPr>
          <w:p w14:paraId="74AE0DB0" w14:textId="77777777" w:rsidR="001C59B7" w:rsidRPr="00865CCB" w:rsidRDefault="001C59B7" w:rsidP="001C59B7">
            <w:pPr>
              <w:spacing w:line="240" w:lineRule="auto"/>
              <w:rPr>
                <w:rFonts w:cs="Arial"/>
                <w:sz w:val="17"/>
                <w:szCs w:val="17"/>
                <w:lang w:val="fr-FR" w:eastAsia="zh-CN"/>
              </w:rPr>
            </w:pPr>
            <w:r w:rsidRPr="00865CCB">
              <w:rPr>
                <w:rFonts w:cs="Arial"/>
                <w:sz w:val="17"/>
                <w:szCs w:val="17"/>
                <w:lang w:val="fr-FR" w:eastAsia="zh-CN"/>
              </w:rPr>
              <w:t>~29.000.000</w:t>
            </w:r>
          </w:p>
        </w:tc>
      </w:tr>
      <w:tr w:rsidR="001C59B7" w:rsidRPr="004B3056" w14:paraId="3739BFAB" w14:textId="77777777" w:rsidTr="00BA1953">
        <w:tc>
          <w:tcPr>
            <w:tcW w:w="493" w:type="pct"/>
            <w:vAlign w:val="center"/>
          </w:tcPr>
          <w:p w14:paraId="1FDB8C16" w14:textId="77777777" w:rsidR="001C59B7" w:rsidRPr="004B3056" w:rsidRDefault="001C59B7" w:rsidP="001C59B7">
            <w:pPr>
              <w:spacing w:line="240" w:lineRule="auto"/>
              <w:rPr>
                <w:rFonts w:cs="Arial"/>
                <w:sz w:val="17"/>
                <w:szCs w:val="17"/>
                <w:lang w:val="fr-FR" w:eastAsia="zh-CN"/>
              </w:rPr>
            </w:pPr>
          </w:p>
        </w:tc>
        <w:tc>
          <w:tcPr>
            <w:tcW w:w="1456" w:type="pct"/>
            <w:vAlign w:val="center"/>
          </w:tcPr>
          <w:p w14:paraId="4499EA3B"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Programme Sahel en Afrique de l’Ouest en appui à l’initiative de la Grande muraille verte</w:t>
            </w:r>
          </w:p>
        </w:tc>
        <w:tc>
          <w:tcPr>
            <w:tcW w:w="991" w:type="pct"/>
            <w:vAlign w:val="center"/>
          </w:tcPr>
          <w:p w14:paraId="5FBBA2C9" w14:textId="77777777" w:rsidR="001C59B7" w:rsidRPr="00983A2A" w:rsidRDefault="001C59B7" w:rsidP="001C59B7">
            <w:pPr>
              <w:spacing w:line="240" w:lineRule="auto"/>
              <w:rPr>
                <w:rFonts w:cs="Arial"/>
                <w:sz w:val="17"/>
                <w:szCs w:val="17"/>
                <w:lang w:val="da-DK" w:eastAsia="zh-CN"/>
              </w:rPr>
            </w:pPr>
            <w:r w:rsidRPr="00983A2A">
              <w:rPr>
                <w:rFonts w:cs="Arial"/>
                <w:sz w:val="17"/>
                <w:szCs w:val="17"/>
                <w:lang w:val="da-DK" w:eastAsia="zh-CN"/>
              </w:rPr>
              <w:t>BM, FEM, FPMA et autre</w:t>
            </w:r>
          </w:p>
        </w:tc>
        <w:tc>
          <w:tcPr>
            <w:tcW w:w="743" w:type="pct"/>
            <w:vAlign w:val="center"/>
          </w:tcPr>
          <w:p w14:paraId="3C60F28E" w14:textId="77777777" w:rsidR="001C59B7" w:rsidRPr="00983A2A" w:rsidRDefault="001C59B7" w:rsidP="001C59B7">
            <w:pPr>
              <w:spacing w:line="240" w:lineRule="auto"/>
              <w:rPr>
                <w:rFonts w:cs="Arial"/>
                <w:sz w:val="17"/>
                <w:szCs w:val="17"/>
                <w:lang w:val="da-DK" w:eastAsia="zh-CN"/>
              </w:rPr>
            </w:pPr>
          </w:p>
        </w:tc>
        <w:tc>
          <w:tcPr>
            <w:tcW w:w="597" w:type="pct"/>
            <w:vAlign w:val="center"/>
          </w:tcPr>
          <w:p w14:paraId="6E45FCE3"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2014 - 2019</w:t>
            </w:r>
          </w:p>
        </w:tc>
        <w:tc>
          <w:tcPr>
            <w:tcW w:w="720" w:type="pct"/>
            <w:vAlign w:val="center"/>
          </w:tcPr>
          <w:p w14:paraId="0E037F5D"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21.425.926 US$ pour le Mali</w:t>
            </w:r>
          </w:p>
        </w:tc>
      </w:tr>
      <w:tr w:rsidR="001C59B7" w:rsidRPr="004B3056" w14:paraId="333F1690" w14:textId="77777777" w:rsidTr="00BA1953">
        <w:tc>
          <w:tcPr>
            <w:tcW w:w="493" w:type="pct"/>
            <w:vAlign w:val="center"/>
          </w:tcPr>
          <w:p w14:paraId="3D7AD565" w14:textId="77777777" w:rsidR="001C59B7" w:rsidRPr="004B3056" w:rsidRDefault="001C59B7" w:rsidP="001C59B7">
            <w:pPr>
              <w:spacing w:line="240" w:lineRule="auto"/>
              <w:rPr>
                <w:rFonts w:cs="Arial"/>
                <w:sz w:val="17"/>
                <w:szCs w:val="17"/>
                <w:lang w:val="fr-FR" w:eastAsia="zh-CN"/>
              </w:rPr>
            </w:pPr>
          </w:p>
        </w:tc>
        <w:tc>
          <w:tcPr>
            <w:tcW w:w="1456" w:type="pct"/>
            <w:vAlign w:val="center"/>
          </w:tcPr>
          <w:p w14:paraId="2C59481A"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Projet AEP Bko-Kabala</w:t>
            </w:r>
          </w:p>
        </w:tc>
        <w:tc>
          <w:tcPr>
            <w:tcW w:w="991" w:type="pct"/>
            <w:vAlign w:val="center"/>
          </w:tcPr>
          <w:p w14:paraId="782FE110" w14:textId="77777777" w:rsidR="001C59B7" w:rsidRPr="004B3056" w:rsidRDefault="001C59B7" w:rsidP="001C59B7">
            <w:pPr>
              <w:spacing w:line="240" w:lineRule="auto"/>
              <w:rPr>
                <w:rFonts w:cs="Arial"/>
                <w:sz w:val="17"/>
                <w:szCs w:val="17"/>
                <w:lang w:val="en-US" w:eastAsia="zh-CN"/>
              </w:rPr>
            </w:pPr>
            <w:r w:rsidRPr="004B3056">
              <w:rPr>
                <w:rFonts w:cs="Arial"/>
                <w:sz w:val="17"/>
                <w:szCs w:val="17"/>
                <w:lang w:val="en-US" w:eastAsia="zh-CN"/>
              </w:rPr>
              <w:t>UE AFD BEI BM BAD BID ISTISNA</w:t>
            </w:r>
          </w:p>
        </w:tc>
        <w:tc>
          <w:tcPr>
            <w:tcW w:w="743" w:type="pct"/>
            <w:vAlign w:val="center"/>
          </w:tcPr>
          <w:p w14:paraId="5FDA17EC" w14:textId="77777777" w:rsidR="001C59B7" w:rsidRPr="004B3056" w:rsidRDefault="001C59B7" w:rsidP="001C59B7">
            <w:pPr>
              <w:spacing w:line="240" w:lineRule="auto"/>
              <w:rPr>
                <w:rFonts w:cs="Arial"/>
                <w:sz w:val="17"/>
                <w:szCs w:val="17"/>
                <w:lang w:val="en-US" w:eastAsia="zh-CN"/>
              </w:rPr>
            </w:pPr>
            <w:r w:rsidRPr="004B3056">
              <w:rPr>
                <w:rFonts w:cs="Arial"/>
                <w:sz w:val="17"/>
                <w:szCs w:val="17"/>
                <w:lang w:val="en-US" w:eastAsia="zh-CN"/>
              </w:rPr>
              <w:t>SOMPEP</w:t>
            </w:r>
          </w:p>
        </w:tc>
        <w:tc>
          <w:tcPr>
            <w:tcW w:w="597" w:type="pct"/>
            <w:vAlign w:val="center"/>
          </w:tcPr>
          <w:p w14:paraId="4CD4B557"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2014-2017</w:t>
            </w:r>
          </w:p>
        </w:tc>
        <w:tc>
          <w:tcPr>
            <w:tcW w:w="720" w:type="pct"/>
            <w:vAlign w:val="center"/>
          </w:tcPr>
          <w:p w14:paraId="173DA712"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~27.000.000</w:t>
            </w:r>
          </w:p>
        </w:tc>
      </w:tr>
      <w:tr w:rsidR="001C59B7" w:rsidRPr="004B3056" w14:paraId="5CE4CB0B" w14:textId="77777777" w:rsidTr="00BA1953">
        <w:tc>
          <w:tcPr>
            <w:tcW w:w="493" w:type="pct"/>
            <w:vAlign w:val="center"/>
          </w:tcPr>
          <w:p w14:paraId="16514E8F" w14:textId="77777777" w:rsidR="001C59B7" w:rsidRPr="004B3056" w:rsidRDefault="001C59B7" w:rsidP="001C59B7">
            <w:pPr>
              <w:spacing w:line="240" w:lineRule="auto"/>
              <w:rPr>
                <w:rFonts w:cs="Arial"/>
                <w:sz w:val="17"/>
                <w:szCs w:val="17"/>
                <w:lang w:val="fr-FR" w:eastAsia="zh-CN"/>
              </w:rPr>
            </w:pPr>
          </w:p>
        </w:tc>
        <w:tc>
          <w:tcPr>
            <w:tcW w:w="1456" w:type="pct"/>
            <w:vAlign w:val="center"/>
          </w:tcPr>
          <w:p w14:paraId="483F78EC"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Promotion de la résilience des femmes face aux effets des changements climatiques et leur droit d’accès aux ressources de production</w:t>
            </w:r>
          </w:p>
        </w:tc>
        <w:tc>
          <w:tcPr>
            <w:tcW w:w="991" w:type="pct"/>
            <w:vAlign w:val="center"/>
          </w:tcPr>
          <w:p w14:paraId="460EDFAF"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DIAKONIA</w:t>
            </w:r>
          </w:p>
        </w:tc>
        <w:tc>
          <w:tcPr>
            <w:tcW w:w="743" w:type="pct"/>
            <w:vAlign w:val="center"/>
          </w:tcPr>
          <w:p w14:paraId="43A81045"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AMAPROS</w:t>
            </w:r>
          </w:p>
        </w:tc>
        <w:tc>
          <w:tcPr>
            <w:tcW w:w="597" w:type="pct"/>
            <w:vAlign w:val="center"/>
          </w:tcPr>
          <w:p w14:paraId="2184FCC9"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2016 - 2020</w:t>
            </w:r>
          </w:p>
        </w:tc>
        <w:tc>
          <w:tcPr>
            <w:tcW w:w="720" w:type="pct"/>
            <w:vAlign w:val="center"/>
          </w:tcPr>
          <w:p w14:paraId="05E27D12"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150.000.000 FCFA</w:t>
            </w:r>
          </w:p>
        </w:tc>
      </w:tr>
      <w:tr w:rsidR="001C59B7" w:rsidRPr="004B3056" w14:paraId="305897D0" w14:textId="77777777" w:rsidTr="00BA1953">
        <w:tc>
          <w:tcPr>
            <w:tcW w:w="493" w:type="pct"/>
            <w:vAlign w:val="center"/>
          </w:tcPr>
          <w:p w14:paraId="504E44FB" w14:textId="77777777" w:rsidR="001C59B7" w:rsidRPr="004B3056" w:rsidRDefault="001C59B7" w:rsidP="001C59B7">
            <w:pPr>
              <w:spacing w:line="240" w:lineRule="auto"/>
              <w:rPr>
                <w:rFonts w:cs="Arial"/>
                <w:sz w:val="17"/>
                <w:szCs w:val="17"/>
                <w:lang w:val="fr-FR" w:eastAsia="zh-CN"/>
              </w:rPr>
            </w:pPr>
          </w:p>
        </w:tc>
        <w:tc>
          <w:tcPr>
            <w:tcW w:w="1456" w:type="pct"/>
            <w:vAlign w:val="center"/>
          </w:tcPr>
          <w:p w14:paraId="65B91ECF" w14:textId="77777777" w:rsidR="001C59B7" w:rsidRPr="004B3056" w:rsidRDefault="001C59B7" w:rsidP="001C59B7">
            <w:pPr>
              <w:spacing w:line="240" w:lineRule="auto"/>
              <w:rPr>
                <w:rFonts w:cs="Arial"/>
                <w:sz w:val="17"/>
                <w:szCs w:val="17"/>
                <w:lang w:val="en-GB" w:eastAsia="zh-CN"/>
              </w:rPr>
            </w:pPr>
            <w:r w:rsidRPr="004B3056">
              <w:rPr>
                <w:rFonts w:cs="Arial"/>
                <w:sz w:val="17"/>
                <w:szCs w:val="17"/>
                <w:lang w:val="en-GB" w:eastAsia="zh-CN"/>
              </w:rPr>
              <w:t>Projet « WASA » ( Water Smart Agriculture )</w:t>
            </w:r>
          </w:p>
        </w:tc>
        <w:tc>
          <w:tcPr>
            <w:tcW w:w="991" w:type="pct"/>
            <w:vAlign w:val="center"/>
          </w:tcPr>
          <w:p w14:paraId="09DFCBEF" w14:textId="77777777" w:rsidR="001C59B7" w:rsidRPr="004B3056" w:rsidRDefault="001C59B7" w:rsidP="001C59B7">
            <w:pPr>
              <w:spacing w:line="240" w:lineRule="auto"/>
              <w:rPr>
                <w:rFonts w:cs="Arial"/>
                <w:sz w:val="17"/>
                <w:szCs w:val="17"/>
                <w:lang w:val="en-GB" w:eastAsia="zh-CN"/>
              </w:rPr>
            </w:pPr>
            <w:r w:rsidRPr="004B3056">
              <w:rPr>
                <w:rFonts w:cs="Arial"/>
                <w:sz w:val="17"/>
                <w:szCs w:val="17"/>
                <w:lang w:val="en-GB" w:eastAsia="zh-CN"/>
              </w:rPr>
              <w:t>CARE International</w:t>
            </w:r>
          </w:p>
        </w:tc>
        <w:tc>
          <w:tcPr>
            <w:tcW w:w="743" w:type="pct"/>
            <w:vAlign w:val="center"/>
          </w:tcPr>
          <w:p w14:paraId="699F5668" w14:textId="77777777" w:rsidR="001C59B7" w:rsidRPr="004B3056" w:rsidRDefault="001C59B7" w:rsidP="001C59B7">
            <w:pPr>
              <w:spacing w:line="240" w:lineRule="auto"/>
              <w:rPr>
                <w:rFonts w:cs="Arial"/>
                <w:sz w:val="17"/>
                <w:szCs w:val="17"/>
                <w:lang w:val="en-GB" w:eastAsia="zh-CN"/>
              </w:rPr>
            </w:pPr>
            <w:r w:rsidRPr="004B3056">
              <w:rPr>
                <w:rFonts w:cs="Arial"/>
                <w:sz w:val="17"/>
                <w:szCs w:val="17"/>
                <w:lang w:val="en-GB" w:eastAsia="zh-CN"/>
              </w:rPr>
              <w:t>AMAPROS</w:t>
            </w:r>
          </w:p>
        </w:tc>
        <w:tc>
          <w:tcPr>
            <w:tcW w:w="597" w:type="pct"/>
            <w:vAlign w:val="center"/>
          </w:tcPr>
          <w:p w14:paraId="20C2B1AB" w14:textId="77777777" w:rsidR="001C59B7" w:rsidRPr="004B3056" w:rsidRDefault="001C59B7" w:rsidP="001C59B7">
            <w:pPr>
              <w:spacing w:line="240" w:lineRule="auto"/>
              <w:rPr>
                <w:rFonts w:cs="Arial"/>
                <w:sz w:val="17"/>
                <w:szCs w:val="17"/>
                <w:lang w:val="en-GB" w:eastAsia="zh-CN"/>
              </w:rPr>
            </w:pPr>
            <w:r w:rsidRPr="004B3056">
              <w:rPr>
                <w:rFonts w:cs="Arial"/>
                <w:sz w:val="17"/>
                <w:szCs w:val="17"/>
                <w:lang w:val="en-GB" w:eastAsia="zh-CN"/>
              </w:rPr>
              <w:t>2016 - 2019</w:t>
            </w:r>
          </w:p>
        </w:tc>
        <w:tc>
          <w:tcPr>
            <w:tcW w:w="720" w:type="pct"/>
            <w:vAlign w:val="center"/>
          </w:tcPr>
          <w:p w14:paraId="6826B773" w14:textId="77777777" w:rsidR="001C59B7" w:rsidRPr="004B3056" w:rsidRDefault="001C59B7" w:rsidP="001C59B7">
            <w:pPr>
              <w:spacing w:line="240" w:lineRule="auto"/>
              <w:rPr>
                <w:rFonts w:cs="Arial"/>
                <w:sz w:val="17"/>
                <w:szCs w:val="17"/>
                <w:lang w:val="en-GB" w:eastAsia="zh-CN"/>
              </w:rPr>
            </w:pPr>
            <w:r w:rsidRPr="004B3056">
              <w:rPr>
                <w:rFonts w:cs="Arial"/>
                <w:sz w:val="17"/>
                <w:szCs w:val="17"/>
                <w:lang w:val="en-GB" w:eastAsia="zh-CN"/>
              </w:rPr>
              <w:t>25.000.000 FCFA</w:t>
            </w:r>
          </w:p>
        </w:tc>
      </w:tr>
      <w:tr w:rsidR="001C59B7" w:rsidRPr="004B3056" w14:paraId="68B5A4FC" w14:textId="77777777" w:rsidTr="00BA1953">
        <w:tc>
          <w:tcPr>
            <w:tcW w:w="493" w:type="pct"/>
            <w:vAlign w:val="center"/>
          </w:tcPr>
          <w:p w14:paraId="51C4C2A7" w14:textId="77777777" w:rsidR="001C59B7" w:rsidRPr="004B3056" w:rsidRDefault="001C59B7" w:rsidP="001C59B7">
            <w:pPr>
              <w:spacing w:line="240" w:lineRule="auto"/>
              <w:rPr>
                <w:rFonts w:cs="Arial"/>
                <w:sz w:val="17"/>
                <w:szCs w:val="17"/>
                <w:lang w:val="en-GB" w:eastAsia="zh-CN"/>
              </w:rPr>
            </w:pPr>
          </w:p>
        </w:tc>
        <w:tc>
          <w:tcPr>
            <w:tcW w:w="1456" w:type="pct"/>
            <w:vAlign w:val="center"/>
          </w:tcPr>
          <w:p w14:paraId="046C7470"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Programme Régional Aménagement Massif Fouta Djallon</w:t>
            </w:r>
          </w:p>
        </w:tc>
        <w:tc>
          <w:tcPr>
            <w:tcW w:w="991" w:type="pct"/>
            <w:vAlign w:val="center"/>
          </w:tcPr>
          <w:p w14:paraId="4FBB9227"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PNUE/FAO</w:t>
            </w:r>
          </w:p>
        </w:tc>
        <w:tc>
          <w:tcPr>
            <w:tcW w:w="743" w:type="pct"/>
            <w:vAlign w:val="center"/>
          </w:tcPr>
          <w:p w14:paraId="69E2B51D"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AEDD</w:t>
            </w:r>
          </w:p>
        </w:tc>
        <w:tc>
          <w:tcPr>
            <w:tcW w:w="597" w:type="pct"/>
            <w:vAlign w:val="center"/>
          </w:tcPr>
          <w:p w14:paraId="394AF64C"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2009-2018</w:t>
            </w:r>
          </w:p>
        </w:tc>
        <w:tc>
          <w:tcPr>
            <w:tcW w:w="720" w:type="pct"/>
            <w:vAlign w:val="center"/>
          </w:tcPr>
          <w:p w14:paraId="0BD79682"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~1.082.400</w:t>
            </w:r>
          </w:p>
        </w:tc>
      </w:tr>
      <w:tr w:rsidR="001C59B7" w:rsidRPr="004B3056" w14:paraId="7BD45117" w14:textId="77777777" w:rsidTr="00BA1953">
        <w:tc>
          <w:tcPr>
            <w:tcW w:w="493" w:type="pct"/>
            <w:vAlign w:val="center"/>
          </w:tcPr>
          <w:p w14:paraId="1B873463" w14:textId="77777777" w:rsidR="001C59B7" w:rsidRPr="004B3056" w:rsidRDefault="001C59B7" w:rsidP="001C59B7">
            <w:pPr>
              <w:spacing w:line="240" w:lineRule="auto"/>
              <w:rPr>
                <w:rFonts w:cs="Arial"/>
                <w:sz w:val="17"/>
                <w:szCs w:val="17"/>
                <w:lang w:val="fr-FR" w:eastAsia="zh-CN"/>
              </w:rPr>
            </w:pPr>
          </w:p>
        </w:tc>
        <w:tc>
          <w:tcPr>
            <w:tcW w:w="1456" w:type="pct"/>
            <w:vAlign w:val="center"/>
          </w:tcPr>
          <w:p w14:paraId="2CF16F77"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Projet Composante Mali du Programme de lutte contre l’ensablement dans le bassin du fleuve Niger</w:t>
            </w:r>
          </w:p>
        </w:tc>
        <w:tc>
          <w:tcPr>
            <w:tcW w:w="991" w:type="pct"/>
            <w:vAlign w:val="center"/>
          </w:tcPr>
          <w:p w14:paraId="454DF63B"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BAFA/UEMOA</w:t>
            </w:r>
          </w:p>
        </w:tc>
        <w:tc>
          <w:tcPr>
            <w:tcW w:w="743" w:type="pct"/>
            <w:vAlign w:val="center"/>
          </w:tcPr>
          <w:p w14:paraId="5AEC12A5"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ABFN</w:t>
            </w:r>
          </w:p>
        </w:tc>
        <w:tc>
          <w:tcPr>
            <w:tcW w:w="597" w:type="pct"/>
            <w:vAlign w:val="center"/>
          </w:tcPr>
          <w:p w14:paraId="2D941C49" w14:textId="77777777" w:rsidR="001C59B7" w:rsidRPr="004B3056" w:rsidRDefault="001C59B7" w:rsidP="001C59B7">
            <w:pPr>
              <w:spacing w:line="240" w:lineRule="auto"/>
              <w:rPr>
                <w:rFonts w:cs="Arial"/>
                <w:sz w:val="17"/>
                <w:szCs w:val="17"/>
                <w:lang w:val="fr-FR" w:eastAsia="zh-CN"/>
              </w:rPr>
            </w:pPr>
          </w:p>
        </w:tc>
        <w:tc>
          <w:tcPr>
            <w:tcW w:w="720" w:type="pct"/>
            <w:vAlign w:val="center"/>
          </w:tcPr>
          <w:p w14:paraId="260DD5EB" w14:textId="77777777" w:rsidR="001C59B7" w:rsidRPr="004B3056" w:rsidRDefault="001C59B7" w:rsidP="001C59B7">
            <w:pPr>
              <w:spacing w:line="240" w:lineRule="auto"/>
              <w:rPr>
                <w:rFonts w:cs="Arial"/>
                <w:sz w:val="17"/>
                <w:szCs w:val="17"/>
                <w:lang w:val="fr-FR" w:eastAsia="zh-CN"/>
              </w:rPr>
            </w:pPr>
          </w:p>
        </w:tc>
      </w:tr>
      <w:tr w:rsidR="001C59B7" w:rsidRPr="004B3056" w14:paraId="398BA5D3" w14:textId="77777777" w:rsidTr="00BA1953">
        <w:tc>
          <w:tcPr>
            <w:tcW w:w="493" w:type="pct"/>
            <w:vAlign w:val="center"/>
          </w:tcPr>
          <w:p w14:paraId="1B37CC74" w14:textId="77777777" w:rsidR="001C59B7" w:rsidRPr="004B3056" w:rsidRDefault="001C59B7" w:rsidP="001C59B7">
            <w:pPr>
              <w:spacing w:line="240" w:lineRule="auto"/>
              <w:rPr>
                <w:rFonts w:cs="Arial"/>
                <w:sz w:val="17"/>
                <w:szCs w:val="17"/>
                <w:lang w:val="fr-FR" w:eastAsia="zh-CN"/>
              </w:rPr>
            </w:pPr>
          </w:p>
        </w:tc>
        <w:tc>
          <w:tcPr>
            <w:tcW w:w="1456" w:type="pct"/>
            <w:vAlign w:val="center"/>
          </w:tcPr>
          <w:p w14:paraId="46AB4399"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Projet Multinational de Gestion Intégrée des Plantes Aquatiques Proliférantes en Afrique de l’Ouest</w:t>
            </w:r>
          </w:p>
        </w:tc>
        <w:tc>
          <w:tcPr>
            <w:tcW w:w="991" w:type="pct"/>
            <w:vAlign w:val="center"/>
          </w:tcPr>
          <w:p w14:paraId="334D2D08"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BAFA/UEMOA</w:t>
            </w:r>
          </w:p>
        </w:tc>
        <w:tc>
          <w:tcPr>
            <w:tcW w:w="743" w:type="pct"/>
            <w:vAlign w:val="center"/>
          </w:tcPr>
          <w:p w14:paraId="32C56DB0"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DNEF</w:t>
            </w:r>
          </w:p>
        </w:tc>
        <w:tc>
          <w:tcPr>
            <w:tcW w:w="597" w:type="pct"/>
            <w:vAlign w:val="center"/>
          </w:tcPr>
          <w:p w14:paraId="5B0DD459" w14:textId="77777777" w:rsidR="001C59B7" w:rsidRPr="004B3056" w:rsidRDefault="001C59B7" w:rsidP="001C59B7">
            <w:pPr>
              <w:spacing w:line="240" w:lineRule="auto"/>
              <w:rPr>
                <w:rFonts w:cs="Arial"/>
                <w:sz w:val="17"/>
                <w:szCs w:val="17"/>
                <w:lang w:val="fr-FR" w:eastAsia="zh-CN"/>
              </w:rPr>
            </w:pPr>
          </w:p>
        </w:tc>
        <w:tc>
          <w:tcPr>
            <w:tcW w:w="720" w:type="pct"/>
            <w:vAlign w:val="center"/>
          </w:tcPr>
          <w:p w14:paraId="3C984B40" w14:textId="77777777" w:rsidR="001C59B7" w:rsidRPr="004B3056" w:rsidRDefault="001C59B7" w:rsidP="001C59B7">
            <w:pPr>
              <w:spacing w:line="240" w:lineRule="auto"/>
              <w:rPr>
                <w:rFonts w:cs="Arial"/>
                <w:sz w:val="17"/>
                <w:szCs w:val="17"/>
                <w:lang w:val="fr-FR" w:eastAsia="zh-CN"/>
              </w:rPr>
            </w:pPr>
          </w:p>
        </w:tc>
      </w:tr>
      <w:tr w:rsidR="001C59B7" w:rsidRPr="004B3056" w14:paraId="402B3DC6" w14:textId="77777777" w:rsidTr="00BA1953">
        <w:tc>
          <w:tcPr>
            <w:tcW w:w="493" w:type="pct"/>
            <w:vAlign w:val="center"/>
          </w:tcPr>
          <w:p w14:paraId="3D6565BF" w14:textId="77777777" w:rsidR="001C59B7" w:rsidRPr="004B3056" w:rsidRDefault="001C59B7" w:rsidP="001C59B7">
            <w:pPr>
              <w:spacing w:line="240" w:lineRule="auto"/>
              <w:rPr>
                <w:rFonts w:cs="Arial"/>
                <w:sz w:val="17"/>
                <w:szCs w:val="17"/>
                <w:lang w:val="fr-FR" w:eastAsia="zh-CN"/>
              </w:rPr>
            </w:pPr>
          </w:p>
        </w:tc>
        <w:tc>
          <w:tcPr>
            <w:tcW w:w="1456" w:type="pct"/>
            <w:vAlign w:val="center"/>
          </w:tcPr>
          <w:p w14:paraId="75FD1EE9"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Projet sucrier de Markala (valorisation énergétique)</w:t>
            </w:r>
          </w:p>
        </w:tc>
        <w:tc>
          <w:tcPr>
            <w:tcW w:w="991" w:type="pct"/>
            <w:vAlign w:val="center"/>
          </w:tcPr>
          <w:p w14:paraId="0A97B846" w14:textId="77777777" w:rsidR="001C59B7" w:rsidRPr="00212E3E" w:rsidRDefault="001C59B7" w:rsidP="001C59B7">
            <w:pPr>
              <w:spacing w:line="240" w:lineRule="auto"/>
              <w:rPr>
                <w:rFonts w:cs="Arial"/>
                <w:sz w:val="17"/>
                <w:szCs w:val="17"/>
                <w:lang w:val="en-GB" w:eastAsia="zh-CN"/>
              </w:rPr>
            </w:pPr>
            <w:r w:rsidRPr="00212E3E">
              <w:rPr>
                <w:rFonts w:cs="Arial"/>
                <w:sz w:val="17"/>
                <w:szCs w:val="17"/>
                <w:lang w:val="en-GB" w:eastAsia="zh-CN"/>
              </w:rPr>
              <w:t>BAD, BID, KFAED, FSD, KEX, OFID, SFI, BOAD, BIDC, DGE</w:t>
            </w:r>
          </w:p>
        </w:tc>
        <w:tc>
          <w:tcPr>
            <w:tcW w:w="743" w:type="pct"/>
            <w:vAlign w:val="center"/>
          </w:tcPr>
          <w:p w14:paraId="798510FF"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DN Energie, secteur privé (PPP)</w:t>
            </w:r>
          </w:p>
        </w:tc>
        <w:tc>
          <w:tcPr>
            <w:tcW w:w="597" w:type="pct"/>
            <w:vAlign w:val="center"/>
          </w:tcPr>
          <w:p w14:paraId="00E9EFFD"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2011- en cours</w:t>
            </w:r>
          </w:p>
        </w:tc>
        <w:tc>
          <w:tcPr>
            <w:tcW w:w="720" w:type="pct"/>
            <w:vAlign w:val="center"/>
          </w:tcPr>
          <w:p w14:paraId="29A87F60"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~21.200.000</w:t>
            </w:r>
          </w:p>
        </w:tc>
      </w:tr>
      <w:tr w:rsidR="001C59B7" w:rsidRPr="004B3056" w14:paraId="34C14BDF" w14:textId="77777777" w:rsidTr="00BA1953">
        <w:tc>
          <w:tcPr>
            <w:tcW w:w="493" w:type="pct"/>
            <w:vAlign w:val="center"/>
          </w:tcPr>
          <w:p w14:paraId="55EDA73D"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Scatec Solar</w:t>
            </w:r>
          </w:p>
        </w:tc>
        <w:tc>
          <w:tcPr>
            <w:tcW w:w="1456" w:type="pct"/>
            <w:vAlign w:val="center"/>
          </w:tcPr>
          <w:p w14:paraId="1935AA47"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Projet de construction d’une centrale solaire de 10 MW à Mopti</w:t>
            </w:r>
          </w:p>
        </w:tc>
        <w:tc>
          <w:tcPr>
            <w:tcW w:w="991" w:type="pct"/>
            <w:vAlign w:val="center"/>
          </w:tcPr>
          <w:p w14:paraId="3AD21479"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IFC</w:t>
            </w:r>
          </w:p>
        </w:tc>
        <w:tc>
          <w:tcPr>
            <w:tcW w:w="743" w:type="pct"/>
            <w:vAlign w:val="center"/>
          </w:tcPr>
          <w:p w14:paraId="28684604" w14:textId="77777777" w:rsidR="001C59B7" w:rsidRPr="004B3056" w:rsidRDefault="001C59B7" w:rsidP="001C59B7">
            <w:pPr>
              <w:spacing w:line="240" w:lineRule="auto"/>
              <w:rPr>
                <w:rFonts w:cs="Arial"/>
                <w:sz w:val="17"/>
                <w:szCs w:val="17"/>
                <w:lang w:val="fr-FR" w:eastAsia="zh-CN"/>
              </w:rPr>
            </w:pPr>
          </w:p>
        </w:tc>
        <w:tc>
          <w:tcPr>
            <w:tcW w:w="597" w:type="pct"/>
            <w:vAlign w:val="center"/>
          </w:tcPr>
          <w:p w14:paraId="4352DC0C"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2011-2031</w:t>
            </w:r>
          </w:p>
          <w:p w14:paraId="5CD094F8"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encore en planification</w:t>
            </w:r>
          </w:p>
        </w:tc>
        <w:tc>
          <w:tcPr>
            <w:tcW w:w="720" w:type="pct"/>
            <w:vAlign w:val="center"/>
          </w:tcPr>
          <w:p w14:paraId="48EFDB6A"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~30.350.000</w:t>
            </w:r>
          </w:p>
        </w:tc>
      </w:tr>
      <w:tr w:rsidR="001C59B7" w:rsidRPr="004B3056" w14:paraId="5245DD72" w14:textId="77777777" w:rsidTr="00BA1953">
        <w:tc>
          <w:tcPr>
            <w:tcW w:w="493" w:type="pct"/>
            <w:vAlign w:val="center"/>
          </w:tcPr>
          <w:p w14:paraId="76888618" w14:textId="77777777" w:rsidR="001C59B7" w:rsidRPr="004B3056" w:rsidRDefault="001C59B7" w:rsidP="001C59B7">
            <w:pPr>
              <w:spacing w:line="240" w:lineRule="auto"/>
              <w:rPr>
                <w:rFonts w:cs="Arial"/>
                <w:sz w:val="17"/>
                <w:szCs w:val="17"/>
                <w:lang w:val="fr-FR" w:eastAsia="zh-CN"/>
              </w:rPr>
            </w:pPr>
          </w:p>
        </w:tc>
        <w:tc>
          <w:tcPr>
            <w:tcW w:w="1456" w:type="pct"/>
            <w:vAlign w:val="center"/>
          </w:tcPr>
          <w:p w14:paraId="6E8D4FFC"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Projet Adaptation changement climatique local</w:t>
            </w:r>
          </w:p>
        </w:tc>
        <w:tc>
          <w:tcPr>
            <w:tcW w:w="991" w:type="pct"/>
            <w:vAlign w:val="center"/>
          </w:tcPr>
          <w:p w14:paraId="3E426DC2"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FENU</w:t>
            </w:r>
          </w:p>
        </w:tc>
        <w:tc>
          <w:tcPr>
            <w:tcW w:w="743" w:type="pct"/>
            <w:vAlign w:val="center"/>
          </w:tcPr>
          <w:p w14:paraId="15798505"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AEDD</w:t>
            </w:r>
          </w:p>
        </w:tc>
        <w:tc>
          <w:tcPr>
            <w:tcW w:w="597" w:type="pct"/>
            <w:vAlign w:val="center"/>
          </w:tcPr>
          <w:p w14:paraId="71F0C69D"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2014-2018</w:t>
            </w:r>
          </w:p>
        </w:tc>
        <w:tc>
          <w:tcPr>
            <w:tcW w:w="720" w:type="pct"/>
            <w:vAlign w:val="center"/>
          </w:tcPr>
          <w:p w14:paraId="3D005EE9" w14:textId="77777777" w:rsidR="001C59B7" w:rsidRPr="004B3056" w:rsidRDefault="001C59B7" w:rsidP="001C59B7">
            <w:pPr>
              <w:spacing w:line="240" w:lineRule="auto"/>
              <w:rPr>
                <w:rFonts w:cs="Arial"/>
                <w:sz w:val="17"/>
                <w:szCs w:val="17"/>
                <w:lang w:val="fr-FR" w:eastAsia="zh-CN"/>
              </w:rPr>
            </w:pPr>
            <w:r w:rsidRPr="004B3056">
              <w:rPr>
                <w:rFonts w:cs="Arial"/>
                <w:sz w:val="17"/>
                <w:szCs w:val="17"/>
                <w:lang w:val="fr-FR" w:eastAsia="zh-CN"/>
              </w:rPr>
              <w:t>~610.000</w:t>
            </w:r>
          </w:p>
        </w:tc>
      </w:tr>
    </w:tbl>
    <w:p w14:paraId="5D4D3F38" w14:textId="77777777" w:rsidR="001C59B7" w:rsidRPr="004B3056" w:rsidRDefault="001C59B7" w:rsidP="001C59B7">
      <w:pPr>
        <w:spacing w:after="0" w:line="240" w:lineRule="auto"/>
        <w:rPr>
          <w:lang w:val="fr-FR" w:eastAsia="zh-CN"/>
        </w:rPr>
      </w:pPr>
    </w:p>
    <w:p w14:paraId="777F3B41" w14:textId="77777777" w:rsidR="001C59B7" w:rsidRPr="004B3056" w:rsidRDefault="001C59B7" w:rsidP="001C59B7">
      <w:pPr>
        <w:spacing w:after="0" w:line="240" w:lineRule="auto"/>
        <w:rPr>
          <w:lang w:val="fr-FR" w:eastAsia="zh-CN"/>
        </w:rPr>
      </w:pPr>
    </w:p>
    <w:p w14:paraId="67112CBD" w14:textId="77777777" w:rsidR="001C59B7" w:rsidRPr="001C59B7" w:rsidRDefault="001C59B7" w:rsidP="001C59B7">
      <w:pPr>
        <w:spacing w:after="0" w:line="240" w:lineRule="auto"/>
        <w:jc w:val="left"/>
        <w:rPr>
          <w:lang w:val="fr-FR" w:eastAsia="zh-CN"/>
        </w:rPr>
      </w:pPr>
      <w:r w:rsidRPr="001C59B7">
        <w:rPr>
          <w:lang w:val="fr-FR" w:eastAsia="zh-CN"/>
        </w:rPr>
        <w:t xml:space="preserve">Les projets régionaux et mondiaux financés par FEM (Fonds pour l’Environnement Mondial) </w:t>
      </w:r>
      <w:r w:rsidR="001C565E">
        <w:rPr>
          <w:lang w:val="fr-FR" w:eastAsia="zh-CN"/>
        </w:rPr>
        <w:t xml:space="preserve">non </w:t>
      </w:r>
      <w:r w:rsidRPr="001C59B7">
        <w:rPr>
          <w:lang w:val="fr-FR" w:eastAsia="zh-CN"/>
        </w:rPr>
        <w:t xml:space="preserve">cités sont accessibles sur le site : </w:t>
      </w:r>
      <w:hyperlink r:id="rId58" w:history="1">
        <w:r w:rsidRPr="001C59B7">
          <w:rPr>
            <w:color w:val="0000FF" w:themeColor="hyperlink"/>
            <w:u w:val="single"/>
            <w:lang w:val="fr-FR" w:eastAsia="zh-CN"/>
          </w:rPr>
          <w:t>www.thegef.org/projects</w:t>
        </w:r>
      </w:hyperlink>
    </w:p>
    <w:p w14:paraId="18EE3FE1" w14:textId="77777777" w:rsidR="00745554" w:rsidRPr="00745554" w:rsidRDefault="00745554" w:rsidP="00745554">
      <w:pPr>
        <w:spacing w:after="0" w:line="240" w:lineRule="auto"/>
        <w:rPr>
          <w:rFonts w:eastAsia="SimSun" w:cs="Arial"/>
          <w:szCs w:val="24"/>
          <w:lang w:val="fr-FR" w:eastAsia="zh-CN"/>
        </w:rPr>
      </w:pPr>
    </w:p>
    <w:p w14:paraId="07155FD3" w14:textId="77777777" w:rsidR="00E37CCD" w:rsidRDefault="00E37CCD" w:rsidP="00C31F8E">
      <w:pPr>
        <w:rPr>
          <w:rFonts w:cs="Arial"/>
          <w:sz w:val="20"/>
          <w:szCs w:val="20"/>
          <w:lang w:val="fr-FR"/>
        </w:rPr>
      </w:pPr>
    </w:p>
    <w:p w14:paraId="5A09E742" w14:textId="77777777" w:rsidR="00E37CCD" w:rsidRDefault="00E37CCD" w:rsidP="00C31F8E">
      <w:pPr>
        <w:rPr>
          <w:rFonts w:cs="Arial"/>
          <w:sz w:val="20"/>
          <w:szCs w:val="20"/>
          <w:lang w:val="fr-FR"/>
        </w:rPr>
        <w:sectPr w:rsidR="00E37CCD" w:rsidSect="001D5713">
          <w:pgSz w:w="11906" w:h="16838"/>
          <w:pgMar w:top="1191" w:right="964" w:bottom="1021" w:left="1021" w:header="709" w:footer="709" w:gutter="0"/>
          <w:cols w:space="708"/>
          <w:docGrid w:linePitch="360"/>
        </w:sectPr>
      </w:pPr>
    </w:p>
    <w:p w14:paraId="48F9C55D" w14:textId="77777777" w:rsidR="00804156" w:rsidRDefault="003B087C" w:rsidP="00525222">
      <w:pPr>
        <w:pStyle w:val="Titre3"/>
      </w:pPr>
      <w:bookmarkStart w:id="136" w:name="_Toc20505715"/>
      <w:bookmarkStart w:id="137" w:name="_Toc393900325"/>
      <w:r>
        <w:lastRenderedPageBreak/>
        <w:t>7</w:t>
      </w:r>
      <w:r w:rsidR="00804156">
        <w:t>.4.</w:t>
      </w:r>
      <w:r w:rsidR="004131DC">
        <w:t>13</w:t>
      </w:r>
      <w:r w:rsidR="00804156" w:rsidRPr="008138E1">
        <w:t> </w:t>
      </w:r>
      <w:r w:rsidR="00804156">
        <w:t>Mesures de poussières PM 10</w:t>
      </w:r>
      <w:r w:rsidR="00B56A4D">
        <w:t>, de COV</w:t>
      </w:r>
      <w:r w:rsidR="00804156">
        <w:t xml:space="preserve"> à Bamako (BURGEAP – IGIP, 2010</w:t>
      </w:r>
      <w:r w:rsidR="00B56A4D">
        <w:t>)</w:t>
      </w:r>
      <w:bookmarkEnd w:id="136"/>
      <w:r w:rsidR="00804156">
        <w:t xml:space="preserve"> </w:t>
      </w:r>
    </w:p>
    <w:p w14:paraId="31155A53" w14:textId="77777777" w:rsidR="00804156" w:rsidRDefault="00804156" w:rsidP="00804156">
      <w:pPr>
        <w:rPr>
          <w:lang w:val="fr-FR" w:eastAsia="fr-FR"/>
        </w:rPr>
      </w:pPr>
    </w:p>
    <w:p w14:paraId="1B36FE51" w14:textId="77777777" w:rsidR="00804156" w:rsidRDefault="00804156" w:rsidP="00804156">
      <w:pPr>
        <w:jc w:val="center"/>
        <w:rPr>
          <w:lang w:val="fr-FR" w:eastAsia="fr-FR"/>
        </w:rPr>
      </w:pPr>
      <w:r>
        <w:rPr>
          <w:noProof/>
          <w:lang w:val="fr-FR" w:eastAsia="fr-FR"/>
        </w:rPr>
        <w:drawing>
          <wp:inline distT="0" distB="0" distL="0" distR="0" wp14:anchorId="7018F544" wp14:editId="08862A31">
            <wp:extent cx="4590415" cy="2755900"/>
            <wp:effectExtent l="0" t="0" r="635" b="635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90415" cy="2755900"/>
                    </a:xfrm>
                    <a:prstGeom prst="rect">
                      <a:avLst/>
                    </a:prstGeom>
                    <a:noFill/>
                  </pic:spPr>
                </pic:pic>
              </a:graphicData>
            </a:graphic>
          </wp:inline>
        </w:drawing>
      </w:r>
    </w:p>
    <w:p w14:paraId="27C72CF0" w14:textId="77777777" w:rsidR="00804156" w:rsidRDefault="00804156" w:rsidP="00804156">
      <w:pPr>
        <w:rPr>
          <w:lang w:val="fr-FR" w:eastAsia="fr-FR"/>
        </w:rPr>
      </w:pPr>
    </w:p>
    <w:p w14:paraId="1F13BFEB" w14:textId="77777777" w:rsidR="00804156" w:rsidRDefault="00804156" w:rsidP="00804156">
      <w:pPr>
        <w:jc w:val="center"/>
        <w:rPr>
          <w:lang w:val="fr-FR" w:eastAsia="fr-FR"/>
        </w:rPr>
      </w:pPr>
      <w:r>
        <w:rPr>
          <w:noProof/>
          <w:lang w:val="fr-FR" w:eastAsia="fr-FR"/>
        </w:rPr>
        <w:drawing>
          <wp:inline distT="0" distB="0" distL="0" distR="0" wp14:anchorId="1E0D5047" wp14:editId="7FCD694A">
            <wp:extent cx="5767070" cy="2883535"/>
            <wp:effectExtent l="0" t="0" r="508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67070" cy="2883535"/>
                    </a:xfrm>
                    <a:prstGeom prst="rect">
                      <a:avLst/>
                    </a:prstGeom>
                    <a:noFill/>
                  </pic:spPr>
                </pic:pic>
              </a:graphicData>
            </a:graphic>
          </wp:inline>
        </w:drawing>
      </w:r>
    </w:p>
    <w:p w14:paraId="53B64DD9" w14:textId="77777777" w:rsidR="00804156" w:rsidRDefault="00804156" w:rsidP="00804156">
      <w:pPr>
        <w:rPr>
          <w:lang w:val="fr-FR" w:eastAsia="fr-FR"/>
        </w:rPr>
      </w:pPr>
    </w:p>
    <w:p w14:paraId="13D54F82" w14:textId="77777777" w:rsidR="00B56A4D" w:rsidRPr="003B087C" w:rsidRDefault="00B56A4D" w:rsidP="003B087C">
      <w:pPr>
        <w:jc w:val="center"/>
        <w:rPr>
          <w:i/>
          <w:lang w:val="fr-FR"/>
        </w:rPr>
      </w:pPr>
      <w:bookmarkStart w:id="138" w:name="_Toc177977807"/>
      <w:bookmarkStart w:id="139" w:name="_Toc253582270"/>
      <w:r w:rsidRPr="003B087C">
        <w:rPr>
          <w:i/>
          <w:lang w:val="fr-FR"/>
        </w:rPr>
        <w:t>Mesures de COV</w:t>
      </w:r>
      <w:bookmarkEnd w:id="138"/>
      <w:bookmarkEnd w:id="139"/>
      <w:r w:rsidRPr="003B087C">
        <w:rPr>
          <w:i/>
          <w:lang w:val="fr-FR"/>
        </w:rPr>
        <w:t xml:space="preserve"> à Bamako en 2009</w:t>
      </w:r>
    </w:p>
    <w:tbl>
      <w:tblPr>
        <w:tblW w:w="9280" w:type="dxa"/>
        <w:tblCellMar>
          <w:left w:w="0" w:type="dxa"/>
          <w:right w:w="0" w:type="dxa"/>
        </w:tblCellMar>
        <w:tblLook w:val="0000" w:firstRow="0" w:lastRow="0" w:firstColumn="0" w:lastColumn="0" w:noHBand="0" w:noVBand="0"/>
      </w:tblPr>
      <w:tblGrid>
        <w:gridCol w:w="1500"/>
        <w:gridCol w:w="1200"/>
        <w:gridCol w:w="1400"/>
        <w:gridCol w:w="1580"/>
        <w:gridCol w:w="1200"/>
        <w:gridCol w:w="1200"/>
        <w:gridCol w:w="1200"/>
      </w:tblGrid>
      <w:tr w:rsidR="00B56A4D" w14:paraId="586E2FA2" w14:textId="77777777" w:rsidTr="00955987">
        <w:trPr>
          <w:trHeight w:val="255"/>
        </w:trPr>
        <w:tc>
          <w:tcPr>
            <w:tcW w:w="1500" w:type="dxa"/>
            <w:tcBorders>
              <w:top w:val="single" w:sz="8" w:space="0" w:color="auto"/>
              <w:left w:val="single" w:sz="4" w:space="0" w:color="auto"/>
              <w:bottom w:val="nil"/>
              <w:right w:val="single" w:sz="4" w:space="0" w:color="auto"/>
            </w:tcBorders>
            <w:noWrap/>
            <w:vAlign w:val="bottom"/>
          </w:tcPr>
          <w:p w14:paraId="7957E140" w14:textId="77777777" w:rsidR="00B56A4D" w:rsidRDefault="00B56A4D" w:rsidP="00955987">
            <w:pPr>
              <w:pStyle w:val="BGP-Textecourant"/>
              <w:rPr>
                <w:rFonts w:ascii="Arial" w:eastAsia="Arial Unicode MS" w:hAnsi="Arial" w:cs="Arial"/>
                <w:lang w:val="fr-FR"/>
              </w:rPr>
            </w:pPr>
            <w:r>
              <w:rPr>
                <w:rFonts w:ascii="Arial" w:hAnsi="Arial" w:cs="Arial"/>
                <w:lang w:val="fr-FR"/>
              </w:rPr>
              <w:t>Début</w:t>
            </w:r>
          </w:p>
        </w:tc>
        <w:tc>
          <w:tcPr>
            <w:tcW w:w="1200" w:type="dxa"/>
            <w:tcBorders>
              <w:top w:val="single" w:sz="8" w:space="0" w:color="auto"/>
              <w:left w:val="nil"/>
              <w:bottom w:val="nil"/>
              <w:right w:val="nil"/>
            </w:tcBorders>
            <w:noWrap/>
            <w:vAlign w:val="bottom"/>
          </w:tcPr>
          <w:p w14:paraId="3B6948D7" w14:textId="77777777" w:rsidR="00B56A4D" w:rsidRDefault="00B56A4D" w:rsidP="00955987">
            <w:pPr>
              <w:pStyle w:val="BGP-Textecourant"/>
              <w:jc w:val="center"/>
              <w:rPr>
                <w:rFonts w:ascii="Arial" w:eastAsia="Arial Unicode MS" w:hAnsi="Arial" w:cs="Arial"/>
                <w:lang w:val="fr-FR"/>
              </w:rPr>
            </w:pPr>
            <w:r>
              <w:rPr>
                <w:rFonts w:ascii="Arial" w:hAnsi="Arial" w:cs="Arial"/>
                <w:lang w:val="fr-FR"/>
              </w:rPr>
              <w:t>Benzène</w:t>
            </w:r>
          </w:p>
        </w:tc>
        <w:tc>
          <w:tcPr>
            <w:tcW w:w="1400" w:type="dxa"/>
            <w:tcBorders>
              <w:top w:val="single" w:sz="8" w:space="0" w:color="auto"/>
              <w:left w:val="nil"/>
              <w:bottom w:val="nil"/>
              <w:right w:val="nil"/>
            </w:tcBorders>
            <w:noWrap/>
            <w:vAlign w:val="bottom"/>
          </w:tcPr>
          <w:p w14:paraId="511C2BDB" w14:textId="77777777" w:rsidR="00B56A4D" w:rsidRDefault="00B56A4D" w:rsidP="00955987">
            <w:pPr>
              <w:pStyle w:val="BGP-Textecourant"/>
              <w:jc w:val="center"/>
              <w:rPr>
                <w:rFonts w:ascii="Arial" w:eastAsia="Arial Unicode MS" w:hAnsi="Arial" w:cs="Arial"/>
                <w:lang w:val="fr-FR"/>
              </w:rPr>
            </w:pPr>
            <w:r>
              <w:rPr>
                <w:rFonts w:ascii="Arial" w:hAnsi="Arial" w:cs="Arial"/>
                <w:lang w:val="fr-FR"/>
              </w:rPr>
              <w:t>Toluène</w:t>
            </w:r>
          </w:p>
        </w:tc>
        <w:tc>
          <w:tcPr>
            <w:tcW w:w="1580" w:type="dxa"/>
            <w:tcBorders>
              <w:top w:val="single" w:sz="8" w:space="0" w:color="auto"/>
              <w:left w:val="nil"/>
              <w:bottom w:val="nil"/>
              <w:right w:val="nil"/>
            </w:tcBorders>
            <w:noWrap/>
            <w:vAlign w:val="bottom"/>
          </w:tcPr>
          <w:p w14:paraId="40CB62E6" w14:textId="77777777" w:rsidR="00B56A4D" w:rsidRDefault="00B56A4D" w:rsidP="00955987">
            <w:pPr>
              <w:pStyle w:val="BGP-Textecourant"/>
              <w:jc w:val="center"/>
              <w:rPr>
                <w:rFonts w:ascii="Arial" w:eastAsia="Arial Unicode MS" w:hAnsi="Arial" w:cs="Arial"/>
                <w:lang w:val="fr-FR"/>
              </w:rPr>
            </w:pPr>
            <w:r>
              <w:rPr>
                <w:rFonts w:ascii="Arial" w:hAnsi="Arial" w:cs="Arial"/>
                <w:lang w:val="fr-FR"/>
              </w:rPr>
              <w:t xml:space="preserve">Ethylbenzène </w:t>
            </w:r>
          </w:p>
        </w:tc>
        <w:tc>
          <w:tcPr>
            <w:tcW w:w="1200" w:type="dxa"/>
            <w:tcBorders>
              <w:top w:val="single" w:sz="8" w:space="0" w:color="auto"/>
              <w:left w:val="nil"/>
              <w:bottom w:val="nil"/>
              <w:right w:val="nil"/>
            </w:tcBorders>
            <w:noWrap/>
            <w:vAlign w:val="bottom"/>
          </w:tcPr>
          <w:p w14:paraId="559DF270" w14:textId="77777777" w:rsidR="00B56A4D" w:rsidRDefault="00B56A4D" w:rsidP="00955987">
            <w:pPr>
              <w:pStyle w:val="BGP-Textecourant"/>
              <w:jc w:val="center"/>
              <w:rPr>
                <w:rFonts w:ascii="Arial" w:eastAsia="Arial Unicode MS" w:hAnsi="Arial" w:cs="Arial"/>
                <w:lang w:val="fr-FR"/>
              </w:rPr>
            </w:pPr>
            <w:r>
              <w:rPr>
                <w:rFonts w:ascii="Arial" w:hAnsi="Arial" w:cs="Arial"/>
                <w:lang w:val="fr-FR"/>
              </w:rPr>
              <w:t>p-Xylène</w:t>
            </w:r>
          </w:p>
        </w:tc>
        <w:tc>
          <w:tcPr>
            <w:tcW w:w="1200" w:type="dxa"/>
            <w:tcBorders>
              <w:top w:val="single" w:sz="8" w:space="0" w:color="auto"/>
              <w:left w:val="nil"/>
              <w:bottom w:val="nil"/>
              <w:right w:val="nil"/>
            </w:tcBorders>
            <w:noWrap/>
            <w:vAlign w:val="bottom"/>
          </w:tcPr>
          <w:p w14:paraId="276A8735" w14:textId="77777777" w:rsidR="00B56A4D" w:rsidRDefault="00B56A4D" w:rsidP="00955987">
            <w:pPr>
              <w:pStyle w:val="BGP-Textecourant"/>
              <w:jc w:val="center"/>
              <w:rPr>
                <w:rFonts w:ascii="Arial" w:eastAsia="Arial Unicode MS" w:hAnsi="Arial" w:cs="Arial"/>
                <w:lang w:val="fr-FR"/>
              </w:rPr>
            </w:pPr>
            <w:r>
              <w:rPr>
                <w:rFonts w:ascii="Arial" w:hAnsi="Arial" w:cs="Arial"/>
                <w:lang w:val="fr-FR"/>
              </w:rPr>
              <w:t>m-Xylène</w:t>
            </w:r>
          </w:p>
        </w:tc>
        <w:tc>
          <w:tcPr>
            <w:tcW w:w="1200" w:type="dxa"/>
            <w:tcBorders>
              <w:top w:val="single" w:sz="8" w:space="0" w:color="auto"/>
              <w:left w:val="nil"/>
              <w:bottom w:val="nil"/>
              <w:right w:val="single" w:sz="8" w:space="0" w:color="auto"/>
            </w:tcBorders>
            <w:noWrap/>
            <w:vAlign w:val="bottom"/>
          </w:tcPr>
          <w:p w14:paraId="3CD1D1E6" w14:textId="77777777" w:rsidR="00B56A4D" w:rsidRDefault="00B56A4D" w:rsidP="00955987">
            <w:pPr>
              <w:pStyle w:val="BGP-Textecourant"/>
              <w:jc w:val="center"/>
              <w:rPr>
                <w:rFonts w:ascii="Arial" w:eastAsia="Arial Unicode MS" w:hAnsi="Arial" w:cs="Arial"/>
                <w:lang w:val="fr-FR"/>
              </w:rPr>
            </w:pPr>
            <w:r>
              <w:rPr>
                <w:rFonts w:ascii="Arial" w:hAnsi="Arial" w:cs="Arial"/>
                <w:lang w:val="fr-FR"/>
              </w:rPr>
              <w:t>o-Xylène</w:t>
            </w:r>
          </w:p>
        </w:tc>
      </w:tr>
      <w:tr w:rsidR="00B56A4D" w14:paraId="3CA563C6" w14:textId="77777777" w:rsidTr="00955987">
        <w:trPr>
          <w:trHeight w:val="270"/>
        </w:trPr>
        <w:tc>
          <w:tcPr>
            <w:tcW w:w="0" w:type="auto"/>
            <w:tcBorders>
              <w:top w:val="nil"/>
              <w:left w:val="single" w:sz="4" w:space="0" w:color="auto"/>
              <w:bottom w:val="single" w:sz="8" w:space="0" w:color="auto"/>
              <w:right w:val="single" w:sz="4" w:space="0" w:color="auto"/>
            </w:tcBorders>
            <w:noWrap/>
            <w:vAlign w:val="bottom"/>
          </w:tcPr>
          <w:p w14:paraId="162633D8" w14:textId="77777777" w:rsidR="00B56A4D" w:rsidRDefault="00B56A4D" w:rsidP="00955987">
            <w:pPr>
              <w:pStyle w:val="BGP-Textecourant"/>
              <w:rPr>
                <w:rFonts w:ascii="Arial" w:eastAsia="Arial Unicode MS" w:hAnsi="Arial" w:cs="Arial"/>
                <w:lang w:val="fr-FR"/>
              </w:rPr>
            </w:pPr>
            <w:r>
              <w:rPr>
                <w:rFonts w:ascii="Arial" w:hAnsi="Arial" w:cs="Arial"/>
                <w:lang w:val="fr-FR"/>
              </w:rPr>
              <w:t>Date/heure</w:t>
            </w:r>
          </w:p>
        </w:tc>
        <w:tc>
          <w:tcPr>
            <w:tcW w:w="0" w:type="auto"/>
            <w:tcBorders>
              <w:top w:val="nil"/>
              <w:left w:val="nil"/>
              <w:bottom w:val="single" w:sz="8" w:space="0" w:color="auto"/>
              <w:right w:val="nil"/>
            </w:tcBorders>
            <w:noWrap/>
            <w:vAlign w:val="bottom"/>
          </w:tcPr>
          <w:p w14:paraId="529F9EB7" w14:textId="77777777" w:rsidR="00B56A4D" w:rsidRDefault="00B56A4D" w:rsidP="00955987">
            <w:pPr>
              <w:pStyle w:val="BGP-Textecourant"/>
              <w:jc w:val="center"/>
              <w:rPr>
                <w:rFonts w:ascii="Arial" w:eastAsia="Arial Unicode MS" w:hAnsi="Arial" w:cs="Arial"/>
                <w:lang w:val="fr-FR"/>
              </w:rPr>
            </w:pPr>
            <w:r>
              <w:rPr>
                <w:rFonts w:ascii="Arial" w:hAnsi="Arial" w:cs="Arial"/>
                <w:lang w:val="fr-FR"/>
              </w:rPr>
              <w:t>[µg/m</w:t>
            </w:r>
            <w:r w:rsidRPr="00CD25AB">
              <w:rPr>
                <w:rFonts w:ascii="Arial" w:hAnsi="Arial" w:cs="Arial"/>
                <w:vertAlign w:val="superscript"/>
                <w:lang w:val="fr-FR"/>
              </w:rPr>
              <w:t>3</w:t>
            </w:r>
            <w:r>
              <w:rPr>
                <w:rFonts w:ascii="Arial" w:hAnsi="Arial" w:cs="Arial"/>
                <w:lang w:val="fr-FR"/>
              </w:rPr>
              <w:t>]</w:t>
            </w:r>
          </w:p>
        </w:tc>
        <w:tc>
          <w:tcPr>
            <w:tcW w:w="0" w:type="auto"/>
            <w:tcBorders>
              <w:top w:val="nil"/>
              <w:left w:val="nil"/>
              <w:bottom w:val="single" w:sz="8" w:space="0" w:color="auto"/>
              <w:right w:val="nil"/>
            </w:tcBorders>
            <w:noWrap/>
            <w:vAlign w:val="bottom"/>
          </w:tcPr>
          <w:p w14:paraId="5098A3A1" w14:textId="77777777" w:rsidR="00B56A4D" w:rsidRDefault="00B56A4D" w:rsidP="00955987">
            <w:pPr>
              <w:pStyle w:val="BGP-Textecourant"/>
              <w:jc w:val="center"/>
              <w:rPr>
                <w:rFonts w:ascii="Arial" w:eastAsia="Arial Unicode MS" w:hAnsi="Arial" w:cs="Arial"/>
                <w:lang w:val="fr-FR"/>
              </w:rPr>
            </w:pPr>
            <w:r>
              <w:rPr>
                <w:rFonts w:ascii="Arial" w:hAnsi="Arial" w:cs="Arial"/>
                <w:lang w:val="fr-FR"/>
              </w:rPr>
              <w:t>[µg/m</w:t>
            </w:r>
            <w:r w:rsidRPr="00CD25AB">
              <w:rPr>
                <w:rFonts w:ascii="Arial" w:hAnsi="Arial" w:cs="Arial"/>
                <w:vertAlign w:val="superscript"/>
                <w:lang w:val="fr-FR"/>
              </w:rPr>
              <w:t>3</w:t>
            </w:r>
            <w:r>
              <w:rPr>
                <w:rFonts w:ascii="Arial" w:hAnsi="Arial" w:cs="Arial"/>
                <w:lang w:val="fr-FR"/>
              </w:rPr>
              <w:t>]</w:t>
            </w:r>
          </w:p>
        </w:tc>
        <w:tc>
          <w:tcPr>
            <w:tcW w:w="0" w:type="auto"/>
            <w:tcBorders>
              <w:top w:val="nil"/>
              <w:left w:val="nil"/>
              <w:bottom w:val="single" w:sz="8" w:space="0" w:color="auto"/>
              <w:right w:val="nil"/>
            </w:tcBorders>
            <w:noWrap/>
            <w:vAlign w:val="bottom"/>
          </w:tcPr>
          <w:p w14:paraId="0ACA2677" w14:textId="77777777" w:rsidR="00B56A4D" w:rsidRDefault="00B56A4D" w:rsidP="00955987">
            <w:pPr>
              <w:pStyle w:val="BGP-Textecourant"/>
              <w:jc w:val="center"/>
              <w:rPr>
                <w:rFonts w:ascii="Arial" w:eastAsia="Arial Unicode MS" w:hAnsi="Arial" w:cs="Arial"/>
                <w:lang w:val="fr-FR"/>
              </w:rPr>
            </w:pPr>
            <w:r>
              <w:rPr>
                <w:rFonts w:ascii="Arial" w:hAnsi="Arial" w:cs="Arial"/>
                <w:lang w:val="fr-FR"/>
              </w:rPr>
              <w:t>[µg/m</w:t>
            </w:r>
            <w:r w:rsidRPr="00CD25AB">
              <w:rPr>
                <w:rFonts w:ascii="Arial" w:hAnsi="Arial" w:cs="Arial"/>
                <w:vertAlign w:val="superscript"/>
                <w:lang w:val="fr-FR"/>
              </w:rPr>
              <w:t>3</w:t>
            </w:r>
            <w:r>
              <w:rPr>
                <w:rFonts w:ascii="Arial" w:hAnsi="Arial" w:cs="Arial"/>
                <w:lang w:val="fr-FR"/>
              </w:rPr>
              <w:t>]</w:t>
            </w:r>
          </w:p>
        </w:tc>
        <w:tc>
          <w:tcPr>
            <w:tcW w:w="0" w:type="auto"/>
            <w:tcBorders>
              <w:top w:val="nil"/>
              <w:left w:val="nil"/>
              <w:bottom w:val="single" w:sz="8" w:space="0" w:color="auto"/>
              <w:right w:val="nil"/>
            </w:tcBorders>
            <w:noWrap/>
            <w:vAlign w:val="bottom"/>
          </w:tcPr>
          <w:p w14:paraId="083267F2" w14:textId="77777777" w:rsidR="00B56A4D" w:rsidRDefault="00B56A4D" w:rsidP="00955987">
            <w:pPr>
              <w:pStyle w:val="BGP-Textecourant"/>
              <w:jc w:val="center"/>
              <w:rPr>
                <w:rFonts w:ascii="Arial" w:eastAsia="Arial Unicode MS" w:hAnsi="Arial" w:cs="Arial"/>
                <w:lang w:val="fr-FR"/>
              </w:rPr>
            </w:pPr>
            <w:r>
              <w:rPr>
                <w:rFonts w:ascii="Arial" w:hAnsi="Arial" w:cs="Arial"/>
                <w:lang w:val="fr-FR"/>
              </w:rPr>
              <w:t>[µg/m</w:t>
            </w:r>
            <w:r w:rsidRPr="00CD25AB">
              <w:rPr>
                <w:rFonts w:ascii="Arial" w:hAnsi="Arial" w:cs="Arial"/>
                <w:vertAlign w:val="superscript"/>
                <w:lang w:val="fr-FR"/>
              </w:rPr>
              <w:t>3</w:t>
            </w:r>
            <w:r>
              <w:rPr>
                <w:rFonts w:ascii="Arial" w:hAnsi="Arial" w:cs="Arial"/>
                <w:lang w:val="fr-FR"/>
              </w:rPr>
              <w:t>]</w:t>
            </w:r>
          </w:p>
        </w:tc>
        <w:tc>
          <w:tcPr>
            <w:tcW w:w="0" w:type="auto"/>
            <w:tcBorders>
              <w:top w:val="nil"/>
              <w:left w:val="nil"/>
              <w:bottom w:val="single" w:sz="8" w:space="0" w:color="auto"/>
              <w:right w:val="nil"/>
            </w:tcBorders>
            <w:noWrap/>
            <w:vAlign w:val="bottom"/>
          </w:tcPr>
          <w:p w14:paraId="10CA51AF" w14:textId="77777777" w:rsidR="00B56A4D" w:rsidRDefault="00B56A4D" w:rsidP="00955987">
            <w:pPr>
              <w:pStyle w:val="BGP-Textecourant"/>
              <w:jc w:val="center"/>
              <w:rPr>
                <w:rFonts w:ascii="Arial" w:eastAsia="Arial Unicode MS" w:hAnsi="Arial" w:cs="Arial"/>
                <w:lang w:val="fr-FR"/>
              </w:rPr>
            </w:pPr>
            <w:r>
              <w:rPr>
                <w:rFonts w:ascii="Arial" w:hAnsi="Arial" w:cs="Arial"/>
                <w:lang w:val="fr-FR"/>
              </w:rPr>
              <w:t>[µg/m</w:t>
            </w:r>
            <w:r w:rsidRPr="00CD25AB">
              <w:rPr>
                <w:rFonts w:ascii="Arial" w:hAnsi="Arial" w:cs="Arial"/>
                <w:vertAlign w:val="superscript"/>
                <w:lang w:val="fr-FR"/>
              </w:rPr>
              <w:t>3</w:t>
            </w:r>
            <w:r>
              <w:rPr>
                <w:rFonts w:ascii="Arial" w:hAnsi="Arial" w:cs="Arial"/>
                <w:lang w:val="fr-FR"/>
              </w:rPr>
              <w:t>]</w:t>
            </w:r>
          </w:p>
        </w:tc>
        <w:tc>
          <w:tcPr>
            <w:tcW w:w="0" w:type="auto"/>
            <w:tcBorders>
              <w:top w:val="nil"/>
              <w:left w:val="nil"/>
              <w:bottom w:val="single" w:sz="8" w:space="0" w:color="auto"/>
              <w:right w:val="single" w:sz="8" w:space="0" w:color="auto"/>
            </w:tcBorders>
            <w:noWrap/>
            <w:vAlign w:val="bottom"/>
          </w:tcPr>
          <w:p w14:paraId="3CAC64D7" w14:textId="77777777" w:rsidR="00B56A4D" w:rsidRDefault="00B56A4D" w:rsidP="00955987">
            <w:pPr>
              <w:pStyle w:val="BGP-Textecourant"/>
              <w:jc w:val="center"/>
              <w:rPr>
                <w:rFonts w:ascii="Arial" w:eastAsia="Arial Unicode MS" w:hAnsi="Arial" w:cs="Arial"/>
                <w:lang w:val="fr-FR"/>
              </w:rPr>
            </w:pPr>
            <w:r>
              <w:rPr>
                <w:rFonts w:ascii="Arial" w:hAnsi="Arial" w:cs="Arial"/>
                <w:lang w:val="fr-FR"/>
              </w:rPr>
              <w:t>[µg/m</w:t>
            </w:r>
            <w:r w:rsidRPr="00CD25AB">
              <w:rPr>
                <w:rFonts w:ascii="Arial" w:hAnsi="Arial" w:cs="Arial"/>
                <w:vertAlign w:val="superscript"/>
                <w:lang w:val="fr-FR"/>
              </w:rPr>
              <w:t>3</w:t>
            </w:r>
            <w:r>
              <w:rPr>
                <w:rFonts w:ascii="Arial" w:hAnsi="Arial" w:cs="Arial"/>
                <w:lang w:val="fr-FR"/>
              </w:rPr>
              <w:t>]</w:t>
            </w:r>
          </w:p>
        </w:tc>
      </w:tr>
      <w:tr w:rsidR="00B56A4D" w14:paraId="1CB0207D" w14:textId="77777777" w:rsidTr="00955987">
        <w:trPr>
          <w:trHeight w:val="255"/>
        </w:trPr>
        <w:tc>
          <w:tcPr>
            <w:tcW w:w="0" w:type="auto"/>
            <w:tcBorders>
              <w:top w:val="nil"/>
              <w:left w:val="single" w:sz="4" w:space="0" w:color="auto"/>
              <w:bottom w:val="single" w:sz="4" w:space="0" w:color="auto"/>
              <w:right w:val="single" w:sz="4" w:space="0" w:color="auto"/>
            </w:tcBorders>
            <w:noWrap/>
            <w:vAlign w:val="bottom"/>
          </w:tcPr>
          <w:p w14:paraId="2FF16A56" w14:textId="77777777" w:rsidR="00B56A4D" w:rsidRDefault="00B56A4D" w:rsidP="00955987">
            <w:pPr>
              <w:pStyle w:val="BGP-Textecourant"/>
              <w:rPr>
                <w:rFonts w:ascii="Arial" w:eastAsia="Arial Unicode MS" w:hAnsi="Arial" w:cs="Arial"/>
                <w:sz w:val="16"/>
                <w:szCs w:val="16"/>
                <w:lang w:val="fr-FR"/>
              </w:rPr>
            </w:pPr>
            <w:r>
              <w:rPr>
                <w:rFonts w:ascii="Arial" w:eastAsia="Arial Unicode MS" w:hAnsi="Arial" w:cs="Arial"/>
                <w:sz w:val="16"/>
                <w:szCs w:val="16"/>
                <w:lang w:val="fr-FR"/>
              </w:rPr>
              <w:t>14/10/2009 12 :45</w:t>
            </w:r>
          </w:p>
        </w:tc>
        <w:tc>
          <w:tcPr>
            <w:tcW w:w="0" w:type="auto"/>
            <w:tcBorders>
              <w:top w:val="nil"/>
              <w:left w:val="nil"/>
              <w:bottom w:val="nil"/>
              <w:right w:val="nil"/>
            </w:tcBorders>
            <w:noWrap/>
            <w:vAlign w:val="bottom"/>
          </w:tcPr>
          <w:p w14:paraId="5B89430D" w14:textId="77777777" w:rsidR="00B56A4D" w:rsidRDefault="00B56A4D" w:rsidP="00955987">
            <w:pPr>
              <w:pStyle w:val="BGP-Textecourant"/>
              <w:jc w:val="center"/>
              <w:rPr>
                <w:rFonts w:ascii="Arial" w:eastAsia="Arial Unicode MS" w:hAnsi="Arial" w:cs="Arial"/>
                <w:lang w:val="fr-FR"/>
              </w:rPr>
            </w:pPr>
            <w:r>
              <w:rPr>
                <w:rFonts w:ascii="Arial" w:eastAsia="Arial Unicode MS" w:hAnsi="Arial" w:cs="Arial"/>
                <w:lang w:val="fr-FR"/>
              </w:rPr>
              <w:t>10.5</w:t>
            </w:r>
          </w:p>
        </w:tc>
        <w:tc>
          <w:tcPr>
            <w:tcW w:w="0" w:type="auto"/>
            <w:tcBorders>
              <w:top w:val="nil"/>
              <w:left w:val="nil"/>
              <w:bottom w:val="nil"/>
              <w:right w:val="nil"/>
            </w:tcBorders>
            <w:noWrap/>
            <w:vAlign w:val="bottom"/>
          </w:tcPr>
          <w:p w14:paraId="3BDE3372" w14:textId="77777777" w:rsidR="00B56A4D" w:rsidRDefault="00B56A4D" w:rsidP="00955987">
            <w:pPr>
              <w:pStyle w:val="BGP-Textecourant"/>
              <w:jc w:val="center"/>
              <w:rPr>
                <w:rFonts w:ascii="Arial" w:eastAsia="Arial Unicode MS" w:hAnsi="Arial" w:cs="Arial"/>
                <w:lang w:val="fr-FR"/>
              </w:rPr>
            </w:pPr>
            <w:r>
              <w:rPr>
                <w:rFonts w:ascii="Arial" w:eastAsia="Arial Unicode MS" w:hAnsi="Arial" w:cs="Arial"/>
                <w:lang w:val="fr-FR"/>
              </w:rPr>
              <w:t>26.7</w:t>
            </w:r>
          </w:p>
        </w:tc>
        <w:tc>
          <w:tcPr>
            <w:tcW w:w="0" w:type="auto"/>
            <w:tcBorders>
              <w:top w:val="nil"/>
              <w:left w:val="nil"/>
              <w:bottom w:val="nil"/>
              <w:right w:val="nil"/>
            </w:tcBorders>
            <w:noWrap/>
            <w:vAlign w:val="bottom"/>
          </w:tcPr>
          <w:p w14:paraId="56688191" w14:textId="77777777" w:rsidR="00B56A4D" w:rsidRDefault="00B56A4D" w:rsidP="00955987">
            <w:pPr>
              <w:pStyle w:val="BGP-Textecourant"/>
              <w:jc w:val="center"/>
              <w:rPr>
                <w:rFonts w:ascii="Arial" w:eastAsia="Arial Unicode MS" w:hAnsi="Arial" w:cs="Arial"/>
                <w:lang w:val="fr-FR"/>
              </w:rPr>
            </w:pPr>
            <w:r>
              <w:rPr>
                <w:rFonts w:ascii="Arial" w:eastAsia="Arial Unicode MS" w:hAnsi="Arial" w:cs="Arial"/>
                <w:lang w:val="fr-FR"/>
              </w:rPr>
              <w:t>5</w:t>
            </w:r>
          </w:p>
        </w:tc>
        <w:tc>
          <w:tcPr>
            <w:tcW w:w="0" w:type="auto"/>
            <w:tcBorders>
              <w:top w:val="nil"/>
              <w:left w:val="nil"/>
              <w:bottom w:val="nil"/>
              <w:right w:val="nil"/>
            </w:tcBorders>
            <w:noWrap/>
            <w:vAlign w:val="bottom"/>
          </w:tcPr>
          <w:p w14:paraId="023F79C3" w14:textId="77777777" w:rsidR="00B56A4D" w:rsidRDefault="00B56A4D" w:rsidP="00955987">
            <w:pPr>
              <w:pStyle w:val="BGP-Textecourant"/>
              <w:jc w:val="center"/>
              <w:rPr>
                <w:rFonts w:ascii="Arial" w:eastAsia="Arial Unicode MS" w:hAnsi="Arial" w:cs="Arial"/>
                <w:lang w:val="fr-FR"/>
              </w:rPr>
            </w:pPr>
            <w:r>
              <w:rPr>
                <w:rFonts w:ascii="Arial" w:eastAsia="Arial Unicode MS" w:hAnsi="Arial" w:cs="Arial"/>
                <w:lang w:val="fr-FR"/>
              </w:rPr>
              <w:t>5.5</w:t>
            </w:r>
          </w:p>
        </w:tc>
        <w:tc>
          <w:tcPr>
            <w:tcW w:w="0" w:type="auto"/>
            <w:tcBorders>
              <w:top w:val="nil"/>
              <w:left w:val="nil"/>
              <w:bottom w:val="nil"/>
              <w:right w:val="nil"/>
            </w:tcBorders>
            <w:noWrap/>
            <w:vAlign w:val="bottom"/>
          </w:tcPr>
          <w:p w14:paraId="582ED866" w14:textId="77777777" w:rsidR="00B56A4D" w:rsidRDefault="00B56A4D" w:rsidP="00955987">
            <w:pPr>
              <w:pStyle w:val="BGP-Textecourant"/>
              <w:jc w:val="center"/>
              <w:rPr>
                <w:rFonts w:ascii="Arial" w:eastAsia="Arial Unicode MS" w:hAnsi="Arial" w:cs="Arial"/>
                <w:lang w:val="fr-FR"/>
              </w:rPr>
            </w:pPr>
            <w:r>
              <w:rPr>
                <w:rFonts w:ascii="Arial" w:eastAsia="Arial Unicode MS" w:hAnsi="Arial" w:cs="Arial"/>
                <w:lang w:val="fr-FR"/>
              </w:rPr>
              <w:t>11.9</w:t>
            </w:r>
          </w:p>
        </w:tc>
        <w:tc>
          <w:tcPr>
            <w:tcW w:w="0" w:type="auto"/>
            <w:tcBorders>
              <w:top w:val="nil"/>
              <w:left w:val="nil"/>
              <w:bottom w:val="nil"/>
              <w:right w:val="single" w:sz="8" w:space="0" w:color="auto"/>
            </w:tcBorders>
            <w:noWrap/>
            <w:vAlign w:val="bottom"/>
          </w:tcPr>
          <w:p w14:paraId="1830A17E" w14:textId="77777777" w:rsidR="00B56A4D" w:rsidRDefault="00B56A4D" w:rsidP="00955987">
            <w:pPr>
              <w:pStyle w:val="BGP-Textecourant"/>
              <w:jc w:val="center"/>
              <w:rPr>
                <w:rFonts w:ascii="Arial" w:eastAsia="Arial Unicode MS" w:hAnsi="Arial" w:cs="Arial"/>
                <w:lang w:val="fr-FR"/>
              </w:rPr>
            </w:pPr>
            <w:r>
              <w:rPr>
                <w:rFonts w:ascii="Arial" w:eastAsia="Arial Unicode MS" w:hAnsi="Arial" w:cs="Arial"/>
                <w:lang w:val="fr-FR"/>
              </w:rPr>
              <w:t>5.5</w:t>
            </w:r>
          </w:p>
        </w:tc>
      </w:tr>
      <w:tr w:rsidR="00B56A4D" w14:paraId="38AB1C77" w14:textId="77777777" w:rsidTr="00955987">
        <w:trPr>
          <w:trHeight w:val="270"/>
        </w:trPr>
        <w:tc>
          <w:tcPr>
            <w:tcW w:w="0" w:type="auto"/>
            <w:tcBorders>
              <w:top w:val="nil"/>
              <w:left w:val="single" w:sz="4" w:space="0" w:color="auto"/>
              <w:bottom w:val="single" w:sz="4" w:space="0" w:color="auto"/>
              <w:right w:val="single" w:sz="4" w:space="0" w:color="auto"/>
            </w:tcBorders>
            <w:noWrap/>
            <w:vAlign w:val="bottom"/>
          </w:tcPr>
          <w:p w14:paraId="2BDB1A5A" w14:textId="77777777" w:rsidR="00B56A4D" w:rsidRDefault="00B56A4D" w:rsidP="00955987">
            <w:pPr>
              <w:pStyle w:val="BGP-Textecourant"/>
              <w:rPr>
                <w:rFonts w:ascii="Arial" w:eastAsia="Arial Unicode MS" w:hAnsi="Arial" w:cs="Arial"/>
                <w:sz w:val="16"/>
                <w:szCs w:val="16"/>
                <w:lang w:val="fr-FR"/>
              </w:rPr>
            </w:pPr>
            <w:r>
              <w:rPr>
                <w:rFonts w:ascii="Arial" w:eastAsia="Arial Unicode MS" w:hAnsi="Arial" w:cs="Arial"/>
                <w:sz w:val="16"/>
                <w:szCs w:val="16"/>
                <w:lang w:val="fr-FR"/>
              </w:rPr>
              <w:t>28/10/2009 09 :15</w:t>
            </w:r>
          </w:p>
        </w:tc>
        <w:tc>
          <w:tcPr>
            <w:tcW w:w="0" w:type="auto"/>
            <w:tcBorders>
              <w:top w:val="nil"/>
              <w:left w:val="nil"/>
              <w:bottom w:val="nil"/>
              <w:right w:val="nil"/>
            </w:tcBorders>
            <w:noWrap/>
            <w:vAlign w:val="bottom"/>
          </w:tcPr>
          <w:p w14:paraId="0F8EB85A" w14:textId="77777777" w:rsidR="00B56A4D" w:rsidRDefault="00B56A4D" w:rsidP="00955987">
            <w:pPr>
              <w:pStyle w:val="BGP-Textecourant"/>
              <w:jc w:val="center"/>
              <w:rPr>
                <w:rFonts w:ascii="Arial" w:eastAsia="Arial Unicode MS" w:hAnsi="Arial" w:cs="Arial"/>
                <w:lang w:val="fr-FR"/>
              </w:rPr>
            </w:pPr>
            <w:r>
              <w:rPr>
                <w:rFonts w:ascii="Arial" w:eastAsia="Arial Unicode MS" w:hAnsi="Arial" w:cs="Arial"/>
                <w:lang w:val="fr-FR"/>
              </w:rPr>
              <w:t>20.5</w:t>
            </w:r>
          </w:p>
        </w:tc>
        <w:tc>
          <w:tcPr>
            <w:tcW w:w="0" w:type="auto"/>
            <w:tcBorders>
              <w:top w:val="nil"/>
              <w:left w:val="nil"/>
              <w:bottom w:val="nil"/>
              <w:right w:val="nil"/>
            </w:tcBorders>
            <w:noWrap/>
            <w:vAlign w:val="bottom"/>
          </w:tcPr>
          <w:p w14:paraId="71431D60" w14:textId="77777777" w:rsidR="00B56A4D" w:rsidRDefault="00B56A4D" w:rsidP="00955987">
            <w:pPr>
              <w:pStyle w:val="BGP-Textecourant"/>
              <w:jc w:val="center"/>
              <w:rPr>
                <w:rFonts w:ascii="Arial" w:eastAsia="Arial Unicode MS" w:hAnsi="Arial" w:cs="Arial"/>
                <w:lang w:val="fr-FR"/>
              </w:rPr>
            </w:pPr>
            <w:r>
              <w:rPr>
                <w:rFonts w:ascii="Arial" w:eastAsia="Arial Unicode MS" w:hAnsi="Arial" w:cs="Arial"/>
                <w:lang w:val="fr-FR"/>
              </w:rPr>
              <w:t>53.5</w:t>
            </w:r>
          </w:p>
        </w:tc>
        <w:tc>
          <w:tcPr>
            <w:tcW w:w="0" w:type="auto"/>
            <w:tcBorders>
              <w:top w:val="nil"/>
              <w:left w:val="nil"/>
              <w:bottom w:val="nil"/>
              <w:right w:val="nil"/>
            </w:tcBorders>
            <w:noWrap/>
            <w:vAlign w:val="bottom"/>
          </w:tcPr>
          <w:p w14:paraId="36CACD0F" w14:textId="77777777" w:rsidR="00B56A4D" w:rsidRDefault="00B56A4D" w:rsidP="00955987">
            <w:pPr>
              <w:pStyle w:val="BGP-Textecourant"/>
              <w:jc w:val="center"/>
              <w:rPr>
                <w:rFonts w:ascii="Arial" w:eastAsia="Arial Unicode MS" w:hAnsi="Arial" w:cs="Arial"/>
                <w:lang w:val="fr-FR"/>
              </w:rPr>
            </w:pPr>
            <w:r>
              <w:rPr>
                <w:rFonts w:ascii="Arial" w:eastAsia="Arial Unicode MS" w:hAnsi="Arial" w:cs="Arial"/>
                <w:lang w:val="fr-FR"/>
              </w:rPr>
              <w:t>10.7</w:t>
            </w:r>
          </w:p>
        </w:tc>
        <w:tc>
          <w:tcPr>
            <w:tcW w:w="0" w:type="auto"/>
            <w:tcBorders>
              <w:top w:val="nil"/>
              <w:left w:val="nil"/>
              <w:bottom w:val="nil"/>
              <w:right w:val="nil"/>
            </w:tcBorders>
            <w:noWrap/>
            <w:vAlign w:val="bottom"/>
          </w:tcPr>
          <w:p w14:paraId="1D29828E" w14:textId="77777777" w:rsidR="00B56A4D" w:rsidRDefault="00B56A4D" w:rsidP="00955987">
            <w:pPr>
              <w:pStyle w:val="BGP-Textecourant"/>
              <w:jc w:val="center"/>
              <w:rPr>
                <w:rFonts w:ascii="Arial" w:eastAsia="Arial Unicode MS" w:hAnsi="Arial" w:cs="Arial"/>
                <w:lang w:val="fr-FR"/>
              </w:rPr>
            </w:pPr>
            <w:r>
              <w:rPr>
                <w:rFonts w:ascii="Arial" w:eastAsia="Arial Unicode MS" w:hAnsi="Arial" w:cs="Arial"/>
                <w:lang w:val="fr-FR"/>
              </w:rPr>
              <w:t>9.8</w:t>
            </w:r>
          </w:p>
        </w:tc>
        <w:tc>
          <w:tcPr>
            <w:tcW w:w="0" w:type="auto"/>
            <w:tcBorders>
              <w:top w:val="nil"/>
              <w:left w:val="nil"/>
              <w:bottom w:val="nil"/>
              <w:right w:val="nil"/>
            </w:tcBorders>
            <w:noWrap/>
            <w:vAlign w:val="bottom"/>
          </w:tcPr>
          <w:p w14:paraId="5C824DB6" w14:textId="77777777" w:rsidR="00B56A4D" w:rsidRDefault="00B56A4D" w:rsidP="00955987">
            <w:pPr>
              <w:pStyle w:val="BGP-Textecourant"/>
              <w:jc w:val="center"/>
              <w:rPr>
                <w:rFonts w:ascii="Arial" w:eastAsia="Arial Unicode MS" w:hAnsi="Arial" w:cs="Arial"/>
                <w:lang w:val="fr-FR"/>
              </w:rPr>
            </w:pPr>
            <w:r>
              <w:rPr>
                <w:rFonts w:ascii="Arial" w:eastAsia="Arial Unicode MS" w:hAnsi="Arial" w:cs="Arial"/>
                <w:lang w:val="fr-FR"/>
              </w:rPr>
              <w:t>22.8</w:t>
            </w:r>
          </w:p>
        </w:tc>
        <w:tc>
          <w:tcPr>
            <w:tcW w:w="0" w:type="auto"/>
            <w:tcBorders>
              <w:top w:val="nil"/>
              <w:left w:val="nil"/>
              <w:bottom w:val="nil"/>
              <w:right w:val="single" w:sz="8" w:space="0" w:color="auto"/>
            </w:tcBorders>
            <w:noWrap/>
            <w:vAlign w:val="bottom"/>
          </w:tcPr>
          <w:p w14:paraId="0DEC2DF1" w14:textId="77777777" w:rsidR="00B56A4D" w:rsidRDefault="00B56A4D" w:rsidP="00955987">
            <w:pPr>
              <w:pStyle w:val="BGP-Textecourant"/>
              <w:jc w:val="center"/>
              <w:rPr>
                <w:rFonts w:ascii="Arial" w:eastAsia="Arial Unicode MS" w:hAnsi="Arial" w:cs="Arial"/>
                <w:lang w:val="fr-FR"/>
              </w:rPr>
            </w:pPr>
            <w:r>
              <w:rPr>
                <w:rFonts w:ascii="Arial" w:eastAsia="Arial Unicode MS" w:hAnsi="Arial" w:cs="Arial"/>
                <w:lang w:val="fr-FR"/>
              </w:rPr>
              <w:t>10.1</w:t>
            </w:r>
          </w:p>
        </w:tc>
      </w:tr>
      <w:tr w:rsidR="00B56A4D" w14:paraId="272D0B50" w14:textId="77777777" w:rsidTr="00955987">
        <w:trPr>
          <w:trHeight w:val="285"/>
        </w:trPr>
        <w:tc>
          <w:tcPr>
            <w:tcW w:w="0" w:type="auto"/>
            <w:tcBorders>
              <w:top w:val="nil"/>
              <w:left w:val="single" w:sz="4" w:space="0" w:color="auto"/>
              <w:bottom w:val="single" w:sz="8" w:space="0" w:color="auto"/>
              <w:right w:val="single" w:sz="4" w:space="0" w:color="auto"/>
            </w:tcBorders>
            <w:noWrap/>
            <w:vAlign w:val="bottom"/>
          </w:tcPr>
          <w:p w14:paraId="176FD7A0" w14:textId="77777777" w:rsidR="00B56A4D" w:rsidRDefault="00B56A4D" w:rsidP="00955987">
            <w:pPr>
              <w:pStyle w:val="BGP-Textecourant"/>
              <w:rPr>
                <w:rFonts w:ascii="Arial" w:eastAsia="Arial Unicode MS" w:hAnsi="Arial" w:cs="Arial"/>
                <w:sz w:val="16"/>
                <w:szCs w:val="16"/>
                <w:lang w:val="fr-FR"/>
              </w:rPr>
            </w:pPr>
            <w:r>
              <w:rPr>
                <w:rFonts w:ascii="Arial" w:eastAsia="Arial Unicode MS" w:hAnsi="Arial" w:cs="Arial"/>
                <w:sz w:val="16"/>
                <w:szCs w:val="16"/>
                <w:lang w:val="fr-FR"/>
              </w:rPr>
              <w:t>11/11/2009 09 :05</w:t>
            </w:r>
          </w:p>
        </w:tc>
        <w:tc>
          <w:tcPr>
            <w:tcW w:w="0" w:type="auto"/>
            <w:tcBorders>
              <w:top w:val="nil"/>
              <w:left w:val="nil"/>
              <w:bottom w:val="single" w:sz="8" w:space="0" w:color="auto"/>
              <w:right w:val="nil"/>
            </w:tcBorders>
            <w:noWrap/>
            <w:vAlign w:val="bottom"/>
          </w:tcPr>
          <w:p w14:paraId="38AFD929" w14:textId="77777777" w:rsidR="00B56A4D" w:rsidRDefault="00B56A4D" w:rsidP="00955987">
            <w:pPr>
              <w:pStyle w:val="BGP-Textecourant"/>
              <w:jc w:val="center"/>
              <w:rPr>
                <w:rFonts w:ascii="Arial" w:eastAsia="Arial Unicode MS" w:hAnsi="Arial" w:cs="Arial"/>
                <w:lang w:val="fr-FR"/>
              </w:rPr>
            </w:pPr>
            <w:r>
              <w:rPr>
                <w:rFonts w:ascii="Arial" w:eastAsia="Arial Unicode MS" w:hAnsi="Arial" w:cs="Arial"/>
                <w:lang w:val="fr-FR"/>
              </w:rPr>
              <w:t>18.2</w:t>
            </w:r>
          </w:p>
        </w:tc>
        <w:tc>
          <w:tcPr>
            <w:tcW w:w="0" w:type="auto"/>
            <w:tcBorders>
              <w:top w:val="nil"/>
              <w:left w:val="nil"/>
              <w:bottom w:val="single" w:sz="8" w:space="0" w:color="auto"/>
              <w:right w:val="nil"/>
            </w:tcBorders>
            <w:noWrap/>
            <w:vAlign w:val="bottom"/>
          </w:tcPr>
          <w:p w14:paraId="4D2AD109" w14:textId="77777777" w:rsidR="00B56A4D" w:rsidRDefault="00B56A4D" w:rsidP="00955987">
            <w:pPr>
              <w:pStyle w:val="BGP-Textecourant"/>
              <w:jc w:val="center"/>
              <w:rPr>
                <w:rFonts w:ascii="Arial" w:eastAsia="Arial Unicode MS" w:hAnsi="Arial" w:cs="Arial"/>
                <w:lang w:val="fr-FR"/>
              </w:rPr>
            </w:pPr>
            <w:r>
              <w:rPr>
                <w:rFonts w:ascii="Arial" w:eastAsia="Arial Unicode MS" w:hAnsi="Arial" w:cs="Arial"/>
                <w:lang w:val="fr-FR"/>
              </w:rPr>
              <w:t>45.4</w:t>
            </w:r>
          </w:p>
        </w:tc>
        <w:tc>
          <w:tcPr>
            <w:tcW w:w="0" w:type="auto"/>
            <w:tcBorders>
              <w:top w:val="nil"/>
              <w:left w:val="nil"/>
              <w:bottom w:val="single" w:sz="8" w:space="0" w:color="auto"/>
              <w:right w:val="nil"/>
            </w:tcBorders>
            <w:noWrap/>
            <w:vAlign w:val="bottom"/>
          </w:tcPr>
          <w:p w14:paraId="7EA2299F" w14:textId="77777777" w:rsidR="00B56A4D" w:rsidRDefault="00B56A4D" w:rsidP="00955987">
            <w:pPr>
              <w:pStyle w:val="BGP-Textecourant"/>
              <w:jc w:val="center"/>
              <w:rPr>
                <w:rFonts w:ascii="Arial" w:eastAsia="Arial Unicode MS" w:hAnsi="Arial" w:cs="Arial"/>
                <w:lang w:val="fr-FR"/>
              </w:rPr>
            </w:pPr>
            <w:r>
              <w:rPr>
                <w:rFonts w:ascii="Arial" w:eastAsia="Arial Unicode MS" w:hAnsi="Arial" w:cs="Arial"/>
                <w:lang w:val="fr-FR"/>
              </w:rPr>
              <w:t>8.9</w:t>
            </w:r>
          </w:p>
        </w:tc>
        <w:tc>
          <w:tcPr>
            <w:tcW w:w="0" w:type="auto"/>
            <w:tcBorders>
              <w:top w:val="nil"/>
              <w:left w:val="nil"/>
              <w:bottom w:val="single" w:sz="8" w:space="0" w:color="auto"/>
              <w:right w:val="nil"/>
            </w:tcBorders>
            <w:noWrap/>
            <w:vAlign w:val="bottom"/>
          </w:tcPr>
          <w:p w14:paraId="2E23B36C" w14:textId="77777777" w:rsidR="00B56A4D" w:rsidRDefault="00B56A4D" w:rsidP="00955987">
            <w:pPr>
              <w:pStyle w:val="BGP-Textecourant"/>
              <w:jc w:val="center"/>
              <w:rPr>
                <w:rFonts w:ascii="Arial" w:eastAsia="Arial Unicode MS" w:hAnsi="Arial" w:cs="Arial"/>
                <w:lang w:val="fr-FR"/>
              </w:rPr>
            </w:pPr>
            <w:r>
              <w:rPr>
                <w:rFonts w:ascii="Arial" w:eastAsia="Arial Unicode MS" w:hAnsi="Arial" w:cs="Arial"/>
                <w:lang w:val="fr-FR"/>
              </w:rPr>
              <w:t>8.6</w:t>
            </w:r>
          </w:p>
        </w:tc>
        <w:tc>
          <w:tcPr>
            <w:tcW w:w="0" w:type="auto"/>
            <w:tcBorders>
              <w:top w:val="nil"/>
              <w:left w:val="nil"/>
              <w:bottom w:val="single" w:sz="8" w:space="0" w:color="auto"/>
              <w:right w:val="nil"/>
            </w:tcBorders>
            <w:noWrap/>
            <w:vAlign w:val="bottom"/>
          </w:tcPr>
          <w:p w14:paraId="2AA6F70D" w14:textId="77777777" w:rsidR="00B56A4D" w:rsidRDefault="00B56A4D" w:rsidP="00955987">
            <w:pPr>
              <w:pStyle w:val="BGP-Textecourant"/>
              <w:jc w:val="center"/>
              <w:rPr>
                <w:rFonts w:ascii="Arial" w:eastAsia="Arial Unicode MS" w:hAnsi="Arial" w:cs="Arial"/>
                <w:lang w:val="fr-FR"/>
              </w:rPr>
            </w:pPr>
            <w:r>
              <w:rPr>
                <w:rFonts w:ascii="Arial" w:eastAsia="Arial Unicode MS" w:hAnsi="Arial" w:cs="Arial"/>
                <w:lang w:val="fr-FR"/>
              </w:rPr>
              <w:t>20.6</w:t>
            </w:r>
          </w:p>
        </w:tc>
        <w:tc>
          <w:tcPr>
            <w:tcW w:w="0" w:type="auto"/>
            <w:tcBorders>
              <w:top w:val="nil"/>
              <w:left w:val="nil"/>
              <w:bottom w:val="single" w:sz="8" w:space="0" w:color="auto"/>
              <w:right w:val="single" w:sz="8" w:space="0" w:color="auto"/>
            </w:tcBorders>
            <w:noWrap/>
            <w:vAlign w:val="bottom"/>
          </w:tcPr>
          <w:p w14:paraId="626065C4" w14:textId="77777777" w:rsidR="00B56A4D" w:rsidRDefault="00B56A4D" w:rsidP="00955987">
            <w:pPr>
              <w:pStyle w:val="BGP-Textecourant"/>
              <w:jc w:val="center"/>
              <w:rPr>
                <w:rFonts w:ascii="Arial" w:eastAsia="Arial Unicode MS" w:hAnsi="Arial" w:cs="Arial"/>
                <w:lang w:val="fr-FR"/>
              </w:rPr>
            </w:pPr>
            <w:r>
              <w:rPr>
                <w:rFonts w:ascii="Arial" w:eastAsia="Arial Unicode MS" w:hAnsi="Arial" w:cs="Arial"/>
                <w:lang w:val="fr-FR"/>
              </w:rPr>
              <w:t>8.5</w:t>
            </w:r>
          </w:p>
        </w:tc>
      </w:tr>
    </w:tbl>
    <w:p w14:paraId="0617C040" w14:textId="77777777" w:rsidR="00B56A4D" w:rsidRDefault="00B56A4D" w:rsidP="00B56A4D">
      <w:pPr>
        <w:pStyle w:val="BGP-Textecourant"/>
        <w:rPr>
          <w:lang w:val="fr-FR"/>
        </w:rPr>
      </w:pPr>
    </w:p>
    <w:p w14:paraId="583715F7" w14:textId="77777777" w:rsidR="00563E26" w:rsidRDefault="00563E26">
      <w:pPr>
        <w:spacing w:after="200" w:line="276" w:lineRule="auto"/>
        <w:jc w:val="left"/>
        <w:rPr>
          <w:lang w:val="fr-FR" w:eastAsia="fr-FR"/>
        </w:rPr>
      </w:pPr>
      <w:r>
        <w:rPr>
          <w:lang w:val="fr-FR" w:eastAsia="fr-FR"/>
        </w:rPr>
        <w:br w:type="page"/>
      </w:r>
    </w:p>
    <w:p w14:paraId="54527FD8" w14:textId="77777777" w:rsidR="00804156" w:rsidRDefault="00563E26" w:rsidP="00525222">
      <w:pPr>
        <w:pStyle w:val="Titre3"/>
      </w:pPr>
      <w:bookmarkStart w:id="140" w:name="_Toc20505716"/>
      <w:r w:rsidRPr="00094841">
        <w:lastRenderedPageBreak/>
        <w:t>7.4.14 Malnutrition au Mali</w:t>
      </w:r>
      <w:bookmarkEnd w:id="140"/>
    </w:p>
    <w:p w14:paraId="7BFF5682" w14:textId="77777777" w:rsidR="00D0531D" w:rsidRPr="00D0531D" w:rsidRDefault="00D0531D" w:rsidP="00D0531D">
      <w:pPr>
        <w:rPr>
          <w:lang w:val="fr-FR" w:eastAsia="fr-FR"/>
        </w:rPr>
      </w:pPr>
    </w:p>
    <w:p w14:paraId="0DA6BFA7" w14:textId="77777777" w:rsidR="00563E26" w:rsidRDefault="00D0531D" w:rsidP="00563E26">
      <w:pPr>
        <w:jc w:val="center"/>
        <w:rPr>
          <w:lang w:val="fr-FR" w:eastAsia="fr-FR"/>
        </w:rPr>
      </w:pPr>
      <w:r>
        <w:rPr>
          <w:noProof/>
          <w:lang w:val="fr-FR" w:eastAsia="fr-FR"/>
        </w:rPr>
        <w:drawing>
          <wp:inline distT="0" distB="0" distL="0" distR="0" wp14:anchorId="064D3040" wp14:editId="5A40BE2C">
            <wp:extent cx="4581525" cy="2752725"/>
            <wp:effectExtent l="0" t="0" r="9525" b="9525"/>
            <wp:docPr id="65" name="Grafik 65" descr="C:\Users\birgi\Desktop\MALI PEP 3 2018\! commentaires UE 11 jan 19\image010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irgi\Desktop\MALI PEP 3 2018\! commentaires UE 11 jan 19\image010 (1).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581525" cy="2752725"/>
                    </a:xfrm>
                    <a:prstGeom prst="rect">
                      <a:avLst/>
                    </a:prstGeom>
                    <a:noFill/>
                    <a:ln>
                      <a:noFill/>
                    </a:ln>
                  </pic:spPr>
                </pic:pic>
              </a:graphicData>
            </a:graphic>
          </wp:inline>
        </w:drawing>
      </w:r>
    </w:p>
    <w:p w14:paraId="5113180C" w14:textId="77777777" w:rsidR="00563E26" w:rsidRDefault="00563E26" w:rsidP="00563E26">
      <w:pPr>
        <w:jc w:val="center"/>
        <w:rPr>
          <w:lang w:val="fr-FR" w:eastAsia="fr-FR"/>
        </w:rPr>
      </w:pPr>
    </w:p>
    <w:p w14:paraId="648E6EE8" w14:textId="77777777" w:rsidR="00563E26" w:rsidRDefault="00563E26" w:rsidP="00563E26">
      <w:pPr>
        <w:jc w:val="center"/>
        <w:rPr>
          <w:lang w:val="fr-FR" w:eastAsia="fr-FR"/>
        </w:rPr>
      </w:pPr>
      <w:r>
        <w:rPr>
          <w:noProof/>
          <w:lang w:val="fr-FR" w:eastAsia="fr-FR"/>
        </w:rPr>
        <w:drawing>
          <wp:inline distT="0" distB="0" distL="0" distR="0" wp14:anchorId="00CC7D4C" wp14:editId="3FEF81E2">
            <wp:extent cx="5476875" cy="5004840"/>
            <wp:effectExtent l="0" t="0" r="0" b="5715"/>
            <wp:docPr id="1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62"/>
                    <a:stretch>
                      <a:fillRect/>
                    </a:stretch>
                  </pic:blipFill>
                  <pic:spPr>
                    <a:xfrm>
                      <a:off x="0" y="0"/>
                      <a:ext cx="5476874" cy="5004839"/>
                    </a:xfrm>
                    <a:prstGeom prst="rect">
                      <a:avLst/>
                    </a:prstGeom>
                  </pic:spPr>
                </pic:pic>
              </a:graphicData>
            </a:graphic>
          </wp:inline>
        </w:drawing>
      </w:r>
    </w:p>
    <w:p w14:paraId="47419F5C" w14:textId="77777777" w:rsidR="00804156" w:rsidRDefault="00804156" w:rsidP="00804156">
      <w:pPr>
        <w:rPr>
          <w:lang w:val="fr-FR" w:eastAsia="fr-FR"/>
        </w:rPr>
      </w:pPr>
    </w:p>
    <w:p w14:paraId="3B8B6789" w14:textId="77777777" w:rsidR="00563E26" w:rsidRDefault="00563E26">
      <w:pPr>
        <w:spacing w:after="200" w:line="276" w:lineRule="auto"/>
        <w:jc w:val="left"/>
        <w:rPr>
          <w:rFonts w:ascii="Arial" w:eastAsia="Calibri" w:hAnsi="Arial" w:cstheme="majorBidi"/>
          <w:b/>
          <w:bCs/>
          <w:caps/>
          <w:color w:val="948A54" w:themeColor="background2" w:themeShade="80"/>
          <w:sz w:val="28"/>
          <w:szCs w:val="28"/>
          <w:lang w:val="fr-FR" w:eastAsia="fr-FR"/>
        </w:rPr>
      </w:pPr>
      <w:r>
        <w:rPr>
          <w:lang w:eastAsia="fr-FR"/>
        </w:rPr>
        <w:br w:type="page"/>
      </w:r>
    </w:p>
    <w:p w14:paraId="6E0FC7D0" w14:textId="77777777" w:rsidR="003D2566" w:rsidRPr="003D2566" w:rsidRDefault="003B087C" w:rsidP="00500D2D">
      <w:pPr>
        <w:pStyle w:val="Titre1"/>
        <w:rPr>
          <w:lang w:eastAsia="fr-FR"/>
        </w:rPr>
      </w:pPr>
      <w:bookmarkStart w:id="141" w:name="_Toc20505717"/>
      <w:r>
        <w:rPr>
          <w:lang w:eastAsia="fr-FR"/>
        </w:rPr>
        <w:lastRenderedPageBreak/>
        <w:t>8</w:t>
      </w:r>
      <w:r w:rsidR="003D2566" w:rsidRPr="003D2566">
        <w:rPr>
          <w:lang w:eastAsia="fr-FR"/>
        </w:rPr>
        <w:t>. Annexes administratives</w:t>
      </w:r>
      <w:bookmarkEnd w:id="137"/>
      <w:bookmarkEnd w:id="141"/>
    </w:p>
    <w:p w14:paraId="6E71569E" w14:textId="77777777" w:rsidR="00172EAC" w:rsidRDefault="00172EAC" w:rsidP="00172EAC">
      <w:pPr>
        <w:spacing w:after="0" w:line="240" w:lineRule="auto"/>
        <w:rPr>
          <w:lang w:eastAsia="fr-FR"/>
        </w:rPr>
      </w:pPr>
      <w:bookmarkStart w:id="142" w:name="_Toc393900326"/>
    </w:p>
    <w:p w14:paraId="0D14E682" w14:textId="77777777" w:rsidR="00282133" w:rsidRDefault="003B087C" w:rsidP="00913A0C">
      <w:pPr>
        <w:pStyle w:val="Titre2"/>
        <w:rPr>
          <w:lang w:eastAsia="fr-FR"/>
        </w:rPr>
      </w:pPr>
      <w:bookmarkStart w:id="143" w:name="_Toc20505718"/>
      <w:r w:rsidRPr="00BA1CEF">
        <w:rPr>
          <w:lang w:eastAsia="fr-FR"/>
        </w:rPr>
        <w:t>8</w:t>
      </w:r>
      <w:r w:rsidR="000806D2" w:rsidRPr="00BA1CEF">
        <w:rPr>
          <w:lang w:eastAsia="fr-FR"/>
        </w:rPr>
        <w:t>.</w:t>
      </w:r>
      <w:r w:rsidR="003D2566" w:rsidRPr="00BA1CEF">
        <w:rPr>
          <w:lang w:eastAsia="fr-FR"/>
        </w:rPr>
        <w:t>1</w:t>
      </w:r>
      <w:r w:rsidR="00282133" w:rsidRPr="00BA1CEF">
        <w:rPr>
          <w:lang w:eastAsia="fr-FR"/>
        </w:rPr>
        <w:t xml:space="preserve"> Méthodes d’étude employé</w:t>
      </w:r>
      <w:r w:rsidR="008674EE" w:rsidRPr="00BA1CEF">
        <w:rPr>
          <w:lang w:eastAsia="fr-FR"/>
        </w:rPr>
        <w:t>es / plan de travail</w:t>
      </w:r>
      <w:bookmarkEnd w:id="142"/>
      <w:bookmarkEnd w:id="143"/>
    </w:p>
    <w:p w14:paraId="75DBCD7C" w14:textId="77777777" w:rsidR="00C47FAD" w:rsidRDefault="00C47FAD" w:rsidP="00356695">
      <w:pPr>
        <w:tabs>
          <w:tab w:val="left" w:pos="72"/>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s>
        <w:spacing w:after="60" w:line="240" w:lineRule="auto"/>
        <w:rPr>
          <w:rFonts w:eastAsia="Calibri" w:cs="Arial"/>
          <w:sz w:val="20"/>
          <w:szCs w:val="20"/>
          <w:lang w:val="fr-FR" w:eastAsia="fr-FR"/>
        </w:rPr>
      </w:pPr>
    </w:p>
    <w:p w14:paraId="0C66FA19" w14:textId="77777777" w:rsidR="00356695" w:rsidRPr="00356695" w:rsidRDefault="00356695" w:rsidP="00356695">
      <w:pPr>
        <w:tabs>
          <w:tab w:val="left" w:pos="72"/>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s>
        <w:spacing w:after="60" w:line="240" w:lineRule="auto"/>
        <w:rPr>
          <w:rFonts w:eastAsia="Calibri" w:cs="Arial"/>
          <w:sz w:val="20"/>
          <w:szCs w:val="20"/>
          <w:lang w:val="fr-FR" w:eastAsia="fr-FR"/>
        </w:rPr>
      </w:pPr>
      <w:r w:rsidRPr="00356695">
        <w:rPr>
          <w:rFonts w:eastAsia="Calibri" w:cs="Arial"/>
          <w:sz w:val="20"/>
          <w:szCs w:val="20"/>
          <w:lang w:val="fr-FR" w:eastAsia="fr-FR"/>
        </w:rPr>
        <w:t xml:space="preserve">Les </w:t>
      </w:r>
      <w:r w:rsidRPr="00356695">
        <w:rPr>
          <w:rFonts w:eastAsia="Calibri" w:cs="Arial"/>
          <w:b/>
          <w:sz w:val="20"/>
          <w:szCs w:val="20"/>
          <w:u w:val="single"/>
          <w:lang w:val="fr-FR" w:eastAsia="fr-FR"/>
        </w:rPr>
        <w:t>tâches</w:t>
      </w:r>
      <w:r w:rsidRPr="00356695">
        <w:rPr>
          <w:rFonts w:eastAsia="Calibri" w:cs="Arial"/>
          <w:sz w:val="20"/>
          <w:szCs w:val="20"/>
          <w:lang w:val="fr-FR" w:eastAsia="fr-FR"/>
        </w:rPr>
        <w:t xml:space="preserve"> résultant des termes de référence peuvent être résumées :</w:t>
      </w:r>
    </w:p>
    <w:p w14:paraId="659541DC" w14:textId="77777777" w:rsidR="00356695" w:rsidRPr="00B7222E" w:rsidRDefault="00356695" w:rsidP="00356695">
      <w:pPr>
        <w:tabs>
          <w:tab w:val="left" w:pos="72"/>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s>
        <w:spacing w:after="60" w:line="240" w:lineRule="auto"/>
        <w:rPr>
          <w:rFonts w:eastAsia="Calibri" w:cs="Arial"/>
          <w:sz w:val="20"/>
          <w:szCs w:val="20"/>
          <w:lang w:val="fr-FR" w:eastAsia="fr-FR"/>
        </w:rPr>
      </w:pPr>
      <w:r w:rsidRPr="00B7222E">
        <w:rPr>
          <w:rFonts w:eastAsia="Calibri" w:cs="Arial"/>
          <w:sz w:val="20"/>
          <w:szCs w:val="20"/>
          <w:lang w:val="fr-FR" w:eastAsia="fr-FR"/>
        </w:rPr>
        <w:t xml:space="preserve">Vu l’existence des Profils Environnementaux de Pays précédents de 2006 et de 2014, la mission </w:t>
      </w:r>
      <w:r w:rsidR="00B7222E" w:rsidRPr="00B7222E">
        <w:rPr>
          <w:rFonts w:eastAsia="Calibri" w:cs="Arial"/>
          <w:sz w:val="20"/>
          <w:szCs w:val="20"/>
          <w:lang w:val="fr-FR" w:eastAsia="fr-FR"/>
        </w:rPr>
        <w:t>s’est</w:t>
      </w:r>
      <w:r w:rsidRPr="00B7222E">
        <w:rPr>
          <w:rFonts w:eastAsia="Calibri" w:cs="Arial"/>
          <w:sz w:val="20"/>
          <w:szCs w:val="20"/>
          <w:lang w:val="fr-FR" w:eastAsia="fr-FR"/>
        </w:rPr>
        <w:t xml:space="preserve"> concentré</w:t>
      </w:r>
      <w:r w:rsidR="00B7222E">
        <w:rPr>
          <w:rFonts w:eastAsia="Calibri" w:cs="Arial"/>
          <w:sz w:val="20"/>
          <w:szCs w:val="20"/>
          <w:lang w:val="fr-FR" w:eastAsia="fr-FR"/>
        </w:rPr>
        <w:t>e</w:t>
      </w:r>
      <w:r w:rsidRPr="00B7222E">
        <w:rPr>
          <w:rFonts w:eastAsia="Calibri" w:cs="Arial"/>
          <w:sz w:val="20"/>
          <w:szCs w:val="20"/>
          <w:lang w:val="fr-FR" w:eastAsia="fr-FR"/>
        </w:rPr>
        <w:t xml:space="preserve"> sur la mise à jour de celui de 2014 en prenant en compte les évolutions politiques et économiques récentes du Mali, notamment l’impact</w:t>
      </w:r>
      <w:r w:rsidRPr="00B7222E">
        <w:rPr>
          <w:rFonts w:eastAsia="Calibri" w:cs="Arial"/>
          <w:sz w:val="20"/>
          <w:szCs w:val="20"/>
          <w:lang w:val="fr-FR"/>
        </w:rPr>
        <w:t xml:space="preserve"> sur l’état de l’environnement de </w:t>
      </w:r>
      <w:r w:rsidRPr="00B7222E">
        <w:rPr>
          <w:rFonts w:eastAsia="Calibri" w:cs="Arial"/>
          <w:sz w:val="20"/>
          <w:szCs w:val="20"/>
          <w:lang w:val="fr-FR" w:eastAsia="fr-FR"/>
        </w:rPr>
        <w:t xml:space="preserve">la crise sécuritaire, institutionnelle et économique qui traverse le Mali depuis les années 2012/2013. Une attention particulière a été accordée à l’analyse de la prise en compte des recommandations présentées dans le PEP du Mali de 2014, aux initiatives actuelles dans le cadre de la mise en œuvre du Cadre stratégique pour la Relance Economique et le Développement Durable (CREDD), document de référence du Mali pour la mise en œuvre des appuis au développement pour la période 2016-2018 au niveau des différentes régions, et à l’association et à la participation active des acteurs locaux et du secteur privé. Les autres points importants ont été l’intégration des aspects liés aux changements climatiques et l’impact économique des enjeux environnementaux majeurs du pays. Vue l’importance, une attention particulière a été apportée aux problèmes environnementaux de pollution à Bamako, en particulier la pollution des ressources hydriques, la pollution du fleuve Niger en amont et en aval de Bamako, la pollution atmosphérique et la pollution émanant des déchets solides et des rejets domestiques. </w:t>
      </w:r>
    </w:p>
    <w:p w14:paraId="2A0C7847" w14:textId="77777777" w:rsidR="00356695" w:rsidRPr="00B7222E" w:rsidRDefault="00356695" w:rsidP="00356695">
      <w:pPr>
        <w:tabs>
          <w:tab w:val="left" w:pos="72"/>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s>
        <w:spacing w:after="60" w:line="240" w:lineRule="auto"/>
        <w:rPr>
          <w:rFonts w:eastAsia="Calibri" w:cs="Arial"/>
          <w:sz w:val="20"/>
          <w:szCs w:val="20"/>
          <w:lang w:val="fr-FR" w:eastAsia="fr-FR"/>
        </w:rPr>
      </w:pPr>
      <w:r w:rsidRPr="00B7222E">
        <w:rPr>
          <w:rFonts w:eastAsia="Calibri" w:cs="Arial"/>
          <w:sz w:val="20"/>
          <w:szCs w:val="20"/>
          <w:lang w:val="fr-FR" w:eastAsia="fr-FR"/>
        </w:rPr>
        <w:t>En dehors des aspects et chapitres standardisés d’un ’Profil Environnemental du Pays’ (voir TDR : 1. Résumé, 2. Etat de l’environnement, 3. Politique environnementale, cadre institutionnel et législatif, 4. Intégration de l’environnement dans les principaux secteurs d’intervention, 5. Coopération de l’UE et des autres bailleurs avec le Pays en matière d’environnement, 6. Conclusions et recommandations), les recommandations ont été formulées pour aider à cibler le dialogue politique et la coopération avec le pays sur les questions essentielles telles le changement climatique, le développement durable et la sensibilisation à l’environnement des responsables politiques.</w:t>
      </w:r>
      <w:r w:rsidRPr="00B7222E">
        <w:rPr>
          <w:rFonts w:eastAsia="Calibri" w:cs="Arial"/>
          <w:sz w:val="20"/>
          <w:szCs w:val="20"/>
          <w:lang w:val="fr-FR"/>
        </w:rPr>
        <w:t xml:space="preserve"> </w:t>
      </w:r>
      <w:r w:rsidRPr="00B7222E">
        <w:rPr>
          <w:rFonts w:eastAsia="Calibri" w:cs="Arial"/>
          <w:sz w:val="20"/>
          <w:szCs w:val="20"/>
          <w:lang w:val="fr-FR" w:eastAsia="fr-FR"/>
        </w:rPr>
        <w:t>L’analyse et les recommandations ont pris en compte les multiples projets et initiatives environnementaux précédents et en cours de l’Union Européenne et des autres partenaires au développement au Mali dans le but de faciliter l’élaboration du prochain Programme indicatif national, document cadre de programmation du post 11</w:t>
      </w:r>
      <w:r w:rsidRPr="00B7222E">
        <w:rPr>
          <w:rFonts w:eastAsia="Calibri" w:cs="Arial"/>
          <w:sz w:val="20"/>
          <w:szCs w:val="20"/>
          <w:vertAlign w:val="superscript"/>
          <w:lang w:val="fr-FR" w:eastAsia="fr-FR"/>
        </w:rPr>
        <w:t>ème</w:t>
      </w:r>
      <w:r w:rsidRPr="00B7222E">
        <w:rPr>
          <w:rFonts w:eastAsia="Calibri" w:cs="Arial"/>
          <w:sz w:val="20"/>
          <w:szCs w:val="20"/>
          <w:lang w:val="fr-FR" w:eastAsia="fr-FR"/>
        </w:rPr>
        <w:t xml:space="preserve"> FED. Les recommandations ont été formulées pour aider particulièrement à ajuster les interventions futures,</w:t>
      </w:r>
      <w:r w:rsidRPr="00B7222E">
        <w:rPr>
          <w:rFonts w:eastAsia="Calibri" w:cs="Arial"/>
          <w:sz w:val="20"/>
          <w:szCs w:val="20"/>
          <w:lang w:val="fr-FR"/>
        </w:rPr>
        <w:t xml:space="preserve"> </w:t>
      </w:r>
      <w:r w:rsidRPr="00B7222E">
        <w:rPr>
          <w:rFonts w:eastAsia="Calibri" w:cs="Arial"/>
          <w:sz w:val="20"/>
          <w:szCs w:val="20"/>
          <w:lang w:val="fr-FR" w:eastAsia="fr-FR"/>
        </w:rPr>
        <w:t>notamment dans le cadre du post 11</w:t>
      </w:r>
      <w:r w:rsidRPr="00B7222E">
        <w:rPr>
          <w:rFonts w:eastAsia="Calibri" w:cs="Arial"/>
          <w:sz w:val="20"/>
          <w:szCs w:val="20"/>
          <w:vertAlign w:val="superscript"/>
          <w:lang w:val="fr-FR" w:eastAsia="fr-FR"/>
        </w:rPr>
        <w:t>ème</w:t>
      </w:r>
      <w:r w:rsidRPr="00B7222E">
        <w:rPr>
          <w:rFonts w:eastAsia="Calibri" w:cs="Arial"/>
          <w:sz w:val="20"/>
          <w:szCs w:val="20"/>
          <w:lang w:val="fr-FR" w:eastAsia="fr-FR"/>
        </w:rPr>
        <w:t xml:space="preserve"> FED pour une prise en compte optimale des aspects environnementaux.   </w:t>
      </w:r>
    </w:p>
    <w:p w14:paraId="3B6F1017" w14:textId="77777777" w:rsidR="00356695" w:rsidRPr="00B7222E" w:rsidRDefault="00356695" w:rsidP="00356695">
      <w:pPr>
        <w:tabs>
          <w:tab w:val="left" w:pos="72"/>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s>
        <w:spacing w:before="160" w:after="60" w:line="240" w:lineRule="auto"/>
        <w:rPr>
          <w:rFonts w:eastAsia="Calibri" w:cs="Arial"/>
          <w:sz w:val="20"/>
          <w:szCs w:val="20"/>
          <w:lang w:val="fr-FR" w:eastAsia="fr-FR"/>
        </w:rPr>
      </w:pPr>
      <w:r w:rsidRPr="00B7222E">
        <w:rPr>
          <w:rFonts w:eastAsia="Calibri" w:cs="Arial"/>
          <w:sz w:val="20"/>
          <w:szCs w:val="20"/>
          <w:lang w:val="fr-FR" w:eastAsia="fr-FR"/>
        </w:rPr>
        <w:t xml:space="preserve">Les </w:t>
      </w:r>
      <w:r w:rsidRPr="00B7222E">
        <w:rPr>
          <w:rFonts w:eastAsia="Calibri" w:cs="Arial"/>
          <w:b/>
          <w:sz w:val="20"/>
          <w:szCs w:val="20"/>
          <w:u w:val="single"/>
          <w:lang w:val="fr-FR" w:eastAsia="fr-FR"/>
        </w:rPr>
        <w:t>résultats</w:t>
      </w:r>
      <w:r w:rsidRPr="00B7222E">
        <w:rPr>
          <w:rFonts w:eastAsia="Calibri" w:cs="Arial"/>
          <w:sz w:val="20"/>
          <w:szCs w:val="20"/>
          <w:lang w:val="fr-FR" w:eastAsia="fr-FR"/>
        </w:rPr>
        <w:t xml:space="preserve"> </w:t>
      </w:r>
      <w:r w:rsidR="00B7222E" w:rsidRPr="00B7222E">
        <w:rPr>
          <w:rFonts w:eastAsia="Calibri" w:cs="Arial"/>
          <w:sz w:val="20"/>
          <w:szCs w:val="20"/>
          <w:lang w:val="fr-FR" w:eastAsia="fr-FR"/>
        </w:rPr>
        <w:t xml:space="preserve">attendus sont les </w:t>
      </w:r>
      <w:r w:rsidRPr="00B7222E">
        <w:rPr>
          <w:rFonts w:eastAsia="Calibri" w:cs="Arial"/>
          <w:sz w:val="20"/>
          <w:szCs w:val="20"/>
          <w:lang w:val="fr-FR" w:eastAsia="fr-FR"/>
        </w:rPr>
        <w:t>suivants (§ TDR) :</w:t>
      </w:r>
    </w:p>
    <w:p w14:paraId="2EC90318" w14:textId="77777777" w:rsidR="00356695" w:rsidRPr="00B7222E" w:rsidRDefault="00356695" w:rsidP="00356695">
      <w:pPr>
        <w:tabs>
          <w:tab w:val="left" w:pos="72"/>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s>
        <w:spacing w:after="60" w:line="240" w:lineRule="auto"/>
        <w:rPr>
          <w:rFonts w:eastAsia="Calibri" w:cs="Arial"/>
          <w:sz w:val="20"/>
          <w:szCs w:val="20"/>
          <w:lang w:val="fr-FR" w:eastAsia="fr-FR"/>
        </w:rPr>
      </w:pPr>
      <w:r w:rsidRPr="00B7222E">
        <w:rPr>
          <w:rFonts w:eastAsia="Calibri" w:cs="Arial"/>
          <w:sz w:val="20"/>
          <w:szCs w:val="20"/>
          <w:lang w:val="fr-FR" w:eastAsia="fr-FR"/>
        </w:rPr>
        <w:t>• Une description et une évaluation de l'état de l'environnement du pays et une analyse de son implication sur l'environnement socio-économique de la population malienne et le changement climatique, dans ses différent</w:t>
      </w:r>
      <w:r w:rsidR="00B7222E" w:rsidRPr="00B7222E">
        <w:rPr>
          <w:rFonts w:eastAsia="Calibri" w:cs="Arial"/>
          <w:sz w:val="20"/>
          <w:szCs w:val="20"/>
          <w:lang w:val="fr-FR" w:eastAsia="fr-FR"/>
        </w:rPr>
        <w:t>e</w:t>
      </w:r>
      <w:r w:rsidRPr="00B7222E">
        <w:rPr>
          <w:rFonts w:eastAsia="Calibri" w:cs="Arial"/>
          <w:sz w:val="20"/>
          <w:szCs w:val="20"/>
          <w:lang w:val="fr-FR" w:eastAsia="fr-FR"/>
        </w:rPr>
        <w:t xml:space="preserve">s </w:t>
      </w:r>
      <w:r w:rsidR="00B7222E" w:rsidRPr="00B7222E">
        <w:rPr>
          <w:rFonts w:eastAsia="Calibri" w:cs="Arial"/>
          <w:sz w:val="20"/>
          <w:szCs w:val="20"/>
          <w:lang w:val="fr-FR" w:eastAsia="fr-FR"/>
        </w:rPr>
        <w:t>dimensions :</w:t>
      </w:r>
      <w:r w:rsidRPr="00B7222E">
        <w:rPr>
          <w:rFonts w:eastAsia="Calibri" w:cs="Arial"/>
          <w:sz w:val="20"/>
          <w:szCs w:val="20"/>
          <w:lang w:val="fr-FR" w:eastAsia="fr-FR"/>
        </w:rPr>
        <w:t xml:space="preserve"> revenu</w:t>
      </w:r>
      <w:r w:rsidR="00B7222E" w:rsidRPr="00B7222E">
        <w:rPr>
          <w:rFonts w:eastAsia="Calibri" w:cs="Arial"/>
          <w:sz w:val="20"/>
          <w:szCs w:val="20"/>
          <w:lang w:val="fr-FR" w:eastAsia="fr-FR"/>
        </w:rPr>
        <w:t>s</w:t>
      </w:r>
      <w:r w:rsidRPr="00B7222E">
        <w:rPr>
          <w:rFonts w:eastAsia="Calibri" w:cs="Arial"/>
          <w:sz w:val="20"/>
          <w:szCs w:val="20"/>
          <w:lang w:val="fr-FR" w:eastAsia="fr-FR"/>
        </w:rPr>
        <w:t>, stabilité, santé, sécurité, vulnérabilité…). Les facteurs environnementaux qui sont déterminants pour le développement devront être mis en évidence ainsi que les réponses possibles à ces contraintes</w:t>
      </w:r>
      <w:r w:rsidR="00B7222E" w:rsidRPr="00B7222E">
        <w:rPr>
          <w:rFonts w:eastAsia="Calibri" w:cs="Arial"/>
          <w:sz w:val="20"/>
          <w:szCs w:val="20"/>
          <w:lang w:val="fr-FR" w:eastAsia="fr-FR"/>
        </w:rPr>
        <w:t>.</w:t>
      </w:r>
    </w:p>
    <w:p w14:paraId="70888728" w14:textId="77777777" w:rsidR="00356695" w:rsidRPr="00B7222E" w:rsidRDefault="00356695" w:rsidP="00356695">
      <w:pPr>
        <w:tabs>
          <w:tab w:val="left" w:pos="72"/>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s>
        <w:spacing w:after="60" w:line="240" w:lineRule="auto"/>
        <w:rPr>
          <w:rFonts w:eastAsia="Calibri" w:cs="Arial"/>
          <w:sz w:val="20"/>
          <w:szCs w:val="20"/>
          <w:lang w:val="fr-FR" w:eastAsia="fr-FR"/>
        </w:rPr>
      </w:pPr>
      <w:r w:rsidRPr="00B7222E">
        <w:rPr>
          <w:rFonts w:eastAsia="Calibri" w:cs="Arial"/>
          <w:sz w:val="20"/>
          <w:szCs w:val="20"/>
          <w:lang w:val="fr-FR" w:eastAsia="fr-FR"/>
        </w:rPr>
        <w:t>• Une présentation rapide des actions récentes du gouvernement ou en cours en matière d’environnement et une évaluation des politiques nationales et des législations y afférentes dans les domaines de l'environnement, du changement climatique et du développement durable. Une attention particulière sera portée au contexte de la décentralisation et à la situation du pays au regard des principales conventions internationales</w:t>
      </w:r>
      <w:r w:rsidR="00B7222E" w:rsidRPr="00B7222E">
        <w:rPr>
          <w:rFonts w:eastAsia="Calibri" w:cs="Arial"/>
          <w:sz w:val="20"/>
          <w:szCs w:val="20"/>
          <w:lang w:val="fr-FR" w:eastAsia="fr-FR"/>
        </w:rPr>
        <w:t>.</w:t>
      </w:r>
    </w:p>
    <w:p w14:paraId="40B608C3" w14:textId="77777777" w:rsidR="00356695" w:rsidRPr="00B7222E" w:rsidRDefault="00356695" w:rsidP="00356695">
      <w:pPr>
        <w:tabs>
          <w:tab w:val="left" w:pos="72"/>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s>
        <w:spacing w:after="60" w:line="240" w:lineRule="auto"/>
        <w:rPr>
          <w:rFonts w:eastAsia="Calibri" w:cs="Arial"/>
          <w:sz w:val="20"/>
          <w:szCs w:val="20"/>
          <w:lang w:val="fr-FR" w:eastAsia="fr-FR"/>
        </w:rPr>
      </w:pPr>
      <w:r w:rsidRPr="00B7222E">
        <w:rPr>
          <w:rFonts w:eastAsia="Calibri" w:cs="Arial"/>
          <w:sz w:val="20"/>
          <w:szCs w:val="20"/>
          <w:lang w:val="fr-FR" w:eastAsia="fr-FR"/>
        </w:rPr>
        <w:t>• Une présentation et une évaluation du cadre institutionnel incluant une description des structures et de leurs capacités à remplir leur mandat. La participation de la société civile et du secteur privé dans les questions ayant trait à l'environnement sera également analysée</w:t>
      </w:r>
      <w:r w:rsidR="00B7222E" w:rsidRPr="00B7222E">
        <w:rPr>
          <w:rFonts w:eastAsia="Calibri" w:cs="Arial"/>
          <w:sz w:val="20"/>
          <w:szCs w:val="20"/>
          <w:lang w:val="fr-FR" w:eastAsia="fr-FR"/>
        </w:rPr>
        <w:t>.</w:t>
      </w:r>
    </w:p>
    <w:p w14:paraId="227AE4CD" w14:textId="77777777" w:rsidR="00356695" w:rsidRPr="00B7222E" w:rsidRDefault="00356695" w:rsidP="00356695">
      <w:pPr>
        <w:tabs>
          <w:tab w:val="left" w:pos="72"/>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s>
        <w:spacing w:after="60" w:line="240" w:lineRule="auto"/>
        <w:rPr>
          <w:rFonts w:eastAsia="Calibri" w:cs="Arial"/>
          <w:sz w:val="20"/>
          <w:szCs w:val="20"/>
          <w:lang w:val="fr-FR" w:eastAsia="fr-FR"/>
        </w:rPr>
      </w:pPr>
      <w:r w:rsidRPr="00B7222E">
        <w:rPr>
          <w:rFonts w:eastAsia="Calibri" w:cs="Arial"/>
          <w:sz w:val="20"/>
          <w:szCs w:val="20"/>
          <w:lang w:val="fr-FR" w:eastAsia="fr-FR"/>
        </w:rPr>
        <w:t>• Une analyse de l'intégration de l'environnement dans les principaux secteurs susceptibles de faire l'objet d'une intervention de l'Union européenne. Ces informations pourront être résumées dans une matrice (Questions environnementales x secteurs d'interventions)</w:t>
      </w:r>
      <w:r w:rsidR="00B7222E" w:rsidRPr="00B7222E">
        <w:rPr>
          <w:rFonts w:eastAsia="Calibri" w:cs="Arial"/>
          <w:sz w:val="20"/>
          <w:szCs w:val="20"/>
          <w:lang w:val="fr-FR" w:eastAsia="fr-FR"/>
        </w:rPr>
        <w:t>.</w:t>
      </w:r>
    </w:p>
    <w:p w14:paraId="5FA85CA5" w14:textId="77777777" w:rsidR="00356695" w:rsidRPr="00B7222E" w:rsidRDefault="00356695" w:rsidP="00356695">
      <w:pPr>
        <w:tabs>
          <w:tab w:val="left" w:pos="72"/>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s>
        <w:spacing w:after="0" w:line="240" w:lineRule="auto"/>
        <w:rPr>
          <w:rFonts w:eastAsia="Calibri" w:cs="Arial"/>
          <w:sz w:val="20"/>
          <w:szCs w:val="20"/>
          <w:lang w:val="fr-FR" w:eastAsia="fr-FR"/>
        </w:rPr>
      </w:pPr>
      <w:r w:rsidRPr="00B7222E">
        <w:rPr>
          <w:rFonts w:eastAsia="Calibri" w:cs="Arial"/>
          <w:sz w:val="20"/>
          <w:szCs w:val="20"/>
          <w:lang w:val="fr-FR" w:eastAsia="fr-FR"/>
        </w:rPr>
        <w:t xml:space="preserve">• L’évolution récente des indicateurs environnementaux et une estimation des tendances. Le cas échéant les séries historiques et les objectifs de la politique sectorielle. </w:t>
      </w:r>
    </w:p>
    <w:p w14:paraId="58F70D6B" w14:textId="77777777" w:rsidR="00356695" w:rsidRPr="00B7222E" w:rsidRDefault="00356695" w:rsidP="00356695">
      <w:pPr>
        <w:tabs>
          <w:tab w:val="left" w:pos="72"/>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s>
        <w:spacing w:after="60" w:line="240" w:lineRule="auto"/>
        <w:rPr>
          <w:rFonts w:eastAsia="Calibri" w:cs="Arial"/>
          <w:sz w:val="20"/>
          <w:szCs w:val="20"/>
          <w:lang w:val="fr-FR" w:eastAsia="fr-FR"/>
        </w:rPr>
      </w:pPr>
      <w:r w:rsidRPr="00B7222E">
        <w:rPr>
          <w:rFonts w:eastAsia="Calibri" w:cs="Arial"/>
          <w:sz w:val="20"/>
          <w:szCs w:val="20"/>
          <w:lang w:val="fr-FR" w:eastAsia="fr-FR"/>
        </w:rPr>
        <w:t>• Une revue succincte de la coopération internationale (y compris UE) en matière de protection de l'environnement, d'atténuation ou d'adaptation au changement climatique et de développement durable</w:t>
      </w:r>
      <w:r w:rsidR="00B7222E" w:rsidRPr="00B7222E">
        <w:rPr>
          <w:rFonts w:eastAsia="Calibri" w:cs="Arial"/>
          <w:sz w:val="20"/>
          <w:szCs w:val="20"/>
          <w:lang w:val="fr-FR" w:eastAsia="fr-FR"/>
        </w:rPr>
        <w:t>.</w:t>
      </w:r>
    </w:p>
    <w:p w14:paraId="18CA95CB" w14:textId="77777777" w:rsidR="00356695" w:rsidRPr="00B7222E" w:rsidRDefault="00356695" w:rsidP="00356695">
      <w:pPr>
        <w:tabs>
          <w:tab w:val="left" w:pos="72"/>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s>
        <w:spacing w:after="60" w:line="240" w:lineRule="auto"/>
        <w:rPr>
          <w:rFonts w:eastAsia="Calibri" w:cs="Arial"/>
          <w:sz w:val="20"/>
          <w:szCs w:val="20"/>
          <w:lang w:val="fr-FR" w:eastAsia="fr-FR"/>
        </w:rPr>
      </w:pPr>
      <w:r w:rsidRPr="00B7222E">
        <w:rPr>
          <w:rFonts w:eastAsia="Calibri" w:cs="Arial"/>
          <w:sz w:val="20"/>
          <w:szCs w:val="20"/>
          <w:lang w:val="fr-FR" w:eastAsia="fr-FR"/>
        </w:rPr>
        <w:t>• Des recommandations et, si possible, des procédures ou des critères pour l’intégration de l’environnement dans les secteurs prioritaires de développement. Ces recommandations devront être utilisables pour la préparation du Document de Stratégie de Pays et, autant que possible, inclure des procédures ou critères pour faciliter l’intégration environnementale dans les phases suivantes du cycle des opérations. Chaque recommandation sera clairement reliée aux problèmes auxquels elle se rapporte. Chaque secteur prioritaire fera l'objet d'une fiche technique reprenant les principales recommandations. Ces fiches techniques seront annexées au rapport.</w:t>
      </w:r>
    </w:p>
    <w:p w14:paraId="2EE15102" w14:textId="77777777" w:rsidR="00356695" w:rsidRPr="00B7222E" w:rsidRDefault="00356695" w:rsidP="00356695">
      <w:pPr>
        <w:tabs>
          <w:tab w:val="left" w:pos="72"/>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s>
        <w:spacing w:after="0" w:line="240" w:lineRule="auto"/>
        <w:rPr>
          <w:rFonts w:eastAsia="Calibri" w:cs="Arial"/>
          <w:sz w:val="20"/>
          <w:szCs w:val="20"/>
          <w:lang w:val="fr-FR" w:eastAsia="fr-FR"/>
        </w:rPr>
      </w:pPr>
      <w:r w:rsidRPr="00B7222E">
        <w:rPr>
          <w:rFonts w:eastAsia="Calibri" w:cs="Arial"/>
          <w:sz w:val="20"/>
          <w:szCs w:val="20"/>
          <w:lang w:val="fr-FR" w:eastAsia="fr-FR"/>
        </w:rPr>
        <w:t>• Une revue de la situation de pollution à Bamako</w:t>
      </w:r>
      <w:r w:rsidR="00B7222E">
        <w:rPr>
          <w:rFonts w:eastAsia="Calibri" w:cs="Arial"/>
          <w:sz w:val="20"/>
          <w:szCs w:val="20"/>
          <w:lang w:val="fr-FR" w:eastAsia="fr-FR"/>
        </w:rPr>
        <w:t>.</w:t>
      </w:r>
    </w:p>
    <w:p w14:paraId="14ED7F6A" w14:textId="77777777" w:rsidR="00356695" w:rsidRPr="00B7222E" w:rsidRDefault="00356695" w:rsidP="00356695">
      <w:pPr>
        <w:tabs>
          <w:tab w:val="left" w:pos="72"/>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s>
        <w:spacing w:before="160" w:after="60" w:line="240" w:lineRule="auto"/>
        <w:rPr>
          <w:rFonts w:eastAsia="Calibri" w:cs="Arial"/>
          <w:sz w:val="20"/>
          <w:szCs w:val="20"/>
          <w:lang w:val="fr-FR" w:eastAsia="fr-FR"/>
        </w:rPr>
      </w:pPr>
      <w:r w:rsidRPr="00356695">
        <w:rPr>
          <w:rFonts w:eastAsia="Calibri" w:cs="Arial"/>
          <w:sz w:val="20"/>
          <w:szCs w:val="20"/>
          <w:lang w:val="fr-FR" w:eastAsia="fr-FR"/>
        </w:rPr>
        <w:t xml:space="preserve">Les résultats sont présentés dans : (1) Aide-mémoire de démarrage ; (2) Projet de rapport provisoire ; (3) Rapport provisoire. Ce rapport sera présenté lors d’un atelier de restitution au Mali. Cet atelier aura </w:t>
      </w:r>
      <w:r w:rsidRPr="00B7222E">
        <w:rPr>
          <w:rFonts w:eastAsia="Calibri" w:cs="Arial"/>
          <w:sz w:val="20"/>
          <w:szCs w:val="20"/>
          <w:lang w:val="fr-FR" w:eastAsia="fr-FR"/>
        </w:rPr>
        <w:t xml:space="preserve">lieu le 4 décembre 2018, (4) Rapport définitif. Ce rapport intègrera les observations reçues par les différentes parties concernées. Il sera présenté dans les 10 jours suivant la réception de ces observations et (5) brochure pour diffusion des résultats et recommandations. </w:t>
      </w:r>
    </w:p>
    <w:p w14:paraId="763DB622" w14:textId="77777777" w:rsidR="00356695" w:rsidRPr="00356695" w:rsidRDefault="00356695" w:rsidP="00356695">
      <w:pPr>
        <w:spacing w:after="0" w:line="240" w:lineRule="auto"/>
        <w:rPr>
          <w:rFonts w:eastAsia="Calibri" w:cs="Arial"/>
          <w:sz w:val="20"/>
          <w:szCs w:val="20"/>
          <w:lang w:val="fr-FR" w:eastAsia="fr-FR"/>
        </w:rPr>
      </w:pPr>
      <w:r w:rsidRPr="00356695">
        <w:rPr>
          <w:rFonts w:cs="Arial"/>
          <w:sz w:val="20"/>
          <w:szCs w:val="20"/>
          <w:lang w:val="fr-FR"/>
        </w:rPr>
        <w:t>Démarche proposée : Les tâches résultant des TDR peuvent être</w:t>
      </w:r>
      <w:r w:rsidRPr="00356695">
        <w:rPr>
          <w:rFonts w:cs="Arial"/>
          <w:sz w:val="20"/>
          <w:szCs w:val="20"/>
          <w:lang w:val="fr-CI"/>
        </w:rPr>
        <w:t xml:space="preserve"> distingués</w:t>
      </w:r>
      <w:r w:rsidRPr="00356695">
        <w:rPr>
          <w:rFonts w:cs="Arial"/>
          <w:sz w:val="20"/>
          <w:szCs w:val="20"/>
          <w:lang w:val="fr-FR"/>
        </w:rPr>
        <w:t xml:space="preserve"> en deux principales phases de</w:t>
      </w:r>
      <w:r w:rsidRPr="00356695">
        <w:rPr>
          <w:rFonts w:eastAsia="Calibri" w:cs="Arial"/>
          <w:sz w:val="20"/>
          <w:szCs w:val="20"/>
          <w:lang w:val="fr-FR" w:eastAsia="fr-FR"/>
        </w:rPr>
        <w:t xml:space="preserve"> terrain et deux phases de rédaction (provisoire et finale) :</w:t>
      </w:r>
    </w:p>
    <w:p w14:paraId="38813222" w14:textId="77777777" w:rsidR="00356695" w:rsidRPr="00356695" w:rsidRDefault="00356695" w:rsidP="00356695">
      <w:pPr>
        <w:tabs>
          <w:tab w:val="left" w:pos="72"/>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s>
        <w:spacing w:after="60" w:line="240" w:lineRule="auto"/>
        <w:rPr>
          <w:rFonts w:eastAsia="Calibri" w:cs="Arial"/>
          <w:sz w:val="20"/>
          <w:szCs w:val="20"/>
          <w:u w:val="single"/>
          <w:lang w:val="fr-FR" w:eastAsia="fr-FR"/>
        </w:rPr>
      </w:pPr>
    </w:p>
    <w:p w14:paraId="4F6D1EE3" w14:textId="77777777" w:rsidR="00356695" w:rsidRPr="00B7222E" w:rsidRDefault="00356695" w:rsidP="00356695">
      <w:pPr>
        <w:tabs>
          <w:tab w:val="left" w:pos="72"/>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s>
        <w:spacing w:after="60" w:line="240" w:lineRule="auto"/>
        <w:rPr>
          <w:rFonts w:eastAsia="Calibri" w:cs="Arial"/>
          <w:sz w:val="20"/>
          <w:szCs w:val="20"/>
          <w:u w:val="single"/>
          <w:lang w:val="fr-FR" w:eastAsia="fr-FR"/>
        </w:rPr>
      </w:pPr>
      <w:r w:rsidRPr="00356695">
        <w:rPr>
          <w:rFonts w:eastAsia="Calibri" w:cs="Arial"/>
          <w:sz w:val="20"/>
          <w:szCs w:val="20"/>
          <w:u w:val="single"/>
          <w:lang w:val="fr-FR" w:eastAsia="fr-FR"/>
        </w:rPr>
        <w:lastRenderedPageBreak/>
        <w:t xml:space="preserve">1. Phase du </w:t>
      </w:r>
      <w:r w:rsidRPr="00B7222E">
        <w:rPr>
          <w:rFonts w:eastAsia="Calibri" w:cs="Arial"/>
          <w:sz w:val="20"/>
          <w:szCs w:val="20"/>
          <w:u w:val="single"/>
          <w:lang w:val="fr-FR" w:eastAsia="fr-FR"/>
        </w:rPr>
        <w:t>terrain (23 jours)</w:t>
      </w:r>
    </w:p>
    <w:p w14:paraId="2846D0D2" w14:textId="77777777" w:rsidR="00356695" w:rsidRPr="00356695" w:rsidRDefault="00356695" w:rsidP="00356695">
      <w:pPr>
        <w:tabs>
          <w:tab w:val="left" w:pos="72"/>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s>
        <w:spacing w:after="60" w:line="240" w:lineRule="auto"/>
        <w:rPr>
          <w:rFonts w:eastAsia="Calibri" w:cs="Arial"/>
          <w:sz w:val="20"/>
          <w:szCs w:val="20"/>
          <w:lang w:val="fr-FR" w:eastAsia="fr-FR"/>
        </w:rPr>
      </w:pPr>
      <w:r w:rsidRPr="00B7222E">
        <w:rPr>
          <w:rFonts w:eastAsia="Calibri" w:cs="Arial"/>
          <w:sz w:val="20"/>
          <w:szCs w:val="20"/>
          <w:u w:val="single"/>
          <w:lang w:val="fr-FR" w:eastAsia="fr-FR"/>
        </w:rPr>
        <w:t>a) Diagnostic et collecte des informations (12 jours)</w:t>
      </w:r>
      <w:r w:rsidRPr="00B7222E">
        <w:rPr>
          <w:rFonts w:eastAsia="Calibri" w:cs="Arial"/>
          <w:sz w:val="20"/>
          <w:szCs w:val="20"/>
          <w:lang w:val="fr-FR" w:eastAsia="fr-FR"/>
        </w:rPr>
        <w:t xml:space="preserve">: Cette première phase sera consacrée à la collecte, à l’analyse et à la synthèse des documents et d’information existants et à l’analyse de la prise en compte des recommandations du PEP de 2014. La phase inclura les réunions de début de mission avec la DUE, avec l’Agence de l’Environnement et du Développement Durable (AEDD),la réunion de cadrage avec les points focaux et des rencontres avec le Ministère de l’Environnement et de l’Assainissement et ses structures nationales, le chef de file des PTF du groupe ‘Environnement et Changement Climatique’, le CONFED, </w:t>
      </w:r>
      <w:r w:rsidRPr="00B7222E">
        <w:rPr>
          <w:rFonts w:eastAsia="Calibri" w:cs="Arial"/>
          <w:sz w:val="20"/>
          <w:szCs w:val="20"/>
          <w:lang w:val="fr-FR"/>
        </w:rPr>
        <w:t xml:space="preserve">des acteurs </w:t>
      </w:r>
      <w:r w:rsidRPr="00356695">
        <w:rPr>
          <w:rFonts w:eastAsia="Calibri" w:cs="Arial"/>
          <w:sz w:val="20"/>
          <w:szCs w:val="20"/>
          <w:lang w:val="fr-FR"/>
        </w:rPr>
        <w:t xml:space="preserve">principaux et la collecte/analyse des documents à Bamako, </w:t>
      </w:r>
      <w:r w:rsidRPr="00356695">
        <w:rPr>
          <w:rFonts w:eastAsia="Calibri" w:cs="Arial"/>
          <w:sz w:val="20"/>
          <w:szCs w:val="20"/>
          <w:lang w:val="fr-FR" w:eastAsia="fr-FR"/>
        </w:rPr>
        <w:t xml:space="preserve">l’affinement du plan de travail détaillé  et la préparation des visites de terrain. </w:t>
      </w:r>
      <w:r w:rsidRPr="00356695">
        <w:rPr>
          <w:rFonts w:eastAsia="Calibri" w:cs="Arial"/>
          <w:sz w:val="20"/>
          <w:szCs w:val="20"/>
          <w:lang w:val="fr-FR"/>
        </w:rPr>
        <w:t xml:space="preserve">Le </w:t>
      </w:r>
      <w:r w:rsidRPr="00356695">
        <w:rPr>
          <w:rFonts w:eastAsia="Calibri" w:cs="Arial"/>
          <w:sz w:val="20"/>
          <w:szCs w:val="20"/>
          <w:u w:val="single"/>
          <w:lang w:val="fr-FR"/>
        </w:rPr>
        <w:t>produit</w:t>
      </w:r>
      <w:r w:rsidRPr="00356695">
        <w:rPr>
          <w:rFonts w:eastAsia="Calibri" w:cs="Arial"/>
          <w:sz w:val="20"/>
          <w:szCs w:val="20"/>
          <w:lang w:val="fr-FR"/>
        </w:rPr>
        <w:t xml:space="preserve"> de cette première étape sera l’aide-mémoire de démarrage et un premier diagnostic des enjeux environnementaux majeurs dans le contexte post – crise. </w:t>
      </w:r>
    </w:p>
    <w:p w14:paraId="3FC5C069" w14:textId="77777777" w:rsidR="00356695" w:rsidRPr="00356695" w:rsidRDefault="00356695" w:rsidP="00356695">
      <w:pPr>
        <w:spacing w:after="60" w:line="240" w:lineRule="auto"/>
        <w:rPr>
          <w:rFonts w:eastAsia="Calibri" w:cs="Arial"/>
          <w:sz w:val="20"/>
          <w:szCs w:val="20"/>
          <w:lang w:val="fr-FR" w:eastAsia="fr-FR"/>
        </w:rPr>
      </w:pPr>
      <w:r w:rsidRPr="00356695">
        <w:rPr>
          <w:rFonts w:eastAsia="Calibri" w:cs="Arial"/>
          <w:sz w:val="20"/>
          <w:szCs w:val="20"/>
          <w:u w:val="single"/>
          <w:lang w:val="fr-FR" w:eastAsia="fr-FR"/>
        </w:rPr>
        <w:t xml:space="preserve">b) Visites de terrain : Phase de consultation de toutes les parties </w:t>
      </w:r>
      <w:r w:rsidRPr="00B7222E">
        <w:rPr>
          <w:rFonts w:eastAsia="Calibri" w:cs="Arial"/>
          <w:sz w:val="20"/>
          <w:szCs w:val="20"/>
          <w:u w:val="single"/>
          <w:lang w:val="fr-FR" w:eastAsia="fr-FR"/>
        </w:rPr>
        <w:t>concernées au niveau local</w:t>
      </w:r>
      <w:r w:rsidRPr="00B7222E">
        <w:rPr>
          <w:rFonts w:eastAsia="Calibri" w:cs="Arial"/>
          <w:sz w:val="20"/>
          <w:szCs w:val="20"/>
          <w:lang w:val="fr-FR" w:eastAsia="fr-FR"/>
        </w:rPr>
        <w:t xml:space="preserve"> (6 jours): Cette étape </w:t>
      </w:r>
      <w:r w:rsidRPr="00356695">
        <w:rPr>
          <w:rFonts w:eastAsia="Calibri" w:cs="Arial"/>
          <w:sz w:val="20"/>
          <w:szCs w:val="20"/>
          <w:lang w:val="fr-FR" w:eastAsia="fr-FR"/>
        </w:rPr>
        <w:t>de terrain sera consacrée aux rencontres des acteurs locaux et aux visites des sites d’intérêt environnemental majeurs hors Bamako. Cette étape permettra d’acquérir les points de vue des acteurs locaux et d’évaluer l’impact de la mise en œuvre des stratégies nationales dans le domaine de l’environnement et du changement climatique au niveau local. Une approche participative et inter – active sera utilisée pendant les visites du terrain dans le but d’obtenir le point de vue réel des acteurs locaux et d’identifier des actions concrètes d’intégration future de l’environnement au niveau régional/local.</w:t>
      </w:r>
    </w:p>
    <w:p w14:paraId="207357DC" w14:textId="77777777" w:rsidR="00356695" w:rsidRPr="00356695" w:rsidRDefault="00356695" w:rsidP="00356695">
      <w:pPr>
        <w:spacing w:after="60" w:line="240" w:lineRule="auto"/>
        <w:rPr>
          <w:rFonts w:eastAsia="Calibri" w:cs="Arial"/>
          <w:sz w:val="20"/>
          <w:szCs w:val="20"/>
          <w:lang w:val="fr-FR"/>
        </w:rPr>
      </w:pPr>
      <w:r w:rsidRPr="00356695">
        <w:rPr>
          <w:rFonts w:eastAsia="Calibri" w:cs="Arial"/>
          <w:sz w:val="20"/>
          <w:szCs w:val="20"/>
          <w:lang w:val="fr-FR" w:eastAsia="fr-FR"/>
        </w:rPr>
        <w:t xml:space="preserve">c) </w:t>
      </w:r>
      <w:r w:rsidRPr="00356695">
        <w:rPr>
          <w:rFonts w:eastAsia="Calibri" w:cs="Arial"/>
          <w:sz w:val="20"/>
          <w:szCs w:val="20"/>
          <w:u w:val="single"/>
          <w:lang w:val="fr-FR" w:eastAsia="fr-FR"/>
        </w:rPr>
        <w:t>Etape de synthèse</w:t>
      </w:r>
      <w:r w:rsidRPr="00356695">
        <w:rPr>
          <w:rFonts w:eastAsia="Calibri" w:cs="Arial"/>
          <w:sz w:val="20"/>
          <w:szCs w:val="20"/>
          <w:lang w:val="fr-FR" w:eastAsia="fr-FR"/>
        </w:rPr>
        <w:t xml:space="preserve"> : </w:t>
      </w:r>
      <w:r w:rsidRPr="00356695">
        <w:rPr>
          <w:rFonts w:eastAsia="Calibri" w:cs="Arial"/>
          <w:sz w:val="20"/>
          <w:szCs w:val="20"/>
          <w:lang w:val="fr-FR"/>
        </w:rPr>
        <w:t xml:space="preserve">Une </w:t>
      </w:r>
      <w:r w:rsidRPr="00B7222E">
        <w:rPr>
          <w:rFonts w:eastAsia="Calibri" w:cs="Arial"/>
          <w:sz w:val="20"/>
          <w:szCs w:val="20"/>
          <w:lang w:val="fr-FR"/>
        </w:rPr>
        <w:t xml:space="preserve">période de 5 jours de travail est prévue pour la synthèse de l’information. Les résultats préliminaires et les recommandations principales seront présentés et discutés pendant les réunions de fin de mission avec les principaux acteurs (AEDD, DUE, CONFED). Cette étape inclura aussi la préparation de l’atelier de présentation du rapport </w:t>
      </w:r>
      <w:r w:rsidRPr="00356695">
        <w:rPr>
          <w:rFonts w:eastAsia="Calibri" w:cs="Arial"/>
          <w:sz w:val="20"/>
          <w:szCs w:val="20"/>
          <w:lang w:val="fr-FR"/>
        </w:rPr>
        <w:t xml:space="preserve">provisoire. </w:t>
      </w:r>
    </w:p>
    <w:p w14:paraId="03FE52FD" w14:textId="77777777" w:rsidR="00356695" w:rsidRPr="00356695" w:rsidRDefault="00356695" w:rsidP="00356695">
      <w:pPr>
        <w:spacing w:after="60" w:line="240" w:lineRule="auto"/>
        <w:rPr>
          <w:rFonts w:eastAsia="Calibri" w:cs="Arial"/>
          <w:sz w:val="20"/>
          <w:szCs w:val="20"/>
          <w:lang w:val="fr-FR"/>
        </w:rPr>
      </w:pPr>
      <w:r w:rsidRPr="00356695">
        <w:rPr>
          <w:rFonts w:eastAsia="Calibri" w:cs="Arial"/>
          <w:sz w:val="20"/>
          <w:szCs w:val="20"/>
          <w:u w:val="single"/>
          <w:lang w:val="fr-FR"/>
        </w:rPr>
        <w:t>Phase de rédaction du projet du rapport provisoire et du rapport provisoire</w:t>
      </w:r>
      <w:r w:rsidRPr="00356695">
        <w:rPr>
          <w:rFonts w:eastAsia="Calibri" w:cs="Arial"/>
          <w:sz w:val="20"/>
          <w:szCs w:val="20"/>
          <w:lang w:val="fr-FR"/>
        </w:rPr>
        <w:t> (5 jours de travail) : Les produits de cette première phase de rédaction sont le projet du rapport provisoire et le rapport provisoire, prenant en compte des observations de la DUE.</w:t>
      </w:r>
    </w:p>
    <w:p w14:paraId="4EC27300" w14:textId="77777777" w:rsidR="00356695" w:rsidRPr="00383519" w:rsidRDefault="00356695" w:rsidP="00356695">
      <w:pPr>
        <w:tabs>
          <w:tab w:val="left" w:pos="72"/>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s>
        <w:spacing w:after="60" w:line="240" w:lineRule="auto"/>
        <w:rPr>
          <w:rFonts w:eastAsia="Calibri" w:cs="Arial"/>
          <w:sz w:val="20"/>
          <w:szCs w:val="20"/>
          <w:lang w:val="fr-FR"/>
        </w:rPr>
      </w:pPr>
      <w:r w:rsidRPr="00356695">
        <w:rPr>
          <w:rFonts w:eastAsia="Calibri" w:cs="Arial"/>
          <w:sz w:val="20"/>
          <w:szCs w:val="20"/>
          <w:u w:val="single"/>
          <w:lang w:val="fr-FR"/>
        </w:rPr>
        <w:t>2. phase de terrain : atelier de présentation des résultats (3 jours de travail)</w:t>
      </w:r>
      <w:r w:rsidRPr="00356695">
        <w:rPr>
          <w:rFonts w:eastAsia="Calibri" w:cs="Arial"/>
          <w:sz w:val="20"/>
          <w:szCs w:val="20"/>
          <w:lang w:val="fr-FR"/>
        </w:rPr>
        <w:t> : Cet atelier sera précédé d’une phase de 1 à 2 jours de travail par expert pour la préparation de  la présentation (Power Point) destinée à l’atelier de restitution. La 2</w:t>
      </w:r>
      <w:r w:rsidRPr="00356695">
        <w:rPr>
          <w:rFonts w:eastAsia="Calibri" w:cs="Arial"/>
          <w:sz w:val="20"/>
          <w:szCs w:val="20"/>
          <w:vertAlign w:val="superscript"/>
          <w:lang w:val="fr-FR"/>
        </w:rPr>
        <w:t>ème</w:t>
      </w:r>
      <w:r w:rsidRPr="00356695">
        <w:rPr>
          <w:rFonts w:eastAsia="Calibri" w:cs="Arial"/>
          <w:sz w:val="20"/>
          <w:szCs w:val="20"/>
          <w:lang w:val="fr-FR"/>
        </w:rPr>
        <w:t xml:space="preserve"> phase de terrain sera consacrée à l’atelier de restitution des résultats de la mission. Cet atelier d’un jour sera organisé à Bamako avec tous les principaux acteurs et cibles dans le but de la diffusion des résultats les plus importants de l’étude, de l’analyse et de la discussion des principaux problèmes constatés dans le secteur et de la discussion des recommandations. Les résultats de l’atelier de restitution seront pris en compte par l’équipe pendant la </w:t>
      </w:r>
      <w:r w:rsidRPr="00383519">
        <w:rPr>
          <w:rFonts w:eastAsia="Calibri" w:cs="Arial"/>
          <w:sz w:val="20"/>
          <w:szCs w:val="20"/>
          <w:lang w:val="fr-FR"/>
        </w:rPr>
        <w:t>rédaction du rapport définitif et de la brochure.</w:t>
      </w:r>
    </w:p>
    <w:p w14:paraId="14C29E98" w14:textId="77777777" w:rsidR="00356695" w:rsidRPr="00356695" w:rsidRDefault="00356695" w:rsidP="00356695">
      <w:pPr>
        <w:tabs>
          <w:tab w:val="left" w:pos="72"/>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s>
        <w:spacing w:after="60" w:line="240" w:lineRule="auto"/>
        <w:rPr>
          <w:rFonts w:eastAsia="Calibri" w:cs="Arial"/>
          <w:sz w:val="20"/>
          <w:szCs w:val="20"/>
          <w:lang w:val="fr-FR" w:eastAsia="fr-FR"/>
        </w:rPr>
      </w:pPr>
      <w:r w:rsidRPr="00356695">
        <w:rPr>
          <w:rFonts w:eastAsia="Calibri" w:cs="Arial"/>
          <w:sz w:val="20"/>
          <w:szCs w:val="20"/>
          <w:u w:val="single"/>
          <w:lang w:val="fr-FR"/>
        </w:rPr>
        <w:t>Phase de rédaction du rapport définitif (2 jours de travail, Chef de mission)</w:t>
      </w:r>
      <w:r w:rsidRPr="00356695">
        <w:rPr>
          <w:rFonts w:eastAsia="Calibri" w:cs="Arial"/>
          <w:sz w:val="20"/>
          <w:szCs w:val="20"/>
          <w:lang w:val="fr-FR"/>
        </w:rPr>
        <w:t xml:space="preserve"> : Cette phase se déroulera au domicile du Chef de Mission et comprend la </w:t>
      </w:r>
      <w:r w:rsidRPr="00383519">
        <w:rPr>
          <w:rFonts w:eastAsia="Calibri" w:cs="Arial"/>
          <w:sz w:val="20"/>
          <w:szCs w:val="20"/>
          <w:lang w:val="fr-FR"/>
        </w:rPr>
        <w:t xml:space="preserve">rédaction du rapport définitif et de la brochure en intégrant les observations </w:t>
      </w:r>
      <w:r w:rsidRPr="00356695">
        <w:rPr>
          <w:rFonts w:eastAsia="Calibri" w:cs="Arial"/>
          <w:sz w:val="20"/>
          <w:szCs w:val="20"/>
          <w:lang w:val="fr-FR"/>
        </w:rPr>
        <w:t xml:space="preserve">reçues par les différentes parties concernées. </w:t>
      </w:r>
    </w:p>
    <w:p w14:paraId="094AEDA9" w14:textId="77777777" w:rsidR="00356695" w:rsidRPr="00356695" w:rsidRDefault="00356695" w:rsidP="00356695">
      <w:pPr>
        <w:spacing w:before="160" w:after="60" w:line="240" w:lineRule="auto"/>
        <w:rPr>
          <w:rFonts w:eastAsia="Calibri" w:cs="Arial"/>
          <w:sz w:val="20"/>
          <w:szCs w:val="20"/>
          <w:lang w:val="fr-FR" w:eastAsia="fr-FR"/>
        </w:rPr>
      </w:pPr>
      <w:r w:rsidRPr="00356695">
        <w:rPr>
          <w:rFonts w:eastAsia="Calibri" w:cs="Arial"/>
          <w:sz w:val="20"/>
          <w:szCs w:val="20"/>
          <w:lang w:val="fr-FR" w:eastAsia="fr-FR"/>
        </w:rPr>
        <w:t>Cette révision du profil environnemental du pays s’opère :</w:t>
      </w:r>
    </w:p>
    <w:p w14:paraId="1A8C27F7" w14:textId="77777777" w:rsidR="00356695" w:rsidRPr="00356695" w:rsidRDefault="00356695" w:rsidP="00356695">
      <w:pPr>
        <w:numPr>
          <w:ilvl w:val="0"/>
          <w:numId w:val="13"/>
        </w:numPr>
        <w:tabs>
          <w:tab w:val="num" w:pos="284"/>
        </w:tabs>
        <w:spacing w:after="60" w:line="240" w:lineRule="auto"/>
        <w:ind w:left="284" w:hanging="284"/>
        <w:rPr>
          <w:rFonts w:eastAsia="Calibri" w:cs="Arial"/>
          <w:sz w:val="20"/>
          <w:szCs w:val="20"/>
          <w:lang w:val="fr-FR" w:eastAsia="fr-FR"/>
        </w:rPr>
      </w:pPr>
      <w:r w:rsidRPr="00356695">
        <w:rPr>
          <w:rFonts w:eastAsia="Calibri" w:cs="Arial"/>
          <w:sz w:val="20"/>
          <w:szCs w:val="20"/>
          <w:lang w:val="fr-FR" w:eastAsia="fr-FR"/>
        </w:rPr>
        <w:t xml:space="preserve">à partir de l’analyse de </w:t>
      </w:r>
      <w:r w:rsidRPr="00383519">
        <w:rPr>
          <w:rFonts w:eastAsia="Calibri" w:cs="Arial"/>
          <w:sz w:val="20"/>
          <w:szCs w:val="20"/>
          <w:lang w:val="fr-FR" w:eastAsia="fr-FR"/>
        </w:rPr>
        <w:t xml:space="preserve">la documentation mise à la disposition des consultants par le MEADD et ses structures nationales, la DUE et les autres partenaires, ainsi que celle collectée par eux-mêmes (via internet). En plus des documents existants du Profil Environnemental du Mali précédent, des documents récents des politiques et stratégies environnementales de l’UE et du Gouvernement du Mali, des évaluations récentes des projets ayant des composantes environnementales, des EES et EIES, une attention particulière sera portée à la mise en œuvre du CREDD (2016-2018) et des recommandations du PEP précédent (2014) dans le contexte actuel. </w:t>
      </w:r>
      <w:r w:rsidRPr="00383519">
        <w:rPr>
          <w:rFonts w:eastAsia="Calibri" w:cs="Arial"/>
          <w:sz w:val="20"/>
          <w:szCs w:val="20"/>
          <w:lang w:val="fr-FR"/>
        </w:rPr>
        <w:t xml:space="preserve">L’attention requise sera accordée, également, aux documents récents de l’impact des changements climatiques, la CDN et des impacts économiques des enjeux environnementaux </w:t>
      </w:r>
      <w:r w:rsidRPr="00356695">
        <w:rPr>
          <w:rFonts w:eastAsia="Calibri" w:cs="Arial"/>
          <w:sz w:val="20"/>
          <w:szCs w:val="20"/>
          <w:lang w:val="fr-FR"/>
        </w:rPr>
        <w:t>majeurs.</w:t>
      </w:r>
    </w:p>
    <w:p w14:paraId="0DE5F1B8" w14:textId="77777777" w:rsidR="00356695" w:rsidRPr="00383519" w:rsidRDefault="00356695" w:rsidP="00356695">
      <w:pPr>
        <w:numPr>
          <w:ilvl w:val="0"/>
          <w:numId w:val="13"/>
        </w:numPr>
        <w:tabs>
          <w:tab w:val="num" w:pos="284"/>
        </w:tabs>
        <w:spacing w:after="60" w:line="240" w:lineRule="auto"/>
        <w:ind w:left="284" w:hanging="284"/>
        <w:rPr>
          <w:rFonts w:eastAsia="Calibri" w:cs="Arial"/>
          <w:sz w:val="20"/>
          <w:szCs w:val="20"/>
          <w:lang w:val="fr-FR" w:eastAsia="fr-FR"/>
        </w:rPr>
      </w:pPr>
      <w:r w:rsidRPr="00356695">
        <w:rPr>
          <w:rFonts w:eastAsia="Calibri" w:cs="Arial"/>
          <w:sz w:val="20"/>
          <w:szCs w:val="20"/>
          <w:lang w:val="fr-FR" w:eastAsia="fr-FR"/>
        </w:rPr>
        <w:t xml:space="preserve">sur la base d’entretiens et de rencontres avec les </w:t>
      </w:r>
      <w:r w:rsidRPr="00383519">
        <w:rPr>
          <w:rFonts w:eastAsia="Calibri" w:cs="Arial"/>
          <w:sz w:val="20"/>
          <w:szCs w:val="20"/>
          <w:lang w:val="fr-FR" w:eastAsia="fr-FR"/>
        </w:rPr>
        <w:t>acteurs institutionnels notamment le MEADD, les agences des autres bailleurs de fonds engagés dans les domaines directement ou indirectement liés à l’environnement, les personnes ressources indépendantes et les acteurs principaux de la société civile notamment les communautés locales, les ONG environnementales et le secteur privé. La méthodologie choisie, la discussion ouverte guidée par quelques questions clés avec les différents partenaires, permettra l’expression libre des concernés et le recueil des différents points de vue.</w:t>
      </w:r>
    </w:p>
    <w:p w14:paraId="4976E228" w14:textId="77777777" w:rsidR="00356695" w:rsidRPr="00383519" w:rsidRDefault="00356695" w:rsidP="00356695">
      <w:pPr>
        <w:numPr>
          <w:ilvl w:val="0"/>
          <w:numId w:val="13"/>
        </w:numPr>
        <w:tabs>
          <w:tab w:val="num" w:pos="284"/>
        </w:tabs>
        <w:spacing w:after="60" w:line="240" w:lineRule="auto"/>
        <w:ind w:left="284" w:hanging="284"/>
        <w:rPr>
          <w:rFonts w:eastAsia="Calibri" w:cs="Arial"/>
          <w:sz w:val="20"/>
          <w:szCs w:val="20"/>
          <w:lang w:val="fr-FR" w:eastAsia="fr-FR"/>
        </w:rPr>
      </w:pPr>
      <w:r w:rsidRPr="00383519">
        <w:rPr>
          <w:rFonts w:eastAsia="Calibri" w:cs="Arial"/>
          <w:sz w:val="20"/>
          <w:szCs w:val="20"/>
          <w:lang w:val="fr-FR" w:eastAsia="fr-FR"/>
        </w:rPr>
        <w:t>sur la base des visites de terrains sur les sites d’intérêt environnemental majeurs</w:t>
      </w:r>
      <w:r w:rsidRPr="00383519">
        <w:rPr>
          <w:rFonts w:eastAsia="Calibri" w:cs="Arial"/>
          <w:sz w:val="20"/>
          <w:szCs w:val="20"/>
          <w:lang w:val="fr-FR"/>
        </w:rPr>
        <w:t xml:space="preserve"> et des rencontres des acteurs locaux. Un itinéraire provisoire sera présenté par les consultants et discuté avec le MEADD, la DUE et les principaux concernés lors de la réunion de début de mission.</w:t>
      </w:r>
    </w:p>
    <w:p w14:paraId="70CEE8DA" w14:textId="77777777" w:rsidR="00356695" w:rsidRPr="00356695" w:rsidRDefault="00356695" w:rsidP="00356695">
      <w:pPr>
        <w:numPr>
          <w:ilvl w:val="0"/>
          <w:numId w:val="13"/>
        </w:numPr>
        <w:tabs>
          <w:tab w:val="num" w:pos="284"/>
        </w:tabs>
        <w:spacing w:after="60" w:line="240" w:lineRule="auto"/>
        <w:ind w:left="284" w:hanging="284"/>
        <w:rPr>
          <w:rFonts w:eastAsia="Calibri" w:cs="Arial"/>
          <w:sz w:val="20"/>
          <w:szCs w:val="20"/>
          <w:lang w:val="fr-FR" w:eastAsia="fr-FR"/>
        </w:rPr>
      </w:pPr>
      <w:r w:rsidRPr="00383519">
        <w:rPr>
          <w:rFonts w:eastAsia="Calibri" w:cs="Arial"/>
          <w:sz w:val="20"/>
          <w:szCs w:val="20"/>
          <w:lang w:val="fr-FR" w:eastAsia="fr-FR"/>
        </w:rPr>
        <w:t xml:space="preserve">sur la base des résultats des réunions de début et de fin de la mission  avec les principaux acteurs (MEADD et ses </w:t>
      </w:r>
      <w:r w:rsidRPr="00356695">
        <w:rPr>
          <w:rFonts w:eastAsia="Calibri" w:cs="Arial"/>
          <w:sz w:val="20"/>
          <w:szCs w:val="20"/>
          <w:lang w:val="fr-FR" w:eastAsia="fr-FR"/>
        </w:rPr>
        <w:t xml:space="preserve">structures, DUE, chef de file des PTF du groupe Environnement et Changement Climatique, CONFED) </w:t>
      </w:r>
    </w:p>
    <w:p w14:paraId="4CC7E89C" w14:textId="77777777" w:rsidR="00356695" w:rsidRPr="00356695" w:rsidRDefault="00356695" w:rsidP="00356695">
      <w:pPr>
        <w:numPr>
          <w:ilvl w:val="0"/>
          <w:numId w:val="13"/>
        </w:numPr>
        <w:tabs>
          <w:tab w:val="num" w:pos="284"/>
        </w:tabs>
        <w:spacing w:after="60" w:line="240" w:lineRule="auto"/>
        <w:ind w:left="284" w:hanging="284"/>
        <w:rPr>
          <w:rFonts w:eastAsia="Calibri" w:cs="Arial"/>
          <w:sz w:val="20"/>
          <w:szCs w:val="20"/>
          <w:lang w:val="fr-FR" w:eastAsia="fr-FR"/>
        </w:rPr>
      </w:pPr>
      <w:r w:rsidRPr="00356695">
        <w:rPr>
          <w:rFonts w:eastAsia="Calibri" w:cs="Arial"/>
          <w:sz w:val="20"/>
          <w:szCs w:val="20"/>
          <w:lang w:val="fr-FR" w:eastAsia="fr-FR"/>
        </w:rPr>
        <w:t xml:space="preserve">sur  la base d’un atelier de restitution du rapport provisoire auprès des autorités nationales et des représentants des bailleurs de fonds et de la société civile. La discussion et l’appropriation des conclusions et recommandations de la mission au niveau des acteurs </w:t>
      </w:r>
      <w:r w:rsidRPr="00383519">
        <w:rPr>
          <w:rFonts w:eastAsia="Calibri" w:cs="Arial"/>
          <w:sz w:val="20"/>
          <w:szCs w:val="20"/>
          <w:lang w:val="fr-FR" w:eastAsia="fr-FR"/>
        </w:rPr>
        <w:t>nationaux est un élément clé à dégager un consensus sur les questions environnementales et les réponses adaptées dans le contexte actuel du pays</w:t>
      </w:r>
      <w:r w:rsidRPr="00356695">
        <w:rPr>
          <w:rFonts w:eastAsia="Calibri" w:cs="Arial"/>
          <w:sz w:val="20"/>
          <w:szCs w:val="20"/>
          <w:lang w:val="fr-FR" w:eastAsia="fr-FR"/>
        </w:rPr>
        <w:t>.</w:t>
      </w:r>
    </w:p>
    <w:p w14:paraId="2C33746D" w14:textId="77777777" w:rsidR="00356695" w:rsidRPr="00356695" w:rsidRDefault="00356695" w:rsidP="00356695">
      <w:pPr>
        <w:rPr>
          <w:lang w:val="fr-FR" w:eastAsia="fr-FR"/>
        </w:rPr>
      </w:pPr>
      <w:r w:rsidRPr="00356695">
        <w:rPr>
          <w:rFonts w:eastAsia="Calibri" w:cs="Arial"/>
          <w:sz w:val="20"/>
          <w:szCs w:val="20"/>
          <w:lang w:val="fr-FR" w:eastAsia="fr-FR"/>
        </w:rPr>
        <w:t>La mission appliquera une approche participative en utilisant des interviews semi – structurés, des questionnaires, des analyses SEPO, … dans le but d’obtenir les points de vue des différents acteurs aux niveaux central et  local.</w:t>
      </w:r>
    </w:p>
    <w:p w14:paraId="4D064593" w14:textId="77777777" w:rsidR="008674EE" w:rsidRDefault="008674EE" w:rsidP="00770DD7">
      <w:pPr>
        <w:pStyle w:val="Titre2"/>
        <w:rPr>
          <w:lang w:eastAsia="fr-FR"/>
        </w:rPr>
        <w:sectPr w:rsidR="008674EE" w:rsidSect="00904168">
          <w:pgSz w:w="11906" w:h="16838"/>
          <w:pgMar w:top="1021" w:right="851" w:bottom="1021" w:left="1021" w:header="709" w:footer="709" w:gutter="0"/>
          <w:cols w:space="708"/>
          <w:docGrid w:linePitch="360"/>
        </w:sectPr>
      </w:pPr>
    </w:p>
    <w:p w14:paraId="04A7F94A" w14:textId="77777777" w:rsidR="00282133" w:rsidRPr="000806D2" w:rsidRDefault="003B087C" w:rsidP="00770DD7">
      <w:pPr>
        <w:pStyle w:val="Titre2"/>
        <w:rPr>
          <w:lang w:eastAsia="fr-FR"/>
        </w:rPr>
      </w:pPr>
      <w:bookmarkStart w:id="144" w:name="_Toc393900327"/>
      <w:bookmarkStart w:id="145" w:name="_Toc20505719"/>
      <w:r w:rsidRPr="00BA1CEF">
        <w:rPr>
          <w:lang w:eastAsia="fr-FR"/>
        </w:rPr>
        <w:lastRenderedPageBreak/>
        <w:t>8</w:t>
      </w:r>
      <w:r w:rsidR="00E87B53" w:rsidRPr="00BA1CEF">
        <w:rPr>
          <w:lang w:eastAsia="fr-FR"/>
        </w:rPr>
        <w:t>.2</w:t>
      </w:r>
      <w:r w:rsidR="00282133" w:rsidRPr="00BA1CEF">
        <w:rPr>
          <w:lang w:eastAsia="fr-FR"/>
        </w:rPr>
        <w:t xml:space="preserve"> Programme et calendrier de la missio</w:t>
      </w:r>
      <w:r w:rsidR="008674EE" w:rsidRPr="00BA1CEF">
        <w:rPr>
          <w:lang w:eastAsia="fr-FR"/>
        </w:rPr>
        <w:t>n</w:t>
      </w:r>
      <w:bookmarkEnd w:id="144"/>
      <w:bookmarkEnd w:id="145"/>
    </w:p>
    <w:tbl>
      <w:tblPr>
        <w:tblStyle w:val="Tabellenraster1"/>
        <w:tblW w:w="0" w:type="auto"/>
        <w:tblLook w:val="01E0" w:firstRow="1" w:lastRow="1" w:firstColumn="1" w:lastColumn="1" w:noHBand="0" w:noVBand="0"/>
      </w:tblPr>
      <w:tblGrid>
        <w:gridCol w:w="1242"/>
        <w:gridCol w:w="8046"/>
      </w:tblGrid>
      <w:tr w:rsidR="00797A1E" w:rsidRPr="00266ECA" w14:paraId="25B71A27" w14:textId="77777777" w:rsidTr="00A56F48">
        <w:trPr>
          <w:tblHeader/>
        </w:trPr>
        <w:tc>
          <w:tcPr>
            <w:tcW w:w="1242" w:type="dxa"/>
            <w:tcBorders>
              <w:bottom w:val="single" w:sz="4" w:space="0" w:color="auto"/>
            </w:tcBorders>
            <w:shd w:val="clear" w:color="auto" w:fill="CCCCCC"/>
            <w:vAlign w:val="center"/>
          </w:tcPr>
          <w:p w14:paraId="3B133A0A" w14:textId="77777777" w:rsidR="00797A1E" w:rsidRDefault="00797A1E" w:rsidP="00DC2FD7">
            <w:pPr>
              <w:spacing w:after="0" w:line="240" w:lineRule="auto"/>
              <w:rPr>
                <w:rFonts w:eastAsia="Calibri" w:cs="Arial"/>
                <w:b/>
                <w:lang w:val="fr-FR" w:eastAsia="fr-FR"/>
              </w:rPr>
            </w:pPr>
            <w:r w:rsidRPr="00266ECA">
              <w:rPr>
                <w:rFonts w:eastAsia="Calibri" w:cs="Arial"/>
                <w:b/>
                <w:lang w:val="fr-FR" w:eastAsia="fr-FR"/>
              </w:rPr>
              <w:t xml:space="preserve">DATE </w:t>
            </w:r>
          </w:p>
          <w:p w14:paraId="6BA66746" w14:textId="77777777" w:rsidR="00797A1E" w:rsidRPr="00266ECA" w:rsidRDefault="00797A1E" w:rsidP="00DC2FD7">
            <w:pPr>
              <w:spacing w:after="0" w:line="240" w:lineRule="auto"/>
              <w:rPr>
                <w:rFonts w:eastAsia="Calibri" w:cs="Arial"/>
                <w:lang w:val="fr-FR" w:eastAsia="fr-FR"/>
              </w:rPr>
            </w:pPr>
            <w:r w:rsidRPr="00266ECA">
              <w:rPr>
                <w:rFonts w:eastAsia="Calibri" w:cs="Arial"/>
                <w:b/>
                <w:lang w:val="fr-FR" w:eastAsia="fr-FR"/>
              </w:rPr>
              <w:t>(</w:t>
            </w:r>
            <w:r>
              <w:rPr>
                <w:rFonts w:eastAsia="Calibri" w:cs="Arial"/>
                <w:b/>
                <w:lang w:val="fr-FR" w:eastAsia="fr-FR"/>
              </w:rPr>
              <w:t>9/ 2018</w:t>
            </w:r>
            <w:r w:rsidRPr="00266ECA">
              <w:rPr>
                <w:rFonts w:eastAsia="Calibri" w:cs="Arial"/>
                <w:b/>
                <w:lang w:val="fr-FR" w:eastAsia="fr-FR"/>
              </w:rPr>
              <w:t>)</w:t>
            </w:r>
          </w:p>
        </w:tc>
        <w:tc>
          <w:tcPr>
            <w:tcW w:w="8046" w:type="dxa"/>
            <w:shd w:val="clear" w:color="auto" w:fill="CCCCCC"/>
            <w:vAlign w:val="center"/>
          </w:tcPr>
          <w:p w14:paraId="69D4D9DE" w14:textId="77777777" w:rsidR="00797A1E" w:rsidRPr="00266ECA" w:rsidRDefault="00797A1E" w:rsidP="00DC2FD7">
            <w:pPr>
              <w:spacing w:after="0" w:line="240" w:lineRule="auto"/>
              <w:jc w:val="center"/>
              <w:rPr>
                <w:rFonts w:eastAsia="Calibri" w:cs="Arial"/>
                <w:b/>
                <w:bCs/>
                <w:lang w:val="fr-FR" w:eastAsia="fr-FR"/>
              </w:rPr>
            </w:pPr>
            <w:r w:rsidRPr="00266ECA">
              <w:rPr>
                <w:rFonts w:eastAsia="Calibri" w:cs="Arial"/>
                <w:b/>
                <w:bCs/>
                <w:lang w:val="fr-FR" w:eastAsia="fr-FR"/>
              </w:rPr>
              <w:t xml:space="preserve">ACTIVITES </w:t>
            </w:r>
          </w:p>
        </w:tc>
      </w:tr>
      <w:tr w:rsidR="00797A1E" w:rsidRPr="004B3056" w14:paraId="32D24DBF" w14:textId="77777777" w:rsidTr="00A56F48">
        <w:tc>
          <w:tcPr>
            <w:tcW w:w="1242" w:type="dxa"/>
            <w:shd w:val="clear" w:color="auto" w:fill="E0E0E0"/>
            <w:vAlign w:val="center"/>
          </w:tcPr>
          <w:p w14:paraId="7C731159" w14:textId="77777777" w:rsidR="00797A1E" w:rsidRPr="004B3056" w:rsidRDefault="00797A1E" w:rsidP="00DC2FD7">
            <w:pPr>
              <w:spacing w:after="0" w:line="240" w:lineRule="auto"/>
              <w:rPr>
                <w:rFonts w:eastAsia="Calibri" w:cs="Arial"/>
                <w:lang w:val="fr-FR" w:eastAsia="fr-FR"/>
              </w:rPr>
            </w:pPr>
            <w:r w:rsidRPr="004B3056">
              <w:rPr>
                <w:rFonts w:eastAsia="Calibri" w:cs="Arial"/>
                <w:lang w:val="fr-FR" w:eastAsia="fr-FR"/>
              </w:rPr>
              <w:t>Dim 2.9.</w:t>
            </w:r>
          </w:p>
        </w:tc>
        <w:tc>
          <w:tcPr>
            <w:tcW w:w="8046" w:type="dxa"/>
          </w:tcPr>
          <w:p w14:paraId="656D7299" w14:textId="77777777" w:rsidR="00797A1E" w:rsidRPr="004B3056" w:rsidRDefault="00797A1E" w:rsidP="00DC2FD7">
            <w:pPr>
              <w:spacing w:after="0" w:line="240" w:lineRule="auto"/>
              <w:rPr>
                <w:rFonts w:cs="Arial"/>
              </w:rPr>
            </w:pPr>
            <w:r w:rsidRPr="004B3056">
              <w:rPr>
                <w:rFonts w:eastAsia="Calibri" w:cs="Arial"/>
                <w:lang w:val="fr-FR" w:eastAsia="fr-FR"/>
              </w:rPr>
              <w:t>Voyage Paris – Bamako</w:t>
            </w:r>
          </w:p>
        </w:tc>
      </w:tr>
      <w:tr w:rsidR="00797A1E" w:rsidRPr="004B3056" w14:paraId="7CCF1D59" w14:textId="77777777" w:rsidTr="00A56F48">
        <w:tc>
          <w:tcPr>
            <w:tcW w:w="1242" w:type="dxa"/>
            <w:vAlign w:val="center"/>
          </w:tcPr>
          <w:p w14:paraId="48FD5D05" w14:textId="77777777" w:rsidR="00797A1E" w:rsidRPr="004B3056" w:rsidRDefault="00797A1E" w:rsidP="00DC2FD7">
            <w:pPr>
              <w:spacing w:after="0" w:line="240" w:lineRule="auto"/>
              <w:rPr>
                <w:rFonts w:eastAsia="Calibri" w:cs="Arial"/>
                <w:lang w:val="fr-FR" w:eastAsia="fr-FR"/>
              </w:rPr>
            </w:pPr>
            <w:r w:rsidRPr="004B3056">
              <w:rPr>
                <w:rFonts w:eastAsia="Calibri" w:cs="Arial"/>
                <w:lang w:val="fr-FR" w:eastAsia="fr-FR"/>
              </w:rPr>
              <w:t>Lun 3.9.</w:t>
            </w:r>
          </w:p>
        </w:tc>
        <w:tc>
          <w:tcPr>
            <w:tcW w:w="8046" w:type="dxa"/>
          </w:tcPr>
          <w:p w14:paraId="3AE67158" w14:textId="77777777" w:rsidR="00797A1E" w:rsidRPr="004B3056" w:rsidRDefault="00797A1E" w:rsidP="00DC2FD7">
            <w:pPr>
              <w:spacing w:after="0" w:line="240" w:lineRule="auto"/>
              <w:rPr>
                <w:rFonts w:eastAsia="Calibri" w:cs="Arial"/>
                <w:lang w:val="fr-FR" w:eastAsia="fr-FR"/>
              </w:rPr>
            </w:pPr>
            <w:r w:rsidRPr="004B3056">
              <w:rPr>
                <w:rFonts w:eastAsia="Calibri" w:cs="Arial"/>
                <w:lang w:val="fr-FR" w:eastAsia="fr-FR"/>
              </w:rPr>
              <w:t>Réunion de démarrage à la DUE ; rencontre des chargés à DUE de programmes Transports &amp; Energie, développement rural/irrigation, projet anacardes</w:t>
            </w:r>
          </w:p>
          <w:p w14:paraId="3596FF5B" w14:textId="77777777" w:rsidR="00797A1E" w:rsidRPr="004B3056" w:rsidRDefault="00797A1E" w:rsidP="00DC2FD7">
            <w:pPr>
              <w:spacing w:after="0" w:line="240" w:lineRule="auto"/>
              <w:rPr>
                <w:rFonts w:cs="Arial"/>
                <w:lang w:val="fr-FR"/>
              </w:rPr>
            </w:pPr>
            <w:r w:rsidRPr="004B3056">
              <w:rPr>
                <w:rFonts w:eastAsia="Calibri" w:cs="Arial"/>
                <w:lang w:val="fr-FR" w:eastAsia="fr-FR"/>
              </w:rPr>
              <w:t>Rencontre INSTAT</w:t>
            </w:r>
          </w:p>
        </w:tc>
      </w:tr>
      <w:tr w:rsidR="00797A1E" w:rsidRPr="004B3056" w14:paraId="3993E433" w14:textId="77777777" w:rsidTr="00A56F48">
        <w:tc>
          <w:tcPr>
            <w:tcW w:w="1242" w:type="dxa"/>
            <w:vAlign w:val="center"/>
          </w:tcPr>
          <w:p w14:paraId="30A5D0A0" w14:textId="77777777" w:rsidR="00797A1E" w:rsidRPr="004B3056" w:rsidRDefault="00797A1E" w:rsidP="00DC2FD7">
            <w:pPr>
              <w:spacing w:after="0" w:line="240" w:lineRule="auto"/>
              <w:rPr>
                <w:rFonts w:cs="Arial"/>
                <w:lang w:val="fr-FR" w:eastAsia="fr-FR"/>
              </w:rPr>
            </w:pPr>
            <w:r w:rsidRPr="004B3056">
              <w:rPr>
                <w:rFonts w:cs="Arial"/>
                <w:lang w:val="fr-FR" w:eastAsia="fr-FR"/>
              </w:rPr>
              <w:t>Mar 4.9</w:t>
            </w:r>
          </w:p>
        </w:tc>
        <w:tc>
          <w:tcPr>
            <w:tcW w:w="8046" w:type="dxa"/>
          </w:tcPr>
          <w:p w14:paraId="6441562D" w14:textId="77777777" w:rsidR="00797A1E" w:rsidRPr="004B3056" w:rsidRDefault="00797A1E" w:rsidP="00DC2FD7">
            <w:pPr>
              <w:spacing w:after="0" w:line="240" w:lineRule="auto"/>
              <w:rPr>
                <w:rFonts w:cs="Arial"/>
                <w:lang w:val="fr-FR" w:eastAsia="fr-FR"/>
              </w:rPr>
            </w:pPr>
            <w:r w:rsidRPr="004B3056">
              <w:rPr>
                <w:rFonts w:cs="Arial"/>
                <w:lang w:val="fr-FR" w:eastAsia="fr-FR"/>
              </w:rPr>
              <w:t>9h rencontre AEDD, organisation des rencontres</w:t>
            </w:r>
          </w:p>
        </w:tc>
      </w:tr>
      <w:tr w:rsidR="00797A1E" w:rsidRPr="004B3056" w14:paraId="27B48075" w14:textId="77777777" w:rsidTr="00A56F48">
        <w:tc>
          <w:tcPr>
            <w:tcW w:w="1242" w:type="dxa"/>
            <w:vAlign w:val="center"/>
          </w:tcPr>
          <w:p w14:paraId="79A648EC" w14:textId="77777777" w:rsidR="00797A1E" w:rsidRPr="004B3056" w:rsidRDefault="00797A1E" w:rsidP="00DC2FD7">
            <w:pPr>
              <w:spacing w:after="0" w:line="240" w:lineRule="auto"/>
              <w:rPr>
                <w:rFonts w:cs="Arial"/>
                <w:lang w:val="fr-FR" w:eastAsia="fr-FR"/>
              </w:rPr>
            </w:pPr>
            <w:r w:rsidRPr="004B3056">
              <w:rPr>
                <w:rFonts w:cs="Arial"/>
                <w:lang w:val="fr-FR" w:eastAsia="fr-FR"/>
              </w:rPr>
              <w:t>Mer 5.9.</w:t>
            </w:r>
          </w:p>
        </w:tc>
        <w:tc>
          <w:tcPr>
            <w:tcW w:w="8046" w:type="dxa"/>
          </w:tcPr>
          <w:p w14:paraId="7B48821D" w14:textId="77777777" w:rsidR="00797A1E" w:rsidRPr="004B3056" w:rsidRDefault="00797A1E" w:rsidP="00DC2FD7">
            <w:pPr>
              <w:spacing w:after="0" w:line="240" w:lineRule="auto"/>
              <w:rPr>
                <w:rFonts w:cs="Arial"/>
                <w:lang w:val="fr-FR" w:eastAsia="fr-FR"/>
              </w:rPr>
            </w:pPr>
            <w:r w:rsidRPr="004B3056">
              <w:rPr>
                <w:rFonts w:cs="Arial"/>
                <w:lang w:val="fr-FR" w:eastAsia="fr-FR"/>
              </w:rPr>
              <w:t>Rencontres ENABEL, DNH (GIRE), AMADER, GIZ</w:t>
            </w:r>
          </w:p>
        </w:tc>
      </w:tr>
      <w:tr w:rsidR="00797A1E" w:rsidRPr="004B3056" w14:paraId="46A8B9B5" w14:textId="77777777" w:rsidTr="00A56F48">
        <w:tc>
          <w:tcPr>
            <w:tcW w:w="1242" w:type="dxa"/>
            <w:tcBorders>
              <w:bottom w:val="single" w:sz="4" w:space="0" w:color="auto"/>
            </w:tcBorders>
            <w:vAlign w:val="center"/>
          </w:tcPr>
          <w:p w14:paraId="52B0CDF6" w14:textId="77777777" w:rsidR="00797A1E" w:rsidRPr="004B3056" w:rsidRDefault="00797A1E" w:rsidP="00DC2FD7">
            <w:pPr>
              <w:spacing w:after="0" w:line="240" w:lineRule="auto"/>
              <w:rPr>
                <w:rFonts w:cs="Arial"/>
                <w:lang w:val="fr-FR" w:eastAsia="fr-FR"/>
              </w:rPr>
            </w:pPr>
            <w:r w:rsidRPr="004B3056">
              <w:rPr>
                <w:rFonts w:cs="Arial"/>
                <w:lang w:val="fr-FR" w:eastAsia="fr-FR"/>
              </w:rPr>
              <w:t>Jeu 6.9</w:t>
            </w:r>
          </w:p>
        </w:tc>
        <w:tc>
          <w:tcPr>
            <w:tcW w:w="8046" w:type="dxa"/>
          </w:tcPr>
          <w:p w14:paraId="63DA3ED1" w14:textId="77777777" w:rsidR="00797A1E" w:rsidRPr="004B3056" w:rsidRDefault="00797A1E" w:rsidP="00DC2FD7">
            <w:pPr>
              <w:spacing w:after="0" w:line="240" w:lineRule="auto"/>
              <w:rPr>
                <w:rFonts w:cs="Arial"/>
                <w:lang w:val="fr-FR" w:eastAsia="fr-FR"/>
              </w:rPr>
            </w:pPr>
            <w:r w:rsidRPr="004B3056">
              <w:rPr>
                <w:rFonts w:cs="Arial"/>
                <w:lang w:val="fr-FR" w:eastAsia="fr-FR"/>
              </w:rPr>
              <w:t>Rencontres CREDD, DUE, ASDI, PNUD, DNACPN</w:t>
            </w:r>
          </w:p>
        </w:tc>
      </w:tr>
      <w:tr w:rsidR="00797A1E" w:rsidRPr="004B3056" w14:paraId="3BA9EB48" w14:textId="77777777" w:rsidTr="00A56F48">
        <w:tc>
          <w:tcPr>
            <w:tcW w:w="1242" w:type="dxa"/>
            <w:shd w:val="clear" w:color="auto" w:fill="FFFFFF" w:themeFill="background1"/>
            <w:vAlign w:val="center"/>
          </w:tcPr>
          <w:p w14:paraId="51E9302A" w14:textId="77777777" w:rsidR="00797A1E" w:rsidRPr="004B3056" w:rsidRDefault="00797A1E" w:rsidP="00DC2FD7">
            <w:pPr>
              <w:spacing w:after="0" w:line="240" w:lineRule="auto"/>
              <w:rPr>
                <w:rFonts w:cs="Arial"/>
                <w:lang w:val="fr-FR" w:eastAsia="fr-FR"/>
              </w:rPr>
            </w:pPr>
            <w:r w:rsidRPr="004B3056">
              <w:rPr>
                <w:rFonts w:cs="Arial"/>
                <w:lang w:val="fr-FR" w:eastAsia="fr-FR"/>
              </w:rPr>
              <w:t>Ven 7.9.</w:t>
            </w:r>
          </w:p>
        </w:tc>
        <w:tc>
          <w:tcPr>
            <w:tcW w:w="8046" w:type="dxa"/>
          </w:tcPr>
          <w:p w14:paraId="79E9AC2C" w14:textId="77777777" w:rsidR="00797A1E" w:rsidRPr="004B3056" w:rsidRDefault="00797A1E" w:rsidP="00DC2FD7">
            <w:pPr>
              <w:spacing w:after="0" w:line="240" w:lineRule="auto"/>
              <w:rPr>
                <w:rFonts w:cs="Arial"/>
                <w:lang w:val="fr-FR" w:eastAsia="fr-FR"/>
              </w:rPr>
            </w:pPr>
            <w:r w:rsidRPr="004B3056">
              <w:rPr>
                <w:rFonts w:cs="Arial"/>
                <w:lang w:val="fr-FR" w:eastAsia="fr-FR"/>
              </w:rPr>
              <w:t>Rencontres ABFN, DN Pêche</w:t>
            </w:r>
          </w:p>
          <w:p w14:paraId="147F09ED" w14:textId="77777777" w:rsidR="00797A1E" w:rsidRPr="004B3056" w:rsidRDefault="00797A1E" w:rsidP="00DC2FD7">
            <w:pPr>
              <w:spacing w:after="0" w:line="240" w:lineRule="auto"/>
              <w:rPr>
                <w:rFonts w:cs="Arial"/>
                <w:lang w:val="fr-FR" w:eastAsia="fr-FR"/>
              </w:rPr>
            </w:pPr>
            <w:r w:rsidRPr="004B3056">
              <w:rPr>
                <w:rFonts w:cs="Arial"/>
                <w:lang w:val="fr-FR" w:eastAsia="fr-FR"/>
              </w:rPr>
              <w:t>Rédaction aide-mémoire de démarrage</w:t>
            </w:r>
          </w:p>
          <w:p w14:paraId="68AC78FA" w14:textId="77777777" w:rsidR="00797A1E" w:rsidRPr="004B3056" w:rsidRDefault="00797A1E" w:rsidP="00DC2FD7">
            <w:pPr>
              <w:spacing w:after="0" w:line="240" w:lineRule="auto"/>
              <w:rPr>
                <w:rFonts w:cs="Arial"/>
                <w:lang w:val="fr-FR" w:eastAsia="fr-FR"/>
              </w:rPr>
            </w:pPr>
            <w:r w:rsidRPr="004B3056">
              <w:rPr>
                <w:rFonts w:cs="Arial"/>
                <w:lang w:val="fr-FR" w:eastAsia="fr-FR"/>
              </w:rPr>
              <w:t>Prise de contacts et des RDV (2</w:t>
            </w:r>
            <w:r w:rsidRPr="004B3056">
              <w:rPr>
                <w:rFonts w:cs="Arial"/>
                <w:vertAlign w:val="superscript"/>
                <w:lang w:val="fr-FR" w:eastAsia="fr-FR"/>
              </w:rPr>
              <w:t>ème</w:t>
            </w:r>
            <w:r w:rsidRPr="004B3056">
              <w:rPr>
                <w:rFonts w:cs="Arial"/>
                <w:lang w:val="fr-FR" w:eastAsia="fr-FR"/>
              </w:rPr>
              <w:t xml:space="preserve"> semaine)</w:t>
            </w:r>
          </w:p>
        </w:tc>
      </w:tr>
      <w:tr w:rsidR="00797A1E" w:rsidRPr="004B3056" w14:paraId="60FCC5FF" w14:textId="77777777" w:rsidTr="00A56F48">
        <w:tc>
          <w:tcPr>
            <w:tcW w:w="1242" w:type="dxa"/>
            <w:shd w:val="clear" w:color="auto" w:fill="FFFFFF" w:themeFill="background1"/>
            <w:vAlign w:val="center"/>
          </w:tcPr>
          <w:p w14:paraId="00B4088B" w14:textId="77777777" w:rsidR="00797A1E" w:rsidRPr="004B3056" w:rsidRDefault="00797A1E" w:rsidP="00DC2FD7">
            <w:pPr>
              <w:spacing w:after="0" w:line="240" w:lineRule="auto"/>
              <w:rPr>
                <w:rFonts w:cs="Arial"/>
                <w:lang w:val="fr-FR" w:eastAsia="fr-FR"/>
              </w:rPr>
            </w:pPr>
            <w:r w:rsidRPr="004B3056">
              <w:rPr>
                <w:rFonts w:cs="Arial"/>
                <w:lang w:val="fr-FR" w:eastAsia="fr-FR"/>
              </w:rPr>
              <w:t>Sam 8.9.</w:t>
            </w:r>
          </w:p>
        </w:tc>
        <w:tc>
          <w:tcPr>
            <w:tcW w:w="8046" w:type="dxa"/>
          </w:tcPr>
          <w:p w14:paraId="15B878BE" w14:textId="77777777" w:rsidR="00797A1E" w:rsidRPr="004B3056" w:rsidRDefault="00797A1E" w:rsidP="00DC2FD7">
            <w:pPr>
              <w:spacing w:after="0" w:line="240" w:lineRule="auto"/>
              <w:rPr>
                <w:rFonts w:cs="Arial"/>
                <w:lang w:val="fr-FR" w:eastAsia="fr-FR"/>
              </w:rPr>
            </w:pPr>
            <w:r w:rsidRPr="004B3056">
              <w:rPr>
                <w:rFonts w:cs="Arial"/>
                <w:lang w:val="fr-FR" w:eastAsia="fr-FR"/>
              </w:rPr>
              <w:t>Elaboration du programme de la visite du terrain, analyse des documents disponibles, revue des indicateurs de la performance environnementale</w:t>
            </w:r>
          </w:p>
        </w:tc>
      </w:tr>
      <w:tr w:rsidR="00797A1E" w:rsidRPr="004B3056" w14:paraId="0B4E6471" w14:textId="77777777" w:rsidTr="00A56F48">
        <w:tc>
          <w:tcPr>
            <w:tcW w:w="1242" w:type="dxa"/>
            <w:shd w:val="clear" w:color="auto" w:fill="E0E0E0"/>
            <w:vAlign w:val="center"/>
          </w:tcPr>
          <w:p w14:paraId="5C44BD16" w14:textId="77777777" w:rsidR="00797A1E" w:rsidRPr="004B3056" w:rsidRDefault="00797A1E" w:rsidP="00DC2FD7">
            <w:pPr>
              <w:spacing w:after="0" w:line="240" w:lineRule="auto"/>
              <w:rPr>
                <w:rFonts w:cs="Arial"/>
                <w:lang w:val="fr-FR" w:eastAsia="fr-FR"/>
              </w:rPr>
            </w:pPr>
            <w:r w:rsidRPr="004B3056">
              <w:rPr>
                <w:rFonts w:cs="Arial"/>
                <w:lang w:val="fr-FR" w:eastAsia="fr-FR"/>
              </w:rPr>
              <w:t>Dim 9.9.</w:t>
            </w:r>
          </w:p>
        </w:tc>
        <w:tc>
          <w:tcPr>
            <w:tcW w:w="8046" w:type="dxa"/>
          </w:tcPr>
          <w:p w14:paraId="5416D74C" w14:textId="77777777" w:rsidR="00797A1E" w:rsidRPr="004B3056" w:rsidRDefault="00797A1E" w:rsidP="00DC2FD7">
            <w:pPr>
              <w:spacing w:after="0" w:line="240" w:lineRule="auto"/>
              <w:rPr>
                <w:rFonts w:cs="Arial"/>
                <w:lang w:val="fr-FR" w:eastAsia="fr-FR"/>
              </w:rPr>
            </w:pPr>
            <w:r w:rsidRPr="004B3056">
              <w:rPr>
                <w:rFonts w:cs="Arial"/>
                <w:lang w:val="fr-FR" w:eastAsia="fr-FR"/>
              </w:rPr>
              <w:t>Analyse des documents et informations disponibles</w:t>
            </w:r>
          </w:p>
        </w:tc>
      </w:tr>
      <w:tr w:rsidR="00797A1E" w:rsidRPr="004B3056" w14:paraId="154764A0" w14:textId="77777777" w:rsidTr="00A56F48">
        <w:tc>
          <w:tcPr>
            <w:tcW w:w="1242" w:type="dxa"/>
            <w:vAlign w:val="center"/>
          </w:tcPr>
          <w:p w14:paraId="596FF0C1" w14:textId="77777777" w:rsidR="00797A1E" w:rsidRPr="004B3056" w:rsidRDefault="00797A1E" w:rsidP="00DC2FD7">
            <w:pPr>
              <w:spacing w:after="0" w:line="240" w:lineRule="auto"/>
              <w:rPr>
                <w:rFonts w:cs="Arial"/>
                <w:lang w:val="fr-FR" w:eastAsia="fr-FR"/>
              </w:rPr>
            </w:pPr>
            <w:r w:rsidRPr="004B3056">
              <w:rPr>
                <w:rFonts w:cs="Arial"/>
                <w:lang w:val="fr-FR" w:eastAsia="fr-FR"/>
              </w:rPr>
              <w:t>Lun 10.9</w:t>
            </w:r>
          </w:p>
        </w:tc>
        <w:tc>
          <w:tcPr>
            <w:tcW w:w="8046" w:type="dxa"/>
          </w:tcPr>
          <w:p w14:paraId="367414AC" w14:textId="77777777" w:rsidR="00797A1E" w:rsidRPr="004B3056" w:rsidRDefault="00797A1E" w:rsidP="00DC2FD7">
            <w:pPr>
              <w:spacing w:after="0" w:line="240" w:lineRule="auto"/>
              <w:rPr>
                <w:rFonts w:cs="Arial"/>
                <w:lang w:val="fr-FR" w:eastAsia="fr-FR"/>
              </w:rPr>
            </w:pPr>
            <w:r w:rsidRPr="004B3056">
              <w:rPr>
                <w:rFonts w:cs="Arial"/>
                <w:lang w:val="fr-FR" w:eastAsia="fr-FR"/>
              </w:rPr>
              <w:t>Rencontres DNA, District de Bamako, ANICT</w:t>
            </w:r>
          </w:p>
          <w:p w14:paraId="1E49EE4B" w14:textId="77777777" w:rsidR="00797A1E" w:rsidRPr="004B3056" w:rsidRDefault="00797A1E" w:rsidP="00DC2FD7">
            <w:pPr>
              <w:spacing w:after="0" w:line="240" w:lineRule="auto"/>
              <w:rPr>
                <w:rFonts w:cs="Arial"/>
                <w:lang w:val="fr-FR" w:eastAsia="fr-FR"/>
              </w:rPr>
            </w:pPr>
            <w:r w:rsidRPr="004B3056">
              <w:rPr>
                <w:rFonts w:cs="Arial"/>
                <w:lang w:val="fr-FR" w:eastAsia="fr-FR"/>
              </w:rPr>
              <w:t>Réunion de cadrage AEDD avec ses points focaux des autres structures</w:t>
            </w:r>
          </w:p>
        </w:tc>
      </w:tr>
      <w:tr w:rsidR="00797A1E" w:rsidRPr="004B3056" w14:paraId="02F4FF9D" w14:textId="77777777" w:rsidTr="00A56F48">
        <w:tc>
          <w:tcPr>
            <w:tcW w:w="1242" w:type="dxa"/>
            <w:vAlign w:val="center"/>
          </w:tcPr>
          <w:p w14:paraId="6EEC1C7F" w14:textId="77777777" w:rsidR="00797A1E" w:rsidRPr="004B3056" w:rsidRDefault="00797A1E" w:rsidP="00DC2FD7">
            <w:pPr>
              <w:spacing w:after="0" w:line="240" w:lineRule="auto"/>
              <w:rPr>
                <w:rFonts w:eastAsia="Calibri" w:cs="Arial"/>
                <w:lang w:val="fr-FR" w:eastAsia="fr-FR"/>
              </w:rPr>
            </w:pPr>
            <w:r w:rsidRPr="004B3056">
              <w:rPr>
                <w:rFonts w:eastAsia="Calibri" w:cs="Arial"/>
                <w:lang w:val="fr-FR" w:eastAsia="fr-FR"/>
              </w:rPr>
              <w:t>Mar 11.9.</w:t>
            </w:r>
          </w:p>
        </w:tc>
        <w:tc>
          <w:tcPr>
            <w:tcW w:w="8046" w:type="dxa"/>
          </w:tcPr>
          <w:p w14:paraId="730E3430" w14:textId="77777777" w:rsidR="00797A1E" w:rsidRPr="004B3056" w:rsidRDefault="00797A1E" w:rsidP="00DC2FD7">
            <w:pPr>
              <w:spacing w:after="0" w:line="240" w:lineRule="auto"/>
              <w:rPr>
                <w:rFonts w:eastAsia="Calibri" w:cs="Arial"/>
                <w:lang w:val="fr-FR" w:eastAsia="fr-FR"/>
              </w:rPr>
            </w:pPr>
            <w:r w:rsidRPr="004B3056">
              <w:rPr>
                <w:rFonts w:eastAsia="Calibri" w:cs="Arial"/>
                <w:lang w:val="fr-FR" w:eastAsia="fr-FR"/>
              </w:rPr>
              <w:t xml:space="preserve">Rencontres : SNV, CT MAEDD chargé de l’exploitation minière </w:t>
            </w:r>
          </w:p>
        </w:tc>
      </w:tr>
      <w:tr w:rsidR="00797A1E" w:rsidRPr="004B3056" w14:paraId="08AD2D14" w14:textId="77777777" w:rsidTr="00A56F48">
        <w:tc>
          <w:tcPr>
            <w:tcW w:w="1242" w:type="dxa"/>
            <w:vAlign w:val="center"/>
          </w:tcPr>
          <w:p w14:paraId="0BFEEC5A" w14:textId="77777777" w:rsidR="00797A1E" w:rsidRPr="004B3056" w:rsidRDefault="00797A1E" w:rsidP="00DC2FD7">
            <w:pPr>
              <w:spacing w:after="0" w:line="240" w:lineRule="auto"/>
              <w:rPr>
                <w:rFonts w:eastAsia="Calibri" w:cs="Arial"/>
                <w:lang w:val="fr-FR" w:eastAsia="fr-FR"/>
              </w:rPr>
            </w:pPr>
            <w:r w:rsidRPr="004B3056">
              <w:rPr>
                <w:rFonts w:eastAsia="Calibri" w:cs="Arial"/>
                <w:lang w:val="fr-FR" w:eastAsia="fr-FR"/>
              </w:rPr>
              <w:t>Mer 12.9.</w:t>
            </w:r>
          </w:p>
        </w:tc>
        <w:tc>
          <w:tcPr>
            <w:tcW w:w="8046" w:type="dxa"/>
          </w:tcPr>
          <w:p w14:paraId="4DBDE2A8" w14:textId="77777777" w:rsidR="00797A1E" w:rsidRPr="004B3056" w:rsidRDefault="00797A1E" w:rsidP="00DC2FD7">
            <w:pPr>
              <w:spacing w:after="0" w:line="240" w:lineRule="auto"/>
              <w:rPr>
                <w:rFonts w:eastAsia="Calibri" w:cs="Arial"/>
                <w:lang w:val="fr-FR" w:eastAsia="fr-FR"/>
              </w:rPr>
            </w:pPr>
            <w:r w:rsidRPr="004B3056">
              <w:rPr>
                <w:rFonts w:eastAsia="Calibri" w:cs="Arial"/>
                <w:lang w:val="fr-FR" w:eastAsia="fr-FR"/>
              </w:rPr>
              <w:t>Rencontres Mali Folkcenter, DN Transports (routes), DNEF</w:t>
            </w:r>
          </w:p>
        </w:tc>
      </w:tr>
      <w:tr w:rsidR="00797A1E" w:rsidRPr="004B3056" w14:paraId="6EDD3745" w14:textId="77777777" w:rsidTr="00A56F48">
        <w:tc>
          <w:tcPr>
            <w:tcW w:w="1242" w:type="dxa"/>
            <w:vAlign w:val="center"/>
          </w:tcPr>
          <w:p w14:paraId="76A70B97" w14:textId="77777777" w:rsidR="00797A1E" w:rsidRPr="004B3056" w:rsidRDefault="00797A1E" w:rsidP="00DC2FD7">
            <w:pPr>
              <w:spacing w:after="0" w:line="240" w:lineRule="auto"/>
              <w:rPr>
                <w:rFonts w:eastAsia="Calibri" w:cs="Arial"/>
                <w:lang w:val="fr-FR" w:eastAsia="fr-FR"/>
              </w:rPr>
            </w:pPr>
            <w:r w:rsidRPr="004B3056">
              <w:rPr>
                <w:rFonts w:eastAsia="Calibri" w:cs="Arial"/>
                <w:lang w:val="fr-FR" w:eastAsia="fr-FR"/>
              </w:rPr>
              <w:t>Jeu 13.9.</w:t>
            </w:r>
          </w:p>
        </w:tc>
        <w:tc>
          <w:tcPr>
            <w:tcW w:w="8046" w:type="dxa"/>
          </w:tcPr>
          <w:p w14:paraId="017489F5" w14:textId="77777777" w:rsidR="00797A1E" w:rsidRPr="004B3056" w:rsidRDefault="00797A1E" w:rsidP="00DC2FD7">
            <w:pPr>
              <w:spacing w:after="0" w:line="240" w:lineRule="auto"/>
              <w:rPr>
                <w:rFonts w:eastAsia="Calibri" w:cs="Arial"/>
                <w:lang w:val="fr-FR" w:eastAsia="fr-FR"/>
              </w:rPr>
            </w:pPr>
            <w:r w:rsidRPr="004B3056">
              <w:rPr>
                <w:rFonts w:eastAsia="Calibri" w:cs="Arial"/>
                <w:lang w:val="fr-FR" w:eastAsia="fr-FR"/>
              </w:rPr>
              <w:t xml:space="preserve">Rencontres DNPIA, DNUH, AFD, District Bamako chargé de la circulation </w:t>
            </w:r>
          </w:p>
        </w:tc>
      </w:tr>
      <w:tr w:rsidR="00797A1E" w:rsidRPr="004B3056" w14:paraId="0CB3822D" w14:textId="77777777" w:rsidTr="00A56F48">
        <w:tc>
          <w:tcPr>
            <w:tcW w:w="1242" w:type="dxa"/>
            <w:tcBorders>
              <w:bottom w:val="single" w:sz="4" w:space="0" w:color="auto"/>
            </w:tcBorders>
            <w:vAlign w:val="center"/>
          </w:tcPr>
          <w:p w14:paraId="379E45E8" w14:textId="77777777" w:rsidR="00797A1E" w:rsidRPr="004B3056" w:rsidRDefault="00797A1E" w:rsidP="00DC2FD7">
            <w:pPr>
              <w:spacing w:after="0" w:line="240" w:lineRule="auto"/>
              <w:rPr>
                <w:rFonts w:eastAsia="Calibri" w:cs="Arial"/>
                <w:lang w:val="fr-FR" w:eastAsia="fr-FR"/>
              </w:rPr>
            </w:pPr>
            <w:r w:rsidRPr="004B3056">
              <w:rPr>
                <w:rFonts w:eastAsia="Calibri" w:cs="Arial"/>
                <w:lang w:val="fr-FR" w:eastAsia="fr-FR"/>
              </w:rPr>
              <w:t>Ven 14.9.</w:t>
            </w:r>
          </w:p>
        </w:tc>
        <w:tc>
          <w:tcPr>
            <w:tcW w:w="8046" w:type="dxa"/>
          </w:tcPr>
          <w:p w14:paraId="4DECB39E" w14:textId="77777777" w:rsidR="00797A1E" w:rsidRPr="004B3056" w:rsidRDefault="00797A1E" w:rsidP="00DC2FD7">
            <w:pPr>
              <w:spacing w:after="0" w:line="240" w:lineRule="auto"/>
              <w:rPr>
                <w:rFonts w:eastAsia="Calibri" w:cs="Arial"/>
                <w:lang w:val="fr-FR" w:eastAsia="fr-FR"/>
              </w:rPr>
            </w:pPr>
            <w:r w:rsidRPr="004B3056">
              <w:rPr>
                <w:rFonts w:eastAsia="Calibri" w:cs="Arial"/>
                <w:lang w:val="fr-FR" w:eastAsia="fr-FR"/>
              </w:rPr>
              <w:t>Echanges CTP gestion des catastrophes et AT AGCC 2 </w:t>
            </w:r>
          </w:p>
        </w:tc>
      </w:tr>
      <w:tr w:rsidR="00797A1E" w:rsidRPr="004B3056" w14:paraId="62173A25" w14:textId="77777777" w:rsidTr="00A56F48">
        <w:tc>
          <w:tcPr>
            <w:tcW w:w="1242" w:type="dxa"/>
            <w:shd w:val="clear" w:color="auto" w:fill="E0E0E0"/>
            <w:vAlign w:val="center"/>
          </w:tcPr>
          <w:p w14:paraId="5D95C0A7" w14:textId="77777777" w:rsidR="00797A1E" w:rsidRPr="004B3056" w:rsidRDefault="00797A1E" w:rsidP="00DC2FD7">
            <w:pPr>
              <w:spacing w:after="0" w:line="240" w:lineRule="auto"/>
              <w:rPr>
                <w:rFonts w:eastAsia="Calibri" w:cs="Arial"/>
                <w:lang w:val="fr-FR" w:eastAsia="fr-FR"/>
              </w:rPr>
            </w:pPr>
            <w:r w:rsidRPr="004B3056">
              <w:rPr>
                <w:rFonts w:eastAsia="Calibri" w:cs="Arial"/>
                <w:lang w:val="fr-FR" w:eastAsia="fr-FR"/>
              </w:rPr>
              <w:t>Sam 15.9.</w:t>
            </w:r>
          </w:p>
        </w:tc>
        <w:tc>
          <w:tcPr>
            <w:tcW w:w="8046" w:type="dxa"/>
          </w:tcPr>
          <w:p w14:paraId="550CAB5F" w14:textId="77777777" w:rsidR="00797A1E" w:rsidRPr="004B3056" w:rsidRDefault="00797A1E" w:rsidP="00DC2FD7">
            <w:pPr>
              <w:spacing w:after="0" w:line="240" w:lineRule="auto"/>
              <w:rPr>
                <w:rFonts w:eastAsia="Calibri" w:cs="Arial"/>
                <w:lang w:val="fr-FR" w:eastAsia="fr-FR"/>
              </w:rPr>
            </w:pPr>
            <w:r w:rsidRPr="004B3056">
              <w:rPr>
                <w:rFonts w:eastAsia="Calibri" w:cs="Arial"/>
                <w:lang w:val="fr-FR" w:eastAsia="fr-FR"/>
              </w:rPr>
              <w:t>Analyse des documents disponibles</w:t>
            </w:r>
          </w:p>
        </w:tc>
      </w:tr>
      <w:tr w:rsidR="00797A1E" w:rsidRPr="004B3056" w14:paraId="6691A355" w14:textId="77777777" w:rsidTr="00A56F48">
        <w:tc>
          <w:tcPr>
            <w:tcW w:w="1242" w:type="dxa"/>
            <w:shd w:val="clear" w:color="auto" w:fill="FFFFFF" w:themeFill="background1"/>
            <w:vAlign w:val="center"/>
          </w:tcPr>
          <w:p w14:paraId="301E8717" w14:textId="77777777" w:rsidR="00797A1E" w:rsidRPr="004B3056" w:rsidRDefault="00797A1E" w:rsidP="00DC2FD7">
            <w:pPr>
              <w:spacing w:after="0" w:line="240" w:lineRule="auto"/>
              <w:rPr>
                <w:rFonts w:eastAsia="Calibri" w:cs="Arial"/>
                <w:lang w:val="fr-FR" w:eastAsia="fr-FR"/>
              </w:rPr>
            </w:pPr>
            <w:r w:rsidRPr="004B3056">
              <w:rPr>
                <w:rFonts w:eastAsia="Calibri" w:cs="Arial"/>
                <w:lang w:val="fr-FR" w:eastAsia="fr-FR"/>
              </w:rPr>
              <w:t>Dim 16.9.</w:t>
            </w:r>
          </w:p>
        </w:tc>
        <w:tc>
          <w:tcPr>
            <w:tcW w:w="8046" w:type="dxa"/>
          </w:tcPr>
          <w:p w14:paraId="1E315B8B" w14:textId="77777777" w:rsidR="00797A1E" w:rsidRPr="004B3056" w:rsidRDefault="00797A1E" w:rsidP="00DC2FD7">
            <w:pPr>
              <w:spacing w:after="0" w:line="240" w:lineRule="auto"/>
              <w:rPr>
                <w:rFonts w:eastAsia="Calibri" w:cs="Arial"/>
                <w:lang w:val="fr-FR" w:eastAsia="fr-FR"/>
              </w:rPr>
            </w:pPr>
            <w:r w:rsidRPr="004B3056">
              <w:rPr>
                <w:rFonts w:eastAsia="Calibri" w:cs="Arial"/>
                <w:lang w:val="fr-FR" w:eastAsia="fr-FR"/>
              </w:rPr>
              <w:t>Départ visite du terrain Sud, voyage à Sikasso</w:t>
            </w:r>
          </w:p>
        </w:tc>
      </w:tr>
      <w:tr w:rsidR="00797A1E" w:rsidRPr="004B3056" w14:paraId="50626812" w14:textId="77777777" w:rsidTr="00A56F48">
        <w:tc>
          <w:tcPr>
            <w:tcW w:w="1242" w:type="dxa"/>
            <w:vAlign w:val="center"/>
          </w:tcPr>
          <w:p w14:paraId="7C33EAC9" w14:textId="77777777" w:rsidR="00797A1E" w:rsidRPr="004B3056" w:rsidRDefault="00797A1E" w:rsidP="00DC2FD7">
            <w:pPr>
              <w:spacing w:after="0" w:line="240" w:lineRule="auto"/>
              <w:rPr>
                <w:rFonts w:eastAsia="Calibri" w:cs="Arial"/>
                <w:lang w:val="fr-FR" w:eastAsia="fr-FR"/>
              </w:rPr>
            </w:pPr>
            <w:r w:rsidRPr="004B3056">
              <w:rPr>
                <w:rFonts w:eastAsia="Calibri" w:cs="Arial"/>
                <w:lang w:val="fr-FR" w:eastAsia="fr-FR"/>
              </w:rPr>
              <w:t>Lun 17.9.</w:t>
            </w:r>
          </w:p>
        </w:tc>
        <w:tc>
          <w:tcPr>
            <w:tcW w:w="8046" w:type="dxa"/>
          </w:tcPr>
          <w:p w14:paraId="6EC32B56" w14:textId="77777777" w:rsidR="00797A1E" w:rsidRPr="004B3056" w:rsidRDefault="00797A1E" w:rsidP="00DC2FD7">
            <w:pPr>
              <w:spacing w:after="0" w:line="240" w:lineRule="auto"/>
              <w:rPr>
                <w:rFonts w:cs="Arial"/>
                <w:lang w:val="fr-FR"/>
              </w:rPr>
            </w:pPr>
            <w:r w:rsidRPr="004B3056">
              <w:rPr>
                <w:rFonts w:eastAsia="Calibri" w:cs="Arial"/>
                <w:lang w:val="fr-FR" w:eastAsia="fr-FR"/>
              </w:rPr>
              <w:t>Visite d</w:t>
            </w:r>
            <w:r w:rsidR="00547551" w:rsidRPr="004B3056">
              <w:rPr>
                <w:rFonts w:eastAsia="Calibri" w:cs="Arial"/>
                <w:lang w:val="fr-FR" w:eastAsia="fr-FR"/>
              </w:rPr>
              <w:t>e</w:t>
            </w:r>
            <w:r w:rsidRPr="004B3056">
              <w:rPr>
                <w:rFonts w:eastAsia="Calibri" w:cs="Arial"/>
                <w:lang w:val="fr-FR" w:eastAsia="fr-FR"/>
              </w:rPr>
              <w:t xml:space="preserve"> terrain : </w:t>
            </w:r>
            <w:r w:rsidR="00A56F48" w:rsidRPr="004B3056">
              <w:rPr>
                <w:rFonts w:eastAsia="Calibri" w:cs="Arial"/>
                <w:lang w:val="fr-FR" w:eastAsia="fr-FR"/>
              </w:rPr>
              <w:t>Mairie de Sikasso, CONFIDIS, DRACPN, rencontre</w:t>
            </w:r>
            <w:r w:rsidR="0064347D" w:rsidRPr="004B3056">
              <w:rPr>
                <w:rFonts w:eastAsia="Calibri" w:cs="Arial"/>
                <w:lang w:val="fr-FR" w:eastAsia="fr-FR"/>
              </w:rPr>
              <w:t>s</w:t>
            </w:r>
            <w:r w:rsidR="00A56F48" w:rsidRPr="004B3056">
              <w:rPr>
                <w:rFonts w:eastAsia="Calibri" w:cs="Arial"/>
                <w:lang w:val="fr-FR" w:eastAsia="fr-FR"/>
              </w:rPr>
              <w:t xml:space="preserve"> des GIE </w:t>
            </w:r>
            <w:r w:rsidR="0064347D" w:rsidRPr="004B3056">
              <w:rPr>
                <w:rFonts w:eastAsia="Calibri" w:cs="Arial"/>
                <w:lang w:val="fr-FR" w:eastAsia="fr-FR"/>
              </w:rPr>
              <w:t xml:space="preserve">de </w:t>
            </w:r>
            <w:r w:rsidR="00A56F48" w:rsidRPr="004B3056">
              <w:rPr>
                <w:rFonts w:eastAsia="Calibri" w:cs="Arial"/>
                <w:lang w:val="fr-FR" w:eastAsia="fr-FR"/>
              </w:rPr>
              <w:t xml:space="preserve">collecte et </w:t>
            </w:r>
            <w:r w:rsidR="0064347D" w:rsidRPr="004B3056">
              <w:rPr>
                <w:rFonts w:eastAsia="Calibri" w:cs="Arial"/>
                <w:lang w:val="fr-FR" w:eastAsia="fr-FR"/>
              </w:rPr>
              <w:t xml:space="preserve">de </w:t>
            </w:r>
            <w:r w:rsidR="00A56F48" w:rsidRPr="004B3056">
              <w:rPr>
                <w:rFonts w:eastAsia="Calibri" w:cs="Arial"/>
                <w:lang w:val="fr-FR" w:eastAsia="fr-FR"/>
              </w:rPr>
              <w:t>recyclage des déchets, visite du CET</w:t>
            </w:r>
          </w:p>
        </w:tc>
      </w:tr>
      <w:tr w:rsidR="00797A1E" w:rsidRPr="004B3056" w14:paraId="1F50FA59" w14:textId="77777777" w:rsidTr="00A56F48">
        <w:tc>
          <w:tcPr>
            <w:tcW w:w="1242" w:type="dxa"/>
            <w:vAlign w:val="center"/>
          </w:tcPr>
          <w:p w14:paraId="6A3F4EAE" w14:textId="77777777" w:rsidR="00797A1E" w:rsidRPr="004B3056" w:rsidRDefault="00797A1E" w:rsidP="00DC2FD7">
            <w:pPr>
              <w:spacing w:after="0" w:line="240" w:lineRule="auto"/>
              <w:rPr>
                <w:rFonts w:eastAsia="Calibri" w:cs="Arial"/>
                <w:lang w:val="fr-FR" w:eastAsia="fr-FR"/>
              </w:rPr>
            </w:pPr>
            <w:r w:rsidRPr="004B3056">
              <w:rPr>
                <w:rFonts w:eastAsia="Calibri" w:cs="Arial"/>
                <w:lang w:val="fr-FR" w:eastAsia="fr-FR"/>
              </w:rPr>
              <w:t>Mar 18.9.</w:t>
            </w:r>
          </w:p>
        </w:tc>
        <w:tc>
          <w:tcPr>
            <w:tcW w:w="8046" w:type="dxa"/>
          </w:tcPr>
          <w:p w14:paraId="19BA68BE" w14:textId="77777777" w:rsidR="00797A1E" w:rsidRPr="004B3056" w:rsidRDefault="00797A1E" w:rsidP="00DC2FD7">
            <w:pPr>
              <w:spacing w:after="0" w:line="240" w:lineRule="auto"/>
              <w:rPr>
                <w:rFonts w:eastAsia="Calibri" w:cs="Arial"/>
                <w:lang w:val="fr-FR" w:eastAsia="fr-FR"/>
              </w:rPr>
            </w:pPr>
            <w:r w:rsidRPr="004B3056">
              <w:rPr>
                <w:rFonts w:eastAsia="Calibri" w:cs="Arial"/>
                <w:lang w:val="fr-FR" w:eastAsia="fr-FR"/>
              </w:rPr>
              <w:t xml:space="preserve">Visite du terrain : </w:t>
            </w:r>
            <w:r w:rsidR="00A56F48" w:rsidRPr="004B3056">
              <w:rPr>
                <w:rFonts w:eastAsia="Calibri" w:cs="Arial"/>
                <w:lang w:val="fr-FR" w:eastAsia="fr-FR"/>
              </w:rPr>
              <w:t>Rencontre à Sikasso : DRA, DRPIA, DREF</w:t>
            </w:r>
            <w:r w:rsidR="0064347D" w:rsidRPr="004B3056">
              <w:rPr>
                <w:rFonts w:eastAsia="Calibri" w:cs="Arial"/>
                <w:lang w:val="fr-FR" w:eastAsia="fr-FR"/>
              </w:rPr>
              <w:t>, visite des sites</w:t>
            </w:r>
            <w:r w:rsidR="00445A50" w:rsidRPr="004B3056">
              <w:rPr>
                <w:rFonts w:eastAsia="Calibri" w:cs="Arial"/>
                <w:lang w:val="fr-FR" w:eastAsia="fr-FR"/>
              </w:rPr>
              <w:t xml:space="preserve"> de</w:t>
            </w:r>
            <w:r w:rsidR="0064347D" w:rsidRPr="004B3056">
              <w:rPr>
                <w:rFonts w:eastAsia="Calibri" w:cs="Arial"/>
                <w:lang w:val="fr-FR" w:eastAsia="fr-FR"/>
              </w:rPr>
              <w:t xml:space="preserve"> la CMDT</w:t>
            </w:r>
          </w:p>
        </w:tc>
      </w:tr>
      <w:tr w:rsidR="00797A1E" w:rsidRPr="004B3056" w14:paraId="388671EB" w14:textId="77777777" w:rsidTr="00A56F48">
        <w:tc>
          <w:tcPr>
            <w:tcW w:w="1242" w:type="dxa"/>
            <w:vAlign w:val="center"/>
          </w:tcPr>
          <w:p w14:paraId="00A0DA17" w14:textId="77777777" w:rsidR="00797A1E" w:rsidRPr="004B3056" w:rsidRDefault="00797A1E" w:rsidP="00DC2FD7">
            <w:pPr>
              <w:spacing w:after="0" w:line="240" w:lineRule="auto"/>
              <w:rPr>
                <w:rFonts w:eastAsia="Calibri" w:cs="Arial"/>
                <w:lang w:val="fr-FR" w:eastAsia="fr-FR"/>
              </w:rPr>
            </w:pPr>
            <w:r w:rsidRPr="004B3056">
              <w:rPr>
                <w:rFonts w:eastAsia="Calibri" w:cs="Arial"/>
                <w:lang w:val="fr-FR" w:eastAsia="fr-FR"/>
              </w:rPr>
              <w:t>Mer 19.9</w:t>
            </w:r>
          </w:p>
        </w:tc>
        <w:tc>
          <w:tcPr>
            <w:tcW w:w="8046" w:type="dxa"/>
          </w:tcPr>
          <w:p w14:paraId="35DB48D9" w14:textId="77777777" w:rsidR="00797A1E" w:rsidRPr="004B3056" w:rsidRDefault="00797A1E" w:rsidP="00DC2FD7">
            <w:pPr>
              <w:spacing w:after="0" w:line="240" w:lineRule="auto"/>
              <w:rPr>
                <w:rFonts w:eastAsia="Calibri" w:cs="Arial"/>
                <w:lang w:val="fr-FR" w:eastAsia="fr-FR"/>
              </w:rPr>
            </w:pPr>
            <w:r w:rsidRPr="004B3056">
              <w:rPr>
                <w:rFonts w:eastAsia="Calibri" w:cs="Arial"/>
                <w:lang w:val="fr-FR" w:eastAsia="fr-FR"/>
              </w:rPr>
              <w:t>Visite d</w:t>
            </w:r>
            <w:r w:rsidR="00547551" w:rsidRPr="004B3056">
              <w:rPr>
                <w:rFonts w:eastAsia="Calibri" w:cs="Arial"/>
                <w:lang w:val="fr-FR" w:eastAsia="fr-FR"/>
              </w:rPr>
              <w:t>e</w:t>
            </w:r>
            <w:r w:rsidRPr="004B3056">
              <w:rPr>
                <w:rFonts w:eastAsia="Calibri" w:cs="Arial"/>
                <w:lang w:val="fr-FR" w:eastAsia="fr-FR"/>
              </w:rPr>
              <w:t xml:space="preserve"> terrain : </w:t>
            </w:r>
            <w:r w:rsidR="0064347D" w:rsidRPr="004B3056">
              <w:rPr>
                <w:rFonts w:eastAsia="Calibri" w:cs="Arial"/>
                <w:lang w:val="fr-FR" w:eastAsia="fr-FR"/>
              </w:rPr>
              <w:t>Voyage à Yanfoli</w:t>
            </w:r>
            <w:r w:rsidR="00547551" w:rsidRPr="004B3056">
              <w:rPr>
                <w:rFonts w:eastAsia="Calibri" w:cs="Arial"/>
                <w:lang w:val="fr-FR" w:eastAsia="fr-FR"/>
              </w:rPr>
              <w:t>l</w:t>
            </w:r>
            <w:r w:rsidR="0064347D" w:rsidRPr="004B3056">
              <w:rPr>
                <w:rFonts w:eastAsia="Calibri" w:cs="Arial"/>
                <w:lang w:val="fr-FR" w:eastAsia="fr-FR"/>
              </w:rPr>
              <w:t xml:space="preserve">a (région </w:t>
            </w:r>
            <w:r w:rsidR="00445A50" w:rsidRPr="004B3056">
              <w:rPr>
                <w:rFonts w:eastAsia="Calibri" w:cs="Arial"/>
                <w:lang w:val="fr-FR" w:eastAsia="fr-FR"/>
              </w:rPr>
              <w:t xml:space="preserve">sud </w:t>
            </w:r>
            <w:r w:rsidR="0064347D" w:rsidRPr="004B3056">
              <w:rPr>
                <w:rFonts w:eastAsia="Calibri" w:cs="Arial"/>
                <w:lang w:val="fr-FR" w:eastAsia="fr-FR"/>
              </w:rPr>
              <w:t>du barrage de Sélingué)</w:t>
            </w:r>
            <w:r w:rsidR="0070245A" w:rsidRPr="004B3056">
              <w:rPr>
                <w:rFonts w:eastAsia="Calibri" w:cs="Arial"/>
                <w:lang w:val="fr-FR" w:eastAsia="fr-FR"/>
              </w:rPr>
              <w:t>, rencontre du chef de SACPN, rencontre du GIE de collecte de déchets en démarrage à Yanfolia</w:t>
            </w:r>
          </w:p>
        </w:tc>
      </w:tr>
      <w:tr w:rsidR="00797A1E" w:rsidRPr="004B3056" w14:paraId="704ABE10" w14:textId="77777777" w:rsidTr="00A56F48">
        <w:tc>
          <w:tcPr>
            <w:tcW w:w="1242" w:type="dxa"/>
            <w:vAlign w:val="center"/>
          </w:tcPr>
          <w:p w14:paraId="18CD1572" w14:textId="77777777" w:rsidR="00797A1E" w:rsidRPr="004B3056" w:rsidRDefault="00797A1E" w:rsidP="00DC2FD7">
            <w:pPr>
              <w:spacing w:after="0" w:line="240" w:lineRule="auto"/>
              <w:rPr>
                <w:rFonts w:eastAsia="Calibri" w:cs="Arial"/>
                <w:lang w:val="fr-FR" w:eastAsia="fr-FR"/>
              </w:rPr>
            </w:pPr>
            <w:r w:rsidRPr="004B3056">
              <w:rPr>
                <w:rFonts w:eastAsia="Calibri" w:cs="Arial"/>
                <w:lang w:val="fr-FR" w:eastAsia="fr-FR"/>
              </w:rPr>
              <w:t>Jeu 20.9.</w:t>
            </w:r>
          </w:p>
        </w:tc>
        <w:tc>
          <w:tcPr>
            <w:tcW w:w="8046" w:type="dxa"/>
          </w:tcPr>
          <w:p w14:paraId="0EBC7E6C" w14:textId="77777777" w:rsidR="00797A1E" w:rsidRPr="004B3056" w:rsidRDefault="00797A1E" w:rsidP="00DC2FD7">
            <w:pPr>
              <w:spacing w:after="0" w:line="240" w:lineRule="auto"/>
              <w:rPr>
                <w:rFonts w:eastAsia="Calibri" w:cs="Arial"/>
                <w:lang w:val="fr-FR" w:eastAsia="fr-FR"/>
              </w:rPr>
            </w:pPr>
            <w:r w:rsidRPr="004B3056">
              <w:rPr>
                <w:rFonts w:eastAsia="Calibri" w:cs="Arial"/>
                <w:lang w:val="fr-FR" w:eastAsia="fr-FR"/>
              </w:rPr>
              <w:t>Visite d</w:t>
            </w:r>
            <w:r w:rsidR="00547551" w:rsidRPr="004B3056">
              <w:rPr>
                <w:rFonts w:eastAsia="Calibri" w:cs="Arial"/>
                <w:lang w:val="fr-FR" w:eastAsia="fr-FR"/>
              </w:rPr>
              <w:t>e</w:t>
            </w:r>
            <w:r w:rsidRPr="004B3056">
              <w:rPr>
                <w:rFonts w:eastAsia="Calibri" w:cs="Arial"/>
                <w:lang w:val="fr-FR" w:eastAsia="fr-FR"/>
              </w:rPr>
              <w:t xml:space="preserve"> terrain : </w:t>
            </w:r>
            <w:r w:rsidR="0070245A" w:rsidRPr="004B3056">
              <w:rPr>
                <w:rFonts w:eastAsia="Calibri" w:cs="Arial"/>
                <w:lang w:val="fr-FR" w:eastAsia="fr-FR"/>
              </w:rPr>
              <w:t>V</w:t>
            </w:r>
            <w:r w:rsidR="0064347D" w:rsidRPr="004B3056">
              <w:rPr>
                <w:rFonts w:eastAsia="Calibri" w:cs="Arial"/>
                <w:lang w:val="fr-FR" w:eastAsia="fr-FR"/>
              </w:rPr>
              <w:t>isite du site d’orp</w:t>
            </w:r>
            <w:r w:rsidR="0070245A" w:rsidRPr="004B3056">
              <w:rPr>
                <w:rFonts w:eastAsia="Calibri" w:cs="Arial"/>
                <w:lang w:val="fr-FR" w:eastAsia="fr-FR"/>
              </w:rPr>
              <w:t>aillage traditionnel à Makikila</w:t>
            </w:r>
          </w:p>
        </w:tc>
      </w:tr>
      <w:tr w:rsidR="00797A1E" w:rsidRPr="004B3056" w14:paraId="1D6AE0E4" w14:textId="77777777" w:rsidTr="00A56F48">
        <w:tc>
          <w:tcPr>
            <w:tcW w:w="1242" w:type="dxa"/>
            <w:tcBorders>
              <w:bottom w:val="single" w:sz="4" w:space="0" w:color="auto"/>
            </w:tcBorders>
            <w:vAlign w:val="center"/>
          </w:tcPr>
          <w:p w14:paraId="7E6A5AED" w14:textId="77777777" w:rsidR="00797A1E" w:rsidRPr="004B3056" w:rsidRDefault="00797A1E" w:rsidP="00DC2FD7">
            <w:pPr>
              <w:spacing w:after="0" w:line="240" w:lineRule="auto"/>
              <w:rPr>
                <w:rFonts w:eastAsia="Calibri" w:cs="Arial"/>
                <w:lang w:val="fr-FR" w:eastAsia="fr-FR"/>
              </w:rPr>
            </w:pPr>
            <w:r w:rsidRPr="004B3056">
              <w:rPr>
                <w:rFonts w:eastAsia="Calibri" w:cs="Arial"/>
                <w:lang w:val="fr-FR" w:eastAsia="fr-FR"/>
              </w:rPr>
              <w:t>Ven 21.9.</w:t>
            </w:r>
          </w:p>
        </w:tc>
        <w:tc>
          <w:tcPr>
            <w:tcW w:w="8046" w:type="dxa"/>
          </w:tcPr>
          <w:p w14:paraId="512F44AF" w14:textId="77777777" w:rsidR="00797A1E" w:rsidRPr="004B3056" w:rsidRDefault="00797A1E" w:rsidP="00DC2FD7">
            <w:pPr>
              <w:spacing w:after="0" w:line="240" w:lineRule="auto"/>
              <w:rPr>
                <w:rFonts w:eastAsia="Calibri" w:cs="Arial"/>
                <w:lang w:val="fr-FR" w:eastAsia="fr-FR"/>
              </w:rPr>
            </w:pPr>
            <w:r w:rsidRPr="004B3056">
              <w:rPr>
                <w:rFonts w:eastAsia="Calibri" w:cs="Arial"/>
                <w:lang w:val="fr-FR" w:eastAsia="fr-FR"/>
              </w:rPr>
              <w:t>Visite d</w:t>
            </w:r>
            <w:r w:rsidR="00547551" w:rsidRPr="004B3056">
              <w:rPr>
                <w:rFonts w:eastAsia="Calibri" w:cs="Arial"/>
                <w:lang w:val="fr-FR" w:eastAsia="fr-FR"/>
              </w:rPr>
              <w:t>e</w:t>
            </w:r>
            <w:r w:rsidRPr="004B3056">
              <w:rPr>
                <w:rFonts w:eastAsia="Calibri" w:cs="Arial"/>
                <w:lang w:val="fr-FR" w:eastAsia="fr-FR"/>
              </w:rPr>
              <w:t xml:space="preserve"> terrain : </w:t>
            </w:r>
            <w:r w:rsidR="0064347D" w:rsidRPr="004B3056">
              <w:rPr>
                <w:rFonts w:eastAsia="Calibri" w:cs="Arial"/>
                <w:lang w:val="fr-FR" w:eastAsia="fr-FR"/>
              </w:rPr>
              <w:t>Voyage à la commune Buga (</w:t>
            </w:r>
            <w:r w:rsidR="00445A50" w:rsidRPr="004B3056">
              <w:rPr>
                <w:rFonts w:eastAsia="Calibri" w:cs="Arial"/>
                <w:lang w:val="fr-FR" w:eastAsia="fr-FR"/>
              </w:rPr>
              <w:t xml:space="preserve">région nord du </w:t>
            </w:r>
            <w:r w:rsidR="0064347D" w:rsidRPr="004B3056">
              <w:rPr>
                <w:rFonts w:eastAsia="Calibri" w:cs="Arial"/>
                <w:lang w:val="fr-FR" w:eastAsia="fr-FR"/>
              </w:rPr>
              <w:t>barrage de Sélingué), rencontre du SEGAL de la commune et visite du plan d’eau</w:t>
            </w:r>
          </w:p>
        </w:tc>
      </w:tr>
      <w:tr w:rsidR="00797A1E" w:rsidRPr="004B3056" w14:paraId="0AC6759D" w14:textId="77777777" w:rsidTr="00A56F48">
        <w:tc>
          <w:tcPr>
            <w:tcW w:w="1242" w:type="dxa"/>
            <w:shd w:val="clear" w:color="auto" w:fill="FFFFFF" w:themeFill="background1"/>
            <w:vAlign w:val="center"/>
          </w:tcPr>
          <w:p w14:paraId="28425336" w14:textId="77777777" w:rsidR="00797A1E" w:rsidRPr="004B3056" w:rsidRDefault="00797A1E" w:rsidP="00DC2FD7">
            <w:pPr>
              <w:spacing w:after="0" w:line="240" w:lineRule="auto"/>
              <w:rPr>
                <w:rFonts w:eastAsia="Calibri" w:cs="Arial"/>
                <w:lang w:val="fr-FR" w:eastAsia="fr-FR"/>
              </w:rPr>
            </w:pPr>
            <w:r w:rsidRPr="004B3056">
              <w:rPr>
                <w:rFonts w:eastAsia="Calibri" w:cs="Arial"/>
                <w:lang w:val="fr-FR" w:eastAsia="fr-FR"/>
              </w:rPr>
              <w:t>Sam 22.9.</w:t>
            </w:r>
          </w:p>
        </w:tc>
        <w:tc>
          <w:tcPr>
            <w:tcW w:w="8046" w:type="dxa"/>
          </w:tcPr>
          <w:p w14:paraId="137F03EE" w14:textId="77777777" w:rsidR="00797A1E" w:rsidRPr="004B3056" w:rsidRDefault="00797A1E" w:rsidP="00DC2FD7">
            <w:pPr>
              <w:spacing w:after="0" w:line="240" w:lineRule="auto"/>
              <w:rPr>
                <w:rFonts w:eastAsia="Calibri" w:cs="Arial"/>
                <w:lang w:val="fr-FR" w:eastAsia="fr-FR"/>
              </w:rPr>
            </w:pPr>
            <w:r w:rsidRPr="004B3056">
              <w:rPr>
                <w:rFonts w:eastAsia="Calibri" w:cs="Arial"/>
                <w:lang w:val="fr-FR" w:eastAsia="fr-FR"/>
              </w:rPr>
              <w:t>Visit</w:t>
            </w:r>
            <w:r w:rsidR="0064347D" w:rsidRPr="004B3056">
              <w:rPr>
                <w:rFonts w:eastAsia="Calibri" w:cs="Arial"/>
                <w:lang w:val="fr-FR" w:eastAsia="fr-FR"/>
              </w:rPr>
              <w:t>e d</w:t>
            </w:r>
            <w:r w:rsidR="00547551" w:rsidRPr="004B3056">
              <w:rPr>
                <w:rFonts w:eastAsia="Calibri" w:cs="Arial"/>
                <w:lang w:val="fr-FR" w:eastAsia="fr-FR"/>
              </w:rPr>
              <w:t>e</w:t>
            </w:r>
            <w:r w:rsidR="0064347D" w:rsidRPr="004B3056">
              <w:rPr>
                <w:rFonts w:eastAsia="Calibri" w:cs="Arial"/>
                <w:lang w:val="fr-FR" w:eastAsia="fr-FR"/>
              </w:rPr>
              <w:t xml:space="preserve"> terrain :</w:t>
            </w:r>
            <w:r w:rsidRPr="004B3056">
              <w:rPr>
                <w:rFonts w:eastAsia="Calibri" w:cs="Arial"/>
                <w:lang w:val="fr-FR" w:eastAsia="fr-FR"/>
              </w:rPr>
              <w:t xml:space="preserve"> retour à Bamako</w:t>
            </w:r>
          </w:p>
        </w:tc>
      </w:tr>
      <w:tr w:rsidR="00797A1E" w:rsidRPr="004B3056" w14:paraId="56E7D643" w14:textId="77777777" w:rsidTr="00A56F48">
        <w:tc>
          <w:tcPr>
            <w:tcW w:w="1242" w:type="dxa"/>
            <w:shd w:val="clear" w:color="auto" w:fill="E0E0E0"/>
            <w:vAlign w:val="center"/>
          </w:tcPr>
          <w:p w14:paraId="7A9ACBB1" w14:textId="77777777" w:rsidR="00797A1E" w:rsidRPr="004B3056" w:rsidRDefault="00797A1E" w:rsidP="00DC2FD7">
            <w:pPr>
              <w:spacing w:after="0" w:line="240" w:lineRule="auto"/>
              <w:rPr>
                <w:rFonts w:eastAsia="Calibri" w:cs="Arial"/>
                <w:lang w:val="fr-FR" w:eastAsia="fr-FR"/>
              </w:rPr>
            </w:pPr>
            <w:r w:rsidRPr="004B3056">
              <w:rPr>
                <w:rFonts w:eastAsia="Calibri" w:cs="Arial"/>
                <w:lang w:val="fr-FR" w:eastAsia="fr-FR"/>
              </w:rPr>
              <w:t>Dim 23.9.</w:t>
            </w:r>
          </w:p>
        </w:tc>
        <w:tc>
          <w:tcPr>
            <w:tcW w:w="8046" w:type="dxa"/>
          </w:tcPr>
          <w:p w14:paraId="1F854654" w14:textId="77777777" w:rsidR="00797A1E" w:rsidRPr="004B3056" w:rsidRDefault="00797A1E" w:rsidP="00DC2FD7">
            <w:pPr>
              <w:spacing w:after="0" w:line="240" w:lineRule="auto"/>
              <w:rPr>
                <w:rFonts w:eastAsia="Calibri" w:cs="Arial"/>
                <w:lang w:val="fr-FR" w:eastAsia="fr-FR"/>
              </w:rPr>
            </w:pPr>
            <w:r w:rsidRPr="004B3056">
              <w:rPr>
                <w:rFonts w:eastAsia="Calibri" w:cs="Arial"/>
                <w:lang w:val="fr-FR" w:eastAsia="fr-FR"/>
              </w:rPr>
              <w:t>Analyse des documents disponibles</w:t>
            </w:r>
          </w:p>
        </w:tc>
      </w:tr>
      <w:tr w:rsidR="00797A1E" w:rsidRPr="004B3056" w14:paraId="533AD57A" w14:textId="77777777" w:rsidTr="00A56F48">
        <w:tc>
          <w:tcPr>
            <w:tcW w:w="1242" w:type="dxa"/>
            <w:vAlign w:val="center"/>
          </w:tcPr>
          <w:p w14:paraId="1713A8B3" w14:textId="77777777" w:rsidR="00797A1E" w:rsidRPr="004B3056" w:rsidRDefault="00797A1E" w:rsidP="00DC2FD7">
            <w:pPr>
              <w:spacing w:after="0" w:line="240" w:lineRule="auto"/>
              <w:rPr>
                <w:rFonts w:eastAsia="Calibri" w:cs="Arial"/>
                <w:lang w:val="fr-FR" w:eastAsia="fr-FR"/>
              </w:rPr>
            </w:pPr>
            <w:r w:rsidRPr="004B3056">
              <w:rPr>
                <w:rFonts w:eastAsia="Calibri" w:cs="Arial"/>
                <w:lang w:val="fr-FR" w:eastAsia="fr-FR"/>
              </w:rPr>
              <w:t>Lun 24.9.</w:t>
            </w:r>
          </w:p>
        </w:tc>
        <w:tc>
          <w:tcPr>
            <w:tcW w:w="8046" w:type="dxa"/>
          </w:tcPr>
          <w:p w14:paraId="683BA521" w14:textId="77777777" w:rsidR="00797A1E" w:rsidRPr="004B3056" w:rsidRDefault="00797A1E" w:rsidP="00DC2FD7">
            <w:pPr>
              <w:spacing w:after="0" w:line="240" w:lineRule="auto"/>
              <w:rPr>
                <w:rFonts w:eastAsia="Calibri" w:cs="Arial"/>
                <w:lang w:val="fr-FR" w:eastAsia="fr-FR"/>
              </w:rPr>
            </w:pPr>
            <w:r w:rsidRPr="004B3056">
              <w:rPr>
                <w:rFonts w:eastAsia="Calibri" w:cs="Arial"/>
                <w:lang w:val="fr-FR" w:eastAsia="fr-FR"/>
              </w:rPr>
              <w:t>Analyse et synthèse d’information (conclusions et recommandations préliminaires)</w:t>
            </w:r>
          </w:p>
        </w:tc>
      </w:tr>
      <w:tr w:rsidR="00797A1E" w:rsidRPr="004B3056" w14:paraId="29A79E74" w14:textId="77777777" w:rsidTr="00A56F48">
        <w:tc>
          <w:tcPr>
            <w:tcW w:w="1242" w:type="dxa"/>
            <w:vAlign w:val="center"/>
          </w:tcPr>
          <w:p w14:paraId="131C9824" w14:textId="77777777" w:rsidR="00797A1E" w:rsidRPr="004B3056" w:rsidRDefault="00797A1E" w:rsidP="00DC2FD7">
            <w:pPr>
              <w:spacing w:after="0" w:line="240" w:lineRule="auto"/>
              <w:rPr>
                <w:rFonts w:eastAsia="Calibri" w:cs="Arial"/>
                <w:lang w:val="fr-FR" w:eastAsia="fr-FR"/>
              </w:rPr>
            </w:pPr>
            <w:r w:rsidRPr="004B3056">
              <w:rPr>
                <w:rFonts w:eastAsia="Calibri" w:cs="Arial"/>
                <w:lang w:val="fr-FR" w:eastAsia="fr-FR"/>
              </w:rPr>
              <w:t>Mar 25.9.</w:t>
            </w:r>
          </w:p>
        </w:tc>
        <w:tc>
          <w:tcPr>
            <w:tcW w:w="8046" w:type="dxa"/>
          </w:tcPr>
          <w:p w14:paraId="4B05695B" w14:textId="77777777" w:rsidR="00797A1E" w:rsidRPr="004B3056" w:rsidRDefault="00797A1E" w:rsidP="00DC2FD7">
            <w:pPr>
              <w:spacing w:after="0" w:line="240" w:lineRule="auto"/>
              <w:rPr>
                <w:rFonts w:eastAsia="Calibri" w:cs="Arial"/>
                <w:lang w:val="fr-FR" w:eastAsia="fr-FR"/>
              </w:rPr>
            </w:pPr>
            <w:r w:rsidRPr="004B3056">
              <w:rPr>
                <w:rFonts w:eastAsia="Calibri" w:cs="Arial"/>
                <w:lang w:val="fr-FR" w:eastAsia="fr-FR"/>
              </w:rPr>
              <w:t>Analyse et synthèse d’information (conclusions et recommandations préliminaires)</w:t>
            </w:r>
          </w:p>
        </w:tc>
      </w:tr>
      <w:tr w:rsidR="00797A1E" w:rsidRPr="004B3056" w14:paraId="3DCAABC4" w14:textId="77777777" w:rsidTr="00A56F48">
        <w:tc>
          <w:tcPr>
            <w:tcW w:w="1242" w:type="dxa"/>
            <w:vAlign w:val="center"/>
          </w:tcPr>
          <w:p w14:paraId="1E768C2E" w14:textId="77777777" w:rsidR="00797A1E" w:rsidRPr="004B3056" w:rsidRDefault="00797A1E" w:rsidP="00DC2FD7">
            <w:pPr>
              <w:spacing w:after="0" w:line="240" w:lineRule="auto"/>
              <w:rPr>
                <w:rFonts w:eastAsia="Calibri" w:cs="Arial"/>
                <w:lang w:val="fr-FR" w:eastAsia="fr-FR"/>
              </w:rPr>
            </w:pPr>
            <w:r w:rsidRPr="004B3056">
              <w:rPr>
                <w:rFonts w:eastAsia="Calibri" w:cs="Arial"/>
                <w:lang w:val="fr-FR" w:eastAsia="fr-FR"/>
              </w:rPr>
              <w:t>Mer 26.9.</w:t>
            </w:r>
          </w:p>
        </w:tc>
        <w:tc>
          <w:tcPr>
            <w:tcW w:w="8046" w:type="dxa"/>
          </w:tcPr>
          <w:p w14:paraId="44EC717D" w14:textId="77777777" w:rsidR="00797A1E" w:rsidRPr="004B3056" w:rsidRDefault="00797A1E" w:rsidP="00DC2FD7">
            <w:pPr>
              <w:spacing w:after="0" w:line="240" w:lineRule="auto"/>
              <w:rPr>
                <w:rFonts w:eastAsia="Calibri" w:cs="Arial"/>
                <w:lang w:val="fr-FR" w:eastAsia="fr-FR"/>
              </w:rPr>
            </w:pPr>
            <w:r w:rsidRPr="004B3056">
              <w:rPr>
                <w:rFonts w:eastAsia="Calibri" w:cs="Arial"/>
                <w:lang w:val="fr-FR" w:eastAsia="fr-FR"/>
              </w:rPr>
              <w:t>Débriefing DUE</w:t>
            </w:r>
          </w:p>
        </w:tc>
      </w:tr>
      <w:tr w:rsidR="00797A1E" w:rsidRPr="004B3056" w14:paraId="4BD55CE3" w14:textId="77777777" w:rsidTr="00A56F48">
        <w:tc>
          <w:tcPr>
            <w:tcW w:w="1242" w:type="dxa"/>
            <w:vAlign w:val="center"/>
          </w:tcPr>
          <w:p w14:paraId="232C5280" w14:textId="77777777" w:rsidR="00797A1E" w:rsidRPr="004B3056" w:rsidRDefault="00797A1E" w:rsidP="00DC2FD7">
            <w:pPr>
              <w:spacing w:after="0" w:line="240" w:lineRule="auto"/>
              <w:rPr>
                <w:rFonts w:eastAsia="Calibri" w:cs="Arial"/>
                <w:lang w:val="fr-FR" w:eastAsia="fr-FR"/>
              </w:rPr>
            </w:pPr>
            <w:r w:rsidRPr="004B3056">
              <w:rPr>
                <w:rFonts w:eastAsia="Calibri" w:cs="Arial"/>
                <w:lang w:val="fr-FR" w:eastAsia="fr-FR"/>
              </w:rPr>
              <w:t>Jeu 27.9.</w:t>
            </w:r>
          </w:p>
        </w:tc>
        <w:tc>
          <w:tcPr>
            <w:tcW w:w="8046" w:type="dxa"/>
          </w:tcPr>
          <w:p w14:paraId="7665B93C" w14:textId="77777777" w:rsidR="00797A1E" w:rsidRPr="004B3056" w:rsidRDefault="00797A1E" w:rsidP="00DC2FD7">
            <w:pPr>
              <w:spacing w:after="0" w:line="240" w:lineRule="auto"/>
              <w:rPr>
                <w:rFonts w:eastAsia="Calibri" w:cs="Arial"/>
                <w:lang w:val="fr-FR" w:eastAsia="fr-FR"/>
              </w:rPr>
            </w:pPr>
            <w:r w:rsidRPr="004B3056">
              <w:rPr>
                <w:rFonts w:eastAsia="Calibri" w:cs="Arial"/>
                <w:lang w:val="fr-FR" w:eastAsia="fr-FR"/>
              </w:rPr>
              <w:t xml:space="preserve">Participation à l’atelier du cadre de réflexion  de la  préparation du prochaine COP </w:t>
            </w:r>
          </w:p>
          <w:p w14:paraId="3780309A" w14:textId="77777777" w:rsidR="00797A1E" w:rsidRPr="004B3056" w:rsidRDefault="00797A1E" w:rsidP="00DC2FD7">
            <w:pPr>
              <w:spacing w:after="0" w:line="240" w:lineRule="auto"/>
              <w:rPr>
                <w:rFonts w:eastAsia="Calibri" w:cs="Arial"/>
                <w:lang w:val="fr-FR" w:eastAsia="fr-FR"/>
              </w:rPr>
            </w:pPr>
            <w:r w:rsidRPr="004B3056">
              <w:rPr>
                <w:rFonts w:eastAsia="Calibri" w:cs="Arial"/>
                <w:lang w:val="fr-FR" w:eastAsia="fr-FR"/>
              </w:rPr>
              <w:t>Organisation logistique de l’atelier de restitution en décembre</w:t>
            </w:r>
          </w:p>
        </w:tc>
      </w:tr>
      <w:tr w:rsidR="00797A1E" w:rsidRPr="00736FE4" w14:paraId="0857A65F" w14:textId="77777777" w:rsidTr="00A56F48">
        <w:tc>
          <w:tcPr>
            <w:tcW w:w="1242" w:type="dxa"/>
            <w:tcBorders>
              <w:bottom w:val="single" w:sz="4" w:space="0" w:color="auto"/>
            </w:tcBorders>
            <w:vAlign w:val="center"/>
          </w:tcPr>
          <w:p w14:paraId="53593B3E" w14:textId="77777777" w:rsidR="00797A1E" w:rsidRPr="004B3056" w:rsidRDefault="00797A1E" w:rsidP="00DC2FD7">
            <w:pPr>
              <w:spacing w:after="0" w:line="240" w:lineRule="auto"/>
              <w:rPr>
                <w:rFonts w:eastAsia="Calibri" w:cs="Arial"/>
                <w:lang w:val="fr-FR" w:eastAsia="fr-FR"/>
              </w:rPr>
            </w:pPr>
            <w:r w:rsidRPr="004B3056">
              <w:rPr>
                <w:rFonts w:eastAsia="Calibri" w:cs="Arial"/>
                <w:lang w:val="fr-FR" w:eastAsia="fr-FR"/>
              </w:rPr>
              <w:t>Ven 28.9.</w:t>
            </w:r>
          </w:p>
        </w:tc>
        <w:tc>
          <w:tcPr>
            <w:tcW w:w="8046" w:type="dxa"/>
          </w:tcPr>
          <w:p w14:paraId="21429E01" w14:textId="77777777" w:rsidR="00797A1E" w:rsidRPr="00212E3E" w:rsidRDefault="00547551" w:rsidP="00DC2FD7">
            <w:pPr>
              <w:spacing w:after="0" w:line="240" w:lineRule="auto"/>
              <w:rPr>
                <w:rFonts w:eastAsia="Calibri" w:cs="Arial"/>
                <w:lang w:val="en-GB" w:eastAsia="fr-FR"/>
              </w:rPr>
            </w:pPr>
            <w:r w:rsidRPr="00212E3E">
              <w:rPr>
                <w:rFonts w:eastAsia="Calibri" w:cs="Arial"/>
                <w:lang w:val="en-GB" w:eastAsia="fr-FR"/>
              </w:rPr>
              <w:t>Debriefing</w:t>
            </w:r>
            <w:r w:rsidR="00797A1E" w:rsidRPr="00212E3E">
              <w:rPr>
                <w:rFonts w:eastAsia="Calibri" w:cs="Arial"/>
                <w:lang w:val="en-GB" w:eastAsia="fr-FR"/>
              </w:rPr>
              <w:t xml:space="preserve"> AEDD</w:t>
            </w:r>
          </w:p>
          <w:p w14:paraId="13B45619" w14:textId="77777777" w:rsidR="00797A1E" w:rsidRPr="00212E3E" w:rsidRDefault="00797A1E" w:rsidP="00DC2FD7">
            <w:pPr>
              <w:spacing w:after="0" w:line="240" w:lineRule="auto"/>
              <w:rPr>
                <w:rFonts w:eastAsia="Calibri" w:cs="Arial"/>
                <w:lang w:val="en-GB" w:eastAsia="fr-FR"/>
              </w:rPr>
            </w:pPr>
            <w:r w:rsidRPr="00212E3E">
              <w:rPr>
                <w:rFonts w:eastAsia="Calibri" w:cs="Arial"/>
                <w:lang w:val="en-GB" w:eastAsia="fr-FR"/>
              </w:rPr>
              <w:t>Voyage Bamako – Paris</w:t>
            </w:r>
          </w:p>
        </w:tc>
      </w:tr>
      <w:tr w:rsidR="00797A1E" w:rsidRPr="004B3056" w14:paraId="73E29242" w14:textId="77777777" w:rsidTr="00A56F48">
        <w:tc>
          <w:tcPr>
            <w:tcW w:w="1242" w:type="dxa"/>
            <w:shd w:val="clear" w:color="auto" w:fill="E0E0E0"/>
            <w:vAlign w:val="center"/>
          </w:tcPr>
          <w:p w14:paraId="25964136" w14:textId="77777777" w:rsidR="00797A1E" w:rsidRPr="004B3056" w:rsidRDefault="00797A1E" w:rsidP="00DC2FD7">
            <w:pPr>
              <w:spacing w:after="0" w:line="240" w:lineRule="auto"/>
              <w:rPr>
                <w:rFonts w:eastAsia="Calibri" w:cs="Arial"/>
                <w:lang w:val="fr-FR" w:eastAsia="fr-FR"/>
              </w:rPr>
            </w:pPr>
            <w:r w:rsidRPr="004B3056">
              <w:rPr>
                <w:rFonts w:eastAsia="Calibri" w:cs="Arial"/>
                <w:lang w:val="fr-FR" w:eastAsia="fr-FR"/>
              </w:rPr>
              <w:t>Sam 29.9.</w:t>
            </w:r>
          </w:p>
        </w:tc>
        <w:tc>
          <w:tcPr>
            <w:tcW w:w="8046" w:type="dxa"/>
          </w:tcPr>
          <w:p w14:paraId="10507F06" w14:textId="77777777" w:rsidR="00797A1E" w:rsidRPr="004B3056" w:rsidRDefault="00797A1E" w:rsidP="00DC2FD7">
            <w:pPr>
              <w:spacing w:after="0" w:line="240" w:lineRule="auto"/>
              <w:rPr>
                <w:rFonts w:eastAsia="Calibri" w:cs="Arial"/>
                <w:lang w:val="fr-FR" w:eastAsia="fr-FR"/>
              </w:rPr>
            </w:pPr>
            <w:r w:rsidRPr="004B3056">
              <w:rPr>
                <w:rFonts w:eastAsia="Calibri" w:cs="Arial"/>
                <w:lang w:val="fr-FR" w:eastAsia="fr-FR"/>
              </w:rPr>
              <w:t xml:space="preserve">Voyage Bamako – Paris </w:t>
            </w:r>
          </w:p>
          <w:p w14:paraId="7B25CAD0" w14:textId="77777777" w:rsidR="00797A1E" w:rsidRPr="004B3056" w:rsidRDefault="00797A1E" w:rsidP="00DC2FD7">
            <w:pPr>
              <w:spacing w:after="0" w:line="240" w:lineRule="auto"/>
              <w:rPr>
                <w:rFonts w:eastAsia="Calibri" w:cs="Arial"/>
                <w:lang w:val="fr-FR" w:eastAsia="fr-FR"/>
              </w:rPr>
            </w:pPr>
            <w:r w:rsidRPr="004B3056">
              <w:rPr>
                <w:rFonts w:eastAsia="Calibri" w:cs="Arial"/>
                <w:lang w:val="fr-FR" w:eastAsia="fr-FR"/>
              </w:rPr>
              <w:t>Retour des experts à leur lieu de résidence</w:t>
            </w:r>
          </w:p>
        </w:tc>
      </w:tr>
    </w:tbl>
    <w:p w14:paraId="5611E230" w14:textId="77777777" w:rsidR="00282133" w:rsidRPr="00797A1E" w:rsidRDefault="00282133" w:rsidP="00282133">
      <w:pPr>
        <w:spacing w:after="0" w:line="240" w:lineRule="auto"/>
        <w:rPr>
          <w:rFonts w:eastAsia="Calibri" w:cs="Arial"/>
          <w:lang w:eastAsia="fr-FR"/>
        </w:rPr>
      </w:pPr>
    </w:p>
    <w:tbl>
      <w:tblPr>
        <w:tblStyle w:val="Tabellenraster1"/>
        <w:tblW w:w="0" w:type="auto"/>
        <w:tblLook w:val="01E0" w:firstRow="1" w:lastRow="1" w:firstColumn="1" w:lastColumn="1" w:noHBand="0" w:noVBand="0"/>
      </w:tblPr>
      <w:tblGrid>
        <w:gridCol w:w="1242"/>
        <w:gridCol w:w="8046"/>
      </w:tblGrid>
      <w:tr w:rsidR="00E14206" w:rsidRPr="004B3056" w14:paraId="5D191BF2" w14:textId="77777777" w:rsidTr="00CF5281">
        <w:tc>
          <w:tcPr>
            <w:tcW w:w="1242" w:type="dxa"/>
            <w:vAlign w:val="center"/>
          </w:tcPr>
          <w:p w14:paraId="071F4127" w14:textId="77777777" w:rsidR="00E14206" w:rsidRPr="004B3056" w:rsidRDefault="00E14206" w:rsidP="00CF5281">
            <w:pPr>
              <w:spacing w:after="0" w:line="240" w:lineRule="auto"/>
              <w:rPr>
                <w:rFonts w:eastAsia="Calibri" w:cs="Arial"/>
                <w:lang w:val="fr-FR" w:eastAsia="fr-FR"/>
              </w:rPr>
            </w:pPr>
            <w:r>
              <w:rPr>
                <w:rFonts w:eastAsia="Calibri" w:cs="Arial"/>
                <w:lang w:val="fr-FR" w:eastAsia="fr-FR"/>
              </w:rPr>
              <w:t>Mer 27.9.19</w:t>
            </w:r>
          </w:p>
        </w:tc>
        <w:tc>
          <w:tcPr>
            <w:tcW w:w="8046" w:type="dxa"/>
          </w:tcPr>
          <w:p w14:paraId="5513365B" w14:textId="77777777" w:rsidR="00E14206" w:rsidRPr="004B3056" w:rsidRDefault="00E14206" w:rsidP="00E14206">
            <w:pPr>
              <w:spacing w:after="0" w:line="240" w:lineRule="auto"/>
              <w:rPr>
                <w:rFonts w:eastAsia="Calibri" w:cs="Arial"/>
                <w:lang w:val="fr-FR" w:eastAsia="fr-FR"/>
              </w:rPr>
            </w:pPr>
            <w:r>
              <w:rPr>
                <w:rFonts w:eastAsia="Calibri" w:cs="Arial"/>
                <w:lang w:val="fr-FR" w:eastAsia="fr-FR"/>
              </w:rPr>
              <w:t>Réunion DUE, o</w:t>
            </w:r>
            <w:r w:rsidRPr="004B3056">
              <w:rPr>
                <w:rFonts w:eastAsia="Calibri" w:cs="Arial"/>
                <w:lang w:val="fr-FR" w:eastAsia="fr-FR"/>
              </w:rPr>
              <w:t xml:space="preserve">rganisation logistique de l’atelier de restitution </w:t>
            </w:r>
          </w:p>
        </w:tc>
      </w:tr>
      <w:tr w:rsidR="00E14206" w:rsidRPr="004B3056" w14:paraId="666CD4EE" w14:textId="77777777" w:rsidTr="00CF5281">
        <w:tc>
          <w:tcPr>
            <w:tcW w:w="1242" w:type="dxa"/>
            <w:vAlign w:val="center"/>
          </w:tcPr>
          <w:p w14:paraId="2751F96B" w14:textId="77777777" w:rsidR="00E14206" w:rsidRDefault="00E14206" w:rsidP="00CF5281">
            <w:pPr>
              <w:spacing w:after="0" w:line="240" w:lineRule="auto"/>
              <w:rPr>
                <w:rFonts w:eastAsia="Calibri" w:cs="Arial"/>
                <w:lang w:val="fr-FR" w:eastAsia="fr-FR"/>
              </w:rPr>
            </w:pPr>
            <w:r w:rsidRPr="00E14206">
              <w:rPr>
                <w:rFonts w:eastAsia="Calibri" w:cs="Arial"/>
                <w:lang w:val="fr-FR" w:eastAsia="fr-FR"/>
              </w:rPr>
              <w:t>Jeu 26.9.19</w:t>
            </w:r>
          </w:p>
        </w:tc>
        <w:tc>
          <w:tcPr>
            <w:tcW w:w="8046" w:type="dxa"/>
          </w:tcPr>
          <w:p w14:paraId="0EDA43EF" w14:textId="77777777" w:rsidR="00E14206" w:rsidRPr="004B3056" w:rsidRDefault="00E14206" w:rsidP="00CF5281">
            <w:pPr>
              <w:spacing w:after="0" w:line="240" w:lineRule="auto"/>
              <w:rPr>
                <w:rFonts w:eastAsia="Calibri" w:cs="Arial"/>
                <w:lang w:val="fr-FR" w:eastAsia="fr-FR"/>
              </w:rPr>
            </w:pPr>
            <w:r>
              <w:rPr>
                <w:rFonts w:eastAsia="Calibri" w:cs="Arial"/>
                <w:lang w:val="fr-FR" w:eastAsia="fr-FR"/>
              </w:rPr>
              <w:t>Atelier de restituion du PEP</w:t>
            </w:r>
          </w:p>
        </w:tc>
      </w:tr>
    </w:tbl>
    <w:p w14:paraId="783195A2" w14:textId="77777777" w:rsidR="00A86179" w:rsidRDefault="00A86179">
      <w:pPr>
        <w:rPr>
          <w:rFonts w:eastAsia="Calibri" w:cs="Arial"/>
          <w:b/>
          <w:bCs/>
          <w:color w:val="000000" w:themeColor="text1"/>
          <w:sz w:val="20"/>
          <w:szCs w:val="20"/>
          <w:lang w:val="fr-FR" w:eastAsia="fr-FR"/>
        </w:rPr>
      </w:pPr>
      <w:r>
        <w:rPr>
          <w:rFonts w:eastAsia="Calibri" w:cs="Arial"/>
          <w:color w:val="000000" w:themeColor="text1"/>
          <w:sz w:val="20"/>
          <w:szCs w:val="20"/>
          <w:lang w:val="fr-FR" w:eastAsia="fr-FR"/>
        </w:rPr>
        <w:br w:type="page"/>
      </w:r>
    </w:p>
    <w:p w14:paraId="21466CA0" w14:textId="77777777" w:rsidR="00282133" w:rsidRPr="000806D2" w:rsidRDefault="003B087C" w:rsidP="00913A0C">
      <w:pPr>
        <w:pStyle w:val="Titre2"/>
        <w:rPr>
          <w:lang w:eastAsia="fr-FR"/>
        </w:rPr>
      </w:pPr>
      <w:bookmarkStart w:id="146" w:name="_Toc393900328"/>
      <w:bookmarkStart w:id="147" w:name="_Toc20505720"/>
      <w:r w:rsidRPr="00BA1CEF">
        <w:rPr>
          <w:lang w:eastAsia="fr-FR"/>
        </w:rPr>
        <w:lastRenderedPageBreak/>
        <w:t>8</w:t>
      </w:r>
      <w:r w:rsidR="00E87B53" w:rsidRPr="00BA1CEF">
        <w:rPr>
          <w:lang w:eastAsia="fr-FR"/>
        </w:rPr>
        <w:t>.3</w:t>
      </w:r>
      <w:r w:rsidR="00282133" w:rsidRPr="00BA1CEF">
        <w:rPr>
          <w:lang w:eastAsia="fr-FR"/>
        </w:rPr>
        <w:t xml:space="preserve"> Compte rendu des missions sur le terrain</w:t>
      </w:r>
      <w:bookmarkEnd w:id="146"/>
      <w:bookmarkEnd w:id="147"/>
    </w:p>
    <w:p w14:paraId="25C20ADF" w14:textId="77777777" w:rsidR="00282133" w:rsidRPr="00120C34" w:rsidRDefault="00282133" w:rsidP="00282133">
      <w:pPr>
        <w:spacing w:after="0" w:line="240" w:lineRule="auto"/>
        <w:rPr>
          <w:rFonts w:eastAsia="Calibri" w:cs="Arial"/>
          <w:lang w:val="fr-FR" w:eastAsia="fr-FR"/>
        </w:rPr>
      </w:pPr>
    </w:p>
    <w:p w14:paraId="2027D133" w14:textId="77777777" w:rsidR="001304B7" w:rsidRPr="004B3056" w:rsidRDefault="001304B7" w:rsidP="006B7180">
      <w:pPr>
        <w:spacing w:after="0" w:line="240" w:lineRule="auto"/>
        <w:rPr>
          <w:u w:val="single"/>
          <w:lang w:val="fr-FR"/>
        </w:rPr>
      </w:pPr>
      <w:r w:rsidRPr="004B3056">
        <w:rPr>
          <w:u w:val="single"/>
          <w:lang w:val="fr-FR"/>
        </w:rPr>
        <w:t>Jour 1 : dimanche 16 septembre 2019</w:t>
      </w:r>
    </w:p>
    <w:p w14:paraId="3291503E" w14:textId="77777777" w:rsidR="001304B7" w:rsidRPr="004B3056" w:rsidRDefault="001304B7" w:rsidP="006B7180">
      <w:pPr>
        <w:spacing w:after="0" w:line="240" w:lineRule="auto"/>
        <w:rPr>
          <w:u w:val="single"/>
          <w:lang w:val="fr-FR"/>
        </w:rPr>
      </w:pPr>
      <w:r w:rsidRPr="004B3056">
        <w:rPr>
          <w:u w:val="single"/>
          <w:lang w:val="fr-FR"/>
        </w:rPr>
        <w:t>Bamako  - Sikasso</w:t>
      </w:r>
    </w:p>
    <w:p w14:paraId="0BC035A4" w14:textId="77777777" w:rsidR="000A7287" w:rsidRPr="004B3056" w:rsidRDefault="000A7287" w:rsidP="006B7180">
      <w:pPr>
        <w:spacing w:after="0" w:line="240" w:lineRule="auto"/>
        <w:rPr>
          <w:u w:val="single"/>
          <w:lang w:val="fr-FR"/>
        </w:rPr>
      </w:pPr>
    </w:p>
    <w:p w14:paraId="67D68342" w14:textId="77777777" w:rsidR="00F51037" w:rsidRPr="004B3056" w:rsidRDefault="00F51037" w:rsidP="006B7180">
      <w:pPr>
        <w:spacing w:after="0" w:line="240" w:lineRule="auto"/>
        <w:rPr>
          <w:u w:val="single"/>
          <w:lang w:val="fr-FR"/>
        </w:rPr>
      </w:pPr>
      <w:r w:rsidRPr="004B3056">
        <w:rPr>
          <w:u w:val="single"/>
          <w:lang w:val="fr-FR"/>
        </w:rPr>
        <w:t xml:space="preserve">Jour </w:t>
      </w:r>
      <w:r w:rsidR="001304B7" w:rsidRPr="004B3056">
        <w:rPr>
          <w:u w:val="single"/>
          <w:lang w:val="fr-FR"/>
        </w:rPr>
        <w:t>2</w:t>
      </w:r>
      <w:r w:rsidR="0011274B" w:rsidRPr="004B3056">
        <w:rPr>
          <w:u w:val="single"/>
          <w:lang w:val="fr-FR"/>
        </w:rPr>
        <w:t> </w:t>
      </w:r>
      <w:r w:rsidRPr="004B3056">
        <w:rPr>
          <w:u w:val="single"/>
          <w:lang w:val="fr-FR"/>
        </w:rPr>
        <w:t xml:space="preserve">: </w:t>
      </w:r>
      <w:r w:rsidR="001304B7" w:rsidRPr="004B3056">
        <w:rPr>
          <w:u w:val="single"/>
          <w:lang w:val="fr-FR"/>
        </w:rPr>
        <w:t>lundi</w:t>
      </w:r>
      <w:r w:rsidRPr="004B3056">
        <w:rPr>
          <w:u w:val="single"/>
          <w:lang w:val="fr-FR"/>
        </w:rPr>
        <w:t xml:space="preserve"> 17 </w:t>
      </w:r>
      <w:r w:rsidR="001304B7" w:rsidRPr="004B3056">
        <w:rPr>
          <w:u w:val="single"/>
          <w:lang w:val="fr-FR"/>
        </w:rPr>
        <w:t>septembre</w:t>
      </w:r>
      <w:r w:rsidRPr="004B3056">
        <w:rPr>
          <w:u w:val="single"/>
          <w:lang w:val="fr-FR"/>
        </w:rPr>
        <w:t xml:space="preserve"> 201</w:t>
      </w:r>
      <w:r w:rsidR="001304B7" w:rsidRPr="004B3056">
        <w:rPr>
          <w:u w:val="single"/>
          <w:lang w:val="fr-FR"/>
        </w:rPr>
        <w:t>9</w:t>
      </w:r>
    </w:p>
    <w:p w14:paraId="2B765B09" w14:textId="77777777" w:rsidR="00F51037" w:rsidRPr="004B3056" w:rsidRDefault="00445A50" w:rsidP="00F51037">
      <w:pPr>
        <w:spacing w:after="0" w:line="240" w:lineRule="auto"/>
        <w:rPr>
          <w:rFonts w:cs="Arial"/>
          <w:sz w:val="18"/>
          <w:szCs w:val="18"/>
          <w:lang w:val="fr-FR"/>
        </w:rPr>
      </w:pPr>
      <w:r w:rsidRPr="004B3056">
        <w:rPr>
          <w:rFonts w:cs="Arial"/>
          <w:sz w:val="18"/>
          <w:szCs w:val="18"/>
          <w:lang w:val="fr-FR"/>
        </w:rPr>
        <w:t xml:space="preserve">Sikasso : Rencontres du SEGAL de la commune, du superviseur CONFIDIS et du chef de la DRACPN. </w:t>
      </w:r>
      <w:r w:rsidR="003328CB" w:rsidRPr="004B3056">
        <w:rPr>
          <w:rFonts w:cs="Arial"/>
          <w:sz w:val="18"/>
          <w:szCs w:val="18"/>
          <w:lang w:val="fr-FR"/>
        </w:rPr>
        <w:t xml:space="preserve">Discussion </w:t>
      </w:r>
      <w:r w:rsidR="00383519">
        <w:rPr>
          <w:rFonts w:cs="Arial"/>
          <w:sz w:val="18"/>
          <w:szCs w:val="18"/>
          <w:lang w:val="fr-FR"/>
        </w:rPr>
        <w:t>sur l</w:t>
      </w:r>
      <w:r w:rsidR="003328CB" w:rsidRPr="004B3056">
        <w:rPr>
          <w:rFonts w:cs="Arial"/>
          <w:sz w:val="18"/>
          <w:szCs w:val="18"/>
          <w:lang w:val="fr-FR"/>
        </w:rPr>
        <w:t>es questions institutionnelles de gestion des déchets et du financement d</w:t>
      </w:r>
      <w:r w:rsidR="00383519">
        <w:rPr>
          <w:rFonts w:cs="Arial"/>
          <w:sz w:val="18"/>
          <w:szCs w:val="18"/>
          <w:lang w:val="fr-FR"/>
        </w:rPr>
        <w:t>e l</w:t>
      </w:r>
      <w:r w:rsidR="003328CB" w:rsidRPr="004B3056">
        <w:rPr>
          <w:rFonts w:cs="Arial"/>
          <w:sz w:val="18"/>
          <w:szCs w:val="18"/>
          <w:lang w:val="fr-FR"/>
        </w:rPr>
        <w:t xml:space="preserve">’action environnementale au niveau de la commune. </w:t>
      </w:r>
      <w:r w:rsidRPr="004B3056">
        <w:rPr>
          <w:rFonts w:cs="Arial"/>
          <w:sz w:val="18"/>
          <w:szCs w:val="18"/>
          <w:lang w:val="fr-FR"/>
        </w:rPr>
        <w:t>Avec le superviseur CONFI</w:t>
      </w:r>
      <w:r w:rsidR="00383519">
        <w:rPr>
          <w:rFonts w:cs="Arial"/>
          <w:sz w:val="18"/>
          <w:szCs w:val="18"/>
          <w:lang w:val="fr-FR"/>
        </w:rPr>
        <w:t>D</w:t>
      </w:r>
      <w:r w:rsidRPr="004B3056">
        <w:rPr>
          <w:rFonts w:cs="Arial"/>
          <w:sz w:val="18"/>
          <w:szCs w:val="18"/>
          <w:lang w:val="fr-FR"/>
        </w:rPr>
        <w:t xml:space="preserve">IS et le chef  de la DRACPN visite du </w:t>
      </w:r>
      <w:r w:rsidR="00383519">
        <w:rPr>
          <w:rFonts w:cs="Arial"/>
          <w:sz w:val="18"/>
          <w:szCs w:val="18"/>
          <w:lang w:val="fr-FR"/>
        </w:rPr>
        <w:t>Centre d’Enfouissement Technique (</w:t>
      </w:r>
      <w:r w:rsidRPr="004B3056">
        <w:rPr>
          <w:rFonts w:cs="Arial"/>
          <w:sz w:val="18"/>
          <w:szCs w:val="18"/>
          <w:lang w:val="fr-FR"/>
        </w:rPr>
        <w:t>CET</w:t>
      </w:r>
      <w:r w:rsidR="00383519">
        <w:rPr>
          <w:rFonts w:cs="Arial"/>
          <w:sz w:val="18"/>
          <w:szCs w:val="18"/>
          <w:lang w:val="fr-FR"/>
        </w:rPr>
        <w:t>)</w:t>
      </w:r>
      <w:r w:rsidRPr="004B3056">
        <w:rPr>
          <w:rFonts w:cs="Arial"/>
          <w:sz w:val="18"/>
          <w:szCs w:val="18"/>
          <w:lang w:val="fr-FR"/>
        </w:rPr>
        <w:t xml:space="preserve"> et rencontres avec les GIE de collecte des déchets, de compostage et de recyclage des déchets. </w:t>
      </w:r>
    </w:p>
    <w:p w14:paraId="768F3CDC" w14:textId="77777777" w:rsidR="000A7287" w:rsidRPr="004B3056" w:rsidRDefault="000A7287" w:rsidP="006B7180">
      <w:pPr>
        <w:spacing w:after="0" w:line="240" w:lineRule="auto"/>
        <w:rPr>
          <w:u w:val="single"/>
          <w:lang w:val="fr-FR"/>
        </w:rPr>
      </w:pPr>
    </w:p>
    <w:p w14:paraId="701EC6E5" w14:textId="77777777" w:rsidR="00F51037" w:rsidRPr="004B3056" w:rsidRDefault="001304B7" w:rsidP="006B7180">
      <w:pPr>
        <w:spacing w:after="0" w:line="240" w:lineRule="auto"/>
        <w:rPr>
          <w:u w:val="single"/>
          <w:lang w:val="fr-FR"/>
        </w:rPr>
      </w:pPr>
      <w:r w:rsidRPr="004B3056">
        <w:rPr>
          <w:u w:val="single"/>
          <w:lang w:val="fr-FR"/>
        </w:rPr>
        <w:t>Jour  3</w:t>
      </w:r>
      <w:r w:rsidR="0011274B" w:rsidRPr="004B3056">
        <w:rPr>
          <w:u w:val="single"/>
          <w:lang w:val="fr-FR"/>
        </w:rPr>
        <w:t> </w:t>
      </w:r>
      <w:r w:rsidR="00F51037" w:rsidRPr="004B3056">
        <w:rPr>
          <w:u w:val="single"/>
          <w:lang w:val="fr-FR"/>
        </w:rPr>
        <w:t xml:space="preserve">: </w:t>
      </w:r>
      <w:r w:rsidRPr="004B3056">
        <w:rPr>
          <w:u w:val="single"/>
          <w:lang w:val="fr-FR"/>
        </w:rPr>
        <w:t>mardi 18 septembre 2019</w:t>
      </w:r>
      <w:r w:rsidR="00F51037" w:rsidRPr="004B3056">
        <w:rPr>
          <w:u w:val="single"/>
          <w:lang w:val="fr-FR"/>
        </w:rPr>
        <w:t xml:space="preserve"> </w:t>
      </w:r>
    </w:p>
    <w:p w14:paraId="67C12C82" w14:textId="77777777" w:rsidR="00F51037" w:rsidRPr="004B3056" w:rsidRDefault="001304B7" w:rsidP="00F51037">
      <w:pPr>
        <w:spacing w:after="0" w:line="240" w:lineRule="auto"/>
        <w:rPr>
          <w:rFonts w:cs="Arial"/>
          <w:sz w:val="18"/>
          <w:szCs w:val="18"/>
          <w:lang w:val="fr-FR" w:eastAsia="zh-CN"/>
        </w:rPr>
      </w:pPr>
      <w:r w:rsidRPr="004B3056">
        <w:rPr>
          <w:rFonts w:cs="Arial"/>
          <w:sz w:val="18"/>
          <w:szCs w:val="18"/>
          <w:lang w:val="fr-FR"/>
        </w:rPr>
        <w:t>Sikasso</w:t>
      </w:r>
      <w:r w:rsidR="0011274B" w:rsidRPr="004B3056">
        <w:rPr>
          <w:rFonts w:cs="Arial"/>
          <w:sz w:val="18"/>
          <w:szCs w:val="18"/>
          <w:lang w:val="fr-FR"/>
        </w:rPr>
        <w:t> </w:t>
      </w:r>
      <w:r w:rsidR="00F51037" w:rsidRPr="004B3056">
        <w:rPr>
          <w:rFonts w:cs="Arial"/>
          <w:sz w:val="18"/>
          <w:szCs w:val="18"/>
          <w:lang w:val="fr-FR"/>
        </w:rPr>
        <w:t xml:space="preserve">: </w:t>
      </w:r>
      <w:r w:rsidR="00445A50" w:rsidRPr="004B3056">
        <w:rPr>
          <w:rFonts w:cs="Arial"/>
          <w:sz w:val="18"/>
          <w:szCs w:val="18"/>
          <w:lang w:val="fr-FR"/>
        </w:rPr>
        <w:t>Rencontres d</w:t>
      </w:r>
      <w:r w:rsidR="000A7287" w:rsidRPr="004B3056">
        <w:rPr>
          <w:rFonts w:cs="Arial"/>
          <w:sz w:val="18"/>
          <w:szCs w:val="18"/>
          <w:lang w:val="fr-FR"/>
        </w:rPr>
        <w:t xml:space="preserve">es DRA, DRPIA, DREF et discussion des problèmes de l’approvisionnement énergétique et du </w:t>
      </w:r>
      <w:r w:rsidR="00383519" w:rsidRPr="004B3056">
        <w:rPr>
          <w:rFonts w:cs="Arial"/>
          <w:sz w:val="18"/>
          <w:szCs w:val="18"/>
          <w:lang w:val="fr-FR"/>
        </w:rPr>
        <w:t>contrôle, le</w:t>
      </w:r>
      <w:r w:rsidR="0063427F" w:rsidRPr="004B3056">
        <w:rPr>
          <w:rFonts w:cs="Arial"/>
          <w:sz w:val="18"/>
          <w:szCs w:val="18"/>
          <w:lang w:val="fr-FR"/>
        </w:rPr>
        <w:t xml:space="preserve"> </w:t>
      </w:r>
      <w:r w:rsidR="003328CB" w:rsidRPr="004B3056">
        <w:rPr>
          <w:rFonts w:cs="Arial"/>
          <w:sz w:val="18"/>
          <w:szCs w:val="18"/>
          <w:lang w:val="fr-FR"/>
        </w:rPr>
        <w:t>t</w:t>
      </w:r>
      <w:r w:rsidR="0063427F" w:rsidRPr="004B3056">
        <w:rPr>
          <w:rFonts w:cs="Arial"/>
          <w:sz w:val="18"/>
          <w:szCs w:val="18"/>
          <w:lang w:val="fr-FR"/>
        </w:rPr>
        <w:t>ransfert de compétence</w:t>
      </w:r>
      <w:r w:rsidR="00383519">
        <w:rPr>
          <w:rFonts w:cs="Arial"/>
          <w:sz w:val="18"/>
          <w:szCs w:val="18"/>
          <w:lang w:val="fr-FR"/>
        </w:rPr>
        <w:t>s</w:t>
      </w:r>
      <w:r w:rsidR="0063427F" w:rsidRPr="004B3056">
        <w:rPr>
          <w:rFonts w:cs="Arial"/>
          <w:sz w:val="18"/>
          <w:szCs w:val="18"/>
          <w:lang w:val="fr-FR"/>
        </w:rPr>
        <w:t xml:space="preserve"> de gestion des ressources naturelles, </w:t>
      </w:r>
      <w:r w:rsidR="000A7287" w:rsidRPr="004B3056">
        <w:rPr>
          <w:rFonts w:cs="Arial"/>
          <w:sz w:val="18"/>
          <w:szCs w:val="18"/>
          <w:lang w:val="fr-FR"/>
        </w:rPr>
        <w:t>d’installation quasi – permanente des éleveurs dans la région, de production du fourrage, utilisation, gestion des pesticides, fonctionnement des COFO. Visite d</w:t>
      </w:r>
      <w:r w:rsidR="00383519">
        <w:rPr>
          <w:rFonts w:cs="Arial"/>
          <w:sz w:val="18"/>
          <w:szCs w:val="18"/>
          <w:lang w:val="fr-FR"/>
        </w:rPr>
        <w:t>e</w:t>
      </w:r>
      <w:r w:rsidR="000A7287" w:rsidRPr="004B3056">
        <w:rPr>
          <w:rFonts w:cs="Arial"/>
          <w:sz w:val="18"/>
          <w:szCs w:val="18"/>
          <w:lang w:val="fr-FR"/>
        </w:rPr>
        <w:t xml:space="preserve"> terrain avec le chef DRAPCN des sites de rejets des effluents des usines de la CMDT et visite du terrain par rapport à la gestion </w:t>
      </w:r>
      <w:r w:rsidR="00B06FA5" w:rsidRPr="004B3056">
        <w:rPr>
          <w:rFonts w:cs="Arial"/>
          <w:sz w:val="18"/>
          <w:szCs w:val="18"/>
          <w:lang w:val="fr-FR"/>
        </w:rPr>
        <w:t xml:space="preserve">des infrastructures de </w:t>
      </w:r>
      <w:r w:rsidR="00383519" w:rsidRPr="004B3056">
        <w:rPr>
          <w:rFonts w:cs="Arial"/>
          <w:sz w:val="18"/>
          <w:szCs w:val="18"/>
          <w:lang w:val="fr-FR"/>
        </w:rPr>
        <w:t>drainage et</w:t>
      </w:r>
      <w:r w:rsidR="00B06FA5" w:rsidRPr="004B3056">
        <w:rPr>
          <w:rFonts w:cs="Arial"/>
          <w:sz w:val="18"/>
          <w:szCs w:val="18"/>
          <w:lang w:val="fr-FR"/>
        </w:rPr>
        <w:t xml:space="preserve"> </w:t>
      </w:r>
      <w:r w:rsidR="000A7287" w:rsidRPr="004B3056">
        <w:rPr>
          <w:rFonts w:cs="Arial"/>
          <w:sz w:val="18"/>
          <w:szCs w:val="18"/>
          <w:lang w:val="fr-FR"/>
        </w:rPr>
        <w:t>d’évacuation de l’</w:t>
      </w:r>
      <w:r w:rsidR="00B06FA5" w:rsidRPr="004B3056">
        <w:rPr>
          <w:rFonts w:cs="Arial"/>
          <w:sz w:val="18"/>
          <w:szCs w:val="18"/>
          <w:lang w:val="fr-FR"/>
        </w:rPr>
        <w:t>eau de</w:t>
      </w:r>
      <w:r w:rsidR="000A7287" w:rsidRPr="004B3056">
        <w:rPr>
          <w:rFonts w:cs="Arial"/>
          <w:sz w:val="18"/>
          <w:szCs w:val="18"/>
          <w:lang w:val="fr-FR"/>
        </w:rPr>
        <w:t xml:space="preserve"> surface</w:t>
      </w:r>
      <w:r w:rsidR="00F51037" w:rsidRPr="004B3056">
        <w:rPr>
          <w:rFonts w:cs="Arial"/>
          <w:sz w:val="18"/>
          <w:szCs w:val="18"/>
          <w:lang w:val="fr-FR" w:eastAsia="zh-CN"/>
        </w:rPr>
        <w:t>.</w:t>
      </w:r>
    </w:p>
    <w:p w14:paraId="78D57806" w14:textId="77777777" w:rsidR="00F51037" w:rsidRPr="004B3056" w:rsidRDefault="00F51037" w:rsidP="00F51037">
      <w:pPr>
        <w:spacing w:after="0" w:line="240" w:lineRule="auto"/>
        <w:rPr>
          <w:rFonts w:cs="Arial"/>
          <w:sz w:val="18"/>
          <w:szCs w:val="18"/>
          <w:lang w:val="fr-FR"/>
        </w:rPr>
      </w:pPr>
    </w:p>
    <w:p w14:paraId="306A8799" w14:textId="77777777" w:rsidR="00F51037" w:rsidRPr="004B3056" w:rsidRDefault="00F51037" w:rsidP="006B7180">
      <w:pPr>
        <w:spacing w:after="0" w:line="240" w:lineRule="auto"/>
        <w:rPr>
          <w:u w:val="single"/>
          <w:lang w:val="fr-FR"/>
        </w:rPr>
      </w:pPr>
      <w:r w:rsidRPr="004B3056">
        <w:rPr>
          <w:u w:val="single"/>
          <w:lang w:val="fr-FR"/>
        </w:rPr>
        <w:t xml:space="preserve">Jour </w:t>
      </w:r>
      <w:r w:rsidR="001304B7" w:rsidRPr="004B3056">
        <w:rPr>
          <w:u w:val="single"/>
          <w:lang w:val="fr-FR"/>
        </w:rPr>
        <w:t>4</w:t>
      </w:r>
      <w:r w:rsidR="0011274B" w:rsidRPr="004B3056">
        <w:rPr>
          <w:u w:val="single"/>
          <w:lang w:val="fr-FR"/>
        </w:rPr>
        <w:t> </w:t>
      </w:r>
      <w:r w:rsidRPr="004B3056">
        <w:rPr>
          <w:u w:val="single"/>
          <w:lang w:val="fr-FR"/>
        </w:rPr>
        <w:t xml:space="preserve">: </w:t>
      </w:r>
      <w:r w:rsidR="001304B7" w:rsidRPr="004B3056">
        <w:rPr>
          <w:u w:val="single"/>
          <w:lang w:val="fr-FR"/>
        </w:rPr>
        <w:t>mercredi 19 septembre 2019</w:t>
      </w:r>
    </w:p>
    <w:p w14:paraId="01E0D785" w14:textId="77777777" w:rsidR="00F51037" w:rsidRPr="00383519" w:rsidRDefault="00197ADA" w:rsidP="006B7180">
      <w:pPr>
        <w:spacing w:after="0" w:line="240" w:lineRule="auto"/>
        <w:rPr>
          <w:sz w:val="18"/>
          <w:szCs w:val="18"/>
          <w:lang w:val="fr-FR"/>
        </w:rPr>
      </w:pPr>
      <w:r w:rsidRPr="00383519">
        <w:rPr>
          <w:sz w:val="18"/>
          <w:szCs w:val="18"/>
          <w:lang w:val="fr-FR"/>
        </w:rPr>
        <w:t>Voyage de Sikasso à Yanfolia (région sud du barrage de Sélingué)</w:t>
      </w:r>
    </w:p>
    <w:p w14:paraId="29B8C21D" w14:textId="77777777" w:rsidR="0070245A" w:rsidRPr="004B3056" w:rsidRDefault="0070245A" w:rsidP="006B7180">
      <w:pPr>
        <w:spacing w:after="0" w:line="240" w:lineRule="auto"/>
        <w:rPr>
          <w:lang w:val="fr-FR"/>
        </w:rPr>
      </w:pPr>
      <w:r w:rsidRPr="004B3056">
        <w:rPr>
          <w:rFonts w:cs="Arial"/>
          <w:sz w:val="18"/>
          <w:szCs w:val="18"/>
          <w:lang w:val="fr-FR"/>
        </w:rPr>
        <w:t xml:space="preserve">Rencontre du Chef </w:t>
      </w:r>
      <w:r w:rsidR="00383519" w:rsidRPr="004B3056">
        <w:rPr>
          <w:rFonts w:cs="Arial"/>
          <w:sz w:val="18"/>
          <w:szCs w:val="18"/>
          <w:lang w:val="fr-FR"/>
        </w:rPr>
        <w:t>SACPN et</w:t>
      </w:r>
      <w:r w:rsidRPr="004B3056">
        <w:rPr>
          <w:rFonts w:cs="Arial"/>
          <w:sz w:val="18"/>
          <w:szCs w:val="18"/>
          <w:lang w:val="fr-FR"/>
        </w:rPr>
        <w:t xml:space="preserve"> discussion des impacts de l’orpaillage traditionnelle, l’évolution du dragage semi –</w:t>
      </w:r>
      <w:r w:rsidR="00383519" w:rsidRPr="004B3056">
        <w:rPr>
          <w:rFonts w:cs="Arial"/>
          <w:sz w:val="18"/>
          <w:szCs w:val="18"/>
          <w:lang w:val="fr-FR"/>
        </w:rPr>
        <w:t>industrielle et</w:t>
      </w:r>
      <w:r w:rsidRPr="004B3056">
        <w:rPr>
          <w:rFonts w:cs="Arial"/>
          <w:sz w:val="18"/>
          <w:szCs w:val="18"/>
          <w:lang w:val="fr-FR"/>
        </w:rPr>
        <w:t xml:space="preserve"> de la pêche dans le plan d’eau de Sélingué et des pollutions accidentelles de la mine SKM. Visites avec le chef SACPN du GIE de collecte de déchets en démarrage à Yanfolia</w:t>
      </w:r>
    </w:p>
    <w:p w14:paraId="2FFBA03D" w14:textId="77777777" w:rsidR="00F51037" w:rsidRPr="004B3056" w:rsidRDefault="00F51037" w:rsidP="00F51037">
      <w:pPr>
        <w:spacing w:after="0" w:line="240" w:lineRule="auto"/>
        <w:rPr>
          <w:rFonts w:cs="Arial"/>
          <w:sz w:val="18"/>
          <w:szCs w:val="18"/>
          <w:lang w:val="fr-FR"/>
        </w:rPr>
      </w:pPr>
    </w:p>
    <w:p w14:paraId="633F1C80" w14:textId="77777777" w:rsidR="00F51037" w:rsidRPr="004B3056" w:rsidRDefault="00F51037" w:rsidP="006B7180">
      <w:pPr>
        <w:spacing w:after="0" w:line="240" w:lineRule="auto"/>
        <w:rPr>
          <w:u w:val="single"/>
          <w:lang w:val="fr-FR"/>
        </w:rPr>
      </w:pPr>
      <w:r w:rsidRPr="004B3056">
        <w:rPr>
          <w:u w:val="single"/>
          <w:lang w:val="fr-FR"/>
        </w:rPr>
        <w:t xml:space="preserve">Jour </w:t>
      </w:r>
      <w:r w:rsidR="001304B7" w:rsidRPr="004B3056">
        <w:rPr>
          <w:u w:val="single"/>
          <w:lang w:val="fr-FR"/>
        </w:rPr>
        <w:t>5</w:t>
      </w:r>
      <w:r w:rsidR="0011274B" w:rsidRPr="004B3056">
        <w:rPr>
          <w:u w:val="single"/>
          <w:lang w:val="fr-FR"/>
        </w:rPr>
        <w:t> </w:t>
      </w:r>
      <w:r w:rsidRPr="004B3056">
        <w:rPr>
          <w:u w:val="single"/>
          <w:lang w:val="fr-FR"/>
        </w:rPr>
        <w:t xml:space="preserve">: </w:t>
      </w:r>
      <w:r w:rsidR="001304B7" w:rsidRPr="004B3056">
        <w:rPr>
          <w:u w:val="single"/>
          <w:lang w:val="fr-FR"/>
        </w:rPr>
        <w:t>jeudi 20 septembre</w:t>
      </w:r>
      <w:r w:rsidRPr="004B3056">
        <w:rPr>
          <w:u w:val="single"/>
          <w:lang w:val="fr-FR"/>
        </w:rPr>
        <w:t xml:space="preserve"> 201</w:t>
      </w:r>
      <w:r w:rsidR="001304B7" w:rsidRPr="004B3056">
        <w:rPr>
          <w:u w:val="single"/>
          <w:lang w:val="fr-FR"/>
        </w:rPr>
        <w:t>9</w:t>
      </w:r>
    </w:p>
    <w:p w14:paraId="07353A43" w14:textId="77777777" w:rsidR="00F51037" w:rsidRPr="004B3056" w:rsidRDefault="00197ADA" w:rsidP="00B67439">
      <w:pPr>
        <w:spacing w:after="0" w:line="240" w:lineRule="auto"/>
        <w:rPr>
          <w:rFonts w:cs="Arial"/>
          <w:sz w:val="18"/>
          <w:szCs w:val="18"/>
          <w:lang w:val="fr-FR"/>
        </w:rPr>
      </w:pPr>
      <w:r w:rsidRPr="004B3056">
        <w:rPr>
          <w:rFonts w:cs="Arial"/>
          <w:sz w:val="18"/>
          <w:szCs w:val="18"/>
          <w:lang w:val="fr-FR"/>
        </w:rPr>
        <w:t>Yanfolia :</w:t>
      </w:r>
      <w:r w:rsidR="00070302" w:rsidRPr="004B3056">
        <w:rPr>
          <w:rFonts w:cs="Arial"/>
          <w:sz w:val="18"/>
          <w:szCs w:val="18"/>
          <w:lang w:val="fr-FR"/>
        </w:rPr>
        <w:t xml:space="preserve">, </w:t>
      </w:r>
      <w:r w:rsidR="0070245A" w:rsidRPr="004B3056">
        <w:rPr>
          <w:rFonts w:cs="Arial"/>
          <w:sz w:val="18"/>
          <w:szCs w:val="18"/>
          <w:lang w:val="fr-FR"/>
        </w:rPr>
        <w:t xml:space="preserve">Visite </w:t>
      </w:r>
      <w:r w:rsidR="00070302" w:rsidRPr="004B3056">
        <w:rPr>
          <w:rFonts w:cs="Arial"/>
          <w:sz w:val="18"/>
          <w:szCs w:val="18"/>
          <w:lang w:val="fr-FR"/>
        </w:rPr>
        <w:t xml:space="preserve">du site d’orpaillage traditionnel à Makikila, site ayant des problèmes d’hygiène, de destruction des sols mais pas beaucoup des conflits et peu d’impact </w:t>
      </w:r>
      <w:r w:rsidR="00B67439" w:rsidRPr="004B3056">
        <w:rPr>
          <w:rFonts w:cs="Arial"/>
          <w:sz w:val="18"/>
          <w:szCs w:val="18"/>
          <w:lang w:val="fr-FR"/>
        </w:rPr>
        <w:t xml:space="preserve">environnemental </w:t>
      </w:r>
      <w:r w:rsidR="00070302" w:rsidRPr="004B3056">
        <w:rPr>
          <w:rFonts w:cs="Arial"/>
          <w:sz w:val="18"/>
          <w:szCs w:val="18"/>
          <w:lang w:val="fr-FR"/>
        </w:rPr>
        <w:t>par le drag</w:t>
      </w:r>
      <w:r w:rsidR="00B67439" w:rsidRPr="004B3056">
        <w:rPr>
          <w:rFonts w:cs="Arial"/>
          <w:sz w:val="18"/>
          <w:szCs w:val="18"/>
          <w:lang w:val="fr-FR"/>
        </w:rPr>
        <w:t xml:space="preserve">age/lavage traditionnel d’or. </w:t>
      </w:r>
    </w:p>
    <w:p w14:paraId="2008D510" w14:textId="77777777" w:rsidR="00F51037" w:rsidRPr="004B3056" w:rsidRDefault="00F51037" w:rsidP="00F51037">
      <w:pPr>
        <w:spacing w:after="0" w:line="240" w:lineRule="auto"/>
        <w:rPr>
          <w:rFonts w:cs="Arial"/>
          <w:sz w:val="18"/>
          <w:szCs w:val="18"/>
          <w:lang w:val="fr-FR"/>
        </w:rPr>
      </w:pPr>
    </w:p>
    <w:p w14:paraId="0DE28D8C" w14:textId="77777777" w:rsidR="00F51037" w:rsidRPr="004B3056" w:rsidRDefault="001304B7" w:rsidP="006B7180">
      <w:pPr>
        <w:spacing w:after="0" w:line="240" w:lineRule="auto"/>
        <w:rPr>
          <w:u w:val="single"/>
          <w:lang w:val="fr-FR"/>
        </w:rPr>
      </w:pPr>
      <w:r w:rsidRPr="004B3056">
        <w:rPr>
          <w:u w:val="single"/>
          <w:lang w:val="fr-FR"/>
        </w:rPr>
        <w:t>Jour 6</w:t>
      </w:r>
      <w:r w:rsidR="0011274B" w:rsidRPr="004B3056">
        <w:rPr>
          <w:u w:val="single"/>
          <w:lang w:val="fr-FR"/>
        </w:rPr>
        <w:t> </w:t>
      </w:r>
      <w:r w:rsidR="00F51037" w:rsidRPr="004B3056">
        <w:rPr>
          <w:u w:val="single"/>
          <w:lang w:val="fr-FR"/>
        </w:rPr>
        <w:t xml:space="preserve">: </w:t>
      </w:r>
      <w:r w:rsidRPr="004B3056">
        <w:rPr>
          <w:u w:val="single"/>
          <w:lang w:val="fr-FR"/>
        </w:rPr>
        <w:t>vendredi 21 septembre 2019</w:t>
      </w:r>
    </w:p>
    <w:p w14:paraId="475CF951" w14:textId="77777777" w:rsidR="00B67439" w:rsidRPr="004B3056" w:rsidRDefault="00B67439" w:rsidP="00B67439">
      <w:pPr>
        <w:spacing w:after="0" w:line="240" w:lineRule="auto"/>
        <w:rPr>
          <w:rFonts w:cs="Arial"/>
          <w:sz w:val="18"/>
          <w:szCs w:val="18"/>
          <w:lang w:val="fr-FR"/>
        </w:rPr>
      </w:pPr>
      <w:r w:rsidRPr="004B3056">
        <w:rPr>
          <w:rFonts w:cs="Arial"/>
          <w:sz w:val="18"/>
          <w:szCs w:val="18"/>
          <w:lang w:val="fr-FR"/>
        </w:rPr>
        <w:t>Voyage à la commune Buga (partie nord du barrage) et rencontre avec le SEGAL de la commune. Discussion de l’impact du barrage pour la commune (retombés pour la commune, développement des pêcheries, de d’irrigation,…). Visite du site du barrage et du plan d’eau</w:t>
      </w:r>
      <w:r w:rsidR="003328CB" w:rsidRPr="004B3056">
        <w:rPr>
          <w:rFonts w:cs="Arial"/>
          <w:sz w:val="18"/>
          <w:szCs w:val="18"/>
          <w:lang w:val="fr-FR"/>
        </w:rPr>
        <w:t xml:space="preserve"> (pêcheurs, érosion des berges,…)</w:t>
      </w:r>
      <w:r w:rsidRPr="004B3056">
        <w:rPr>
          <w:rFonts w:cs="Arial"/>
          <w:sz w:val="18"/>
          <w:szCs w:val="18"/>
          <w:lang w:val="fr-FR"/>
        </w:rPr>
        <w:t>.</w:t>
      </w:r>
    </w:p>
    <w:p w14:paraId="54D580E0" w14:textId="77777777" w:rsidR="00F51037" w:rsidRPr="004B3056" w:rsidRDefault="00F51037" w:rsidP="00F51037">
      <w:pPr>
        <w:spacing w:after="0" w:line="240" w:lineRule="auto"/>
        <w:rPr>
          <w:rFonts w:cs="Arial"/>
          <w:sz w:val="18"/>
          <w:szCs w:val="18"/>
          <w:lang w:val="fr-FR"/>
        </w:rPr>
      </w:pPr>
    </w:p>
    <w:p w14:paraId="1DBDF329" w14:textId="77777777" w:rsidR="00F51037" w:rsidRPr="004B3056" w:rsidRDefault="001304B7" w:rsidP="006B7180">
      <w:pPr>
        <w:spacing w:after="0" w:line="240" w:lineRule="auto"/>
        <w:rPr>
          <w:u w:val="single"/>
          <w:lang w:val="fr-FR"/>
        </w:rPr>
      </w:pPr>
      <w:r w:rsidRPr="004B3056">
        <w:rPr>
          <w:u w:val="single"/>
          <w:lang w:val="fr-FR"/>
        </w:rPr>
        <w:t>Jour 7</w:t>
      </w:r>
      <w:r w:rsidR="0011274B" w:rsidRPr="004B3056">
        <w:rPr>
          <w:u w:val="single"/>
          <w:lang w:val="fr-FR"/>
        </w:rPr>
        <w:t> </w:t>
      </w:r>
      <w:r w:rsidR="00F51037" w:rsidRPr="004B3056">
        <w:rPr>
          <w:u w:val="single"/>
          <w:lang w:val="fr-FR"/>
        </w:rPr>
        <w:t xml:space="preserve">: </w:t>
      </w:r>
      <w:r w:rsidRPr="004B3056">
        <w:rPr>
          <w:u w:val="single"/>
          <w:lang w:val="fr-FR"/>
        </w:rPr>
        <w:t>samedi 22 septembre 2019</w:t>
      </w:r>
    </w:p>
    <w:p w14:paraId="1B2620F2" w14:textId="77777777" w:rsidR="00F51037" w:rsidRPr="004B3056" w:rsidRDefault="00B06FA5" w:rsidP="00B06FA5">
      <w:pPr>
        <w:spacing w:after="0" w:line="240" w:lineRule="auto"/>
        <w:rPr>
          <w:rFonts w:cs="Arial"/>
          <w:sz w:val="18"/>
          <w:szCs w:val="18"/>
          <w:lang w:val="fr-FR"/>
        </w:rPr>
      </w:pPr>
      <w:r w:rsidRPr="004B3056">
        <w:rPr>
          <w:rFonts w:cs="Arial"/>
          <w:sz w:val="18"/>
          <w:szCs w:val="18"/>
          <w:lang w:val="fr-FR"/>
        </w:rPr>
        <w:t xml:space="preserve">Retour </w:t>
      </w:r>
      <w:r w:rsidR="00B67439" w:rsidRPr="004B3056">
        <w:rPr>
          <w:rFonts w:cs="Arial"/>
          <w:sz w:val="18"/>
          <w:szCs w:val="18"/>
          <w:lang w:val="fr-FR"/>
        </w:rPr>
        <w:t xml:space="preserve">à Bamako avec </w:t>
      </w:r>
      <w:r w:rsidRPr="004B3056">
        <w:rPr>
          <w:rFonts w:cs="Arial"/>
          <w:sz w:val="18"/>
          <w:szCs w:val="18"/>
          <w:lang w:val="fr-FR"/>
        </w:rPr>
        <w:t>observation des mesures d’atténuation (reboisement) de la réhabilitation de la route et d’extension des complexes industrielles au sud de Bamako.</w:t>
      </w:r>
    </w:p>
    <w:p w14:paraId="20CAAE78" w14:textId="77777777" w:rsidR="00F51037" w:rsidRPr="004B3056" w:rsidRDefault="00F51037" w:rsidP="00F51037">
      <w:pPr>
        <w:spacing w:after="0" w:line="240" w:lineRule="auto"/>
        <w:rPr>
          <w:rFonts w:cs="Arial"/>
          <w:sz w:val="18"/>
          <w:szCs w:val="18"/>
          <w:lang w:val="fr-FR"/>
        </w:rPr>
      </w:pPr>
    </w:p>
    <w:p w14:paraId="1A94012C" w14:textId="77777777" w:rsidR="005732E9" w:rsidRPr="004B3056" w:rsidRDefault="005732E9">
      <w:pPr>
        <w:rPr>
          <w:rFonts w:eastAsia="Calibri" w:cs="Arial"/>
          <w:b/>
          <w:bCs/>
          <w:sz w:val="20"/>
          <w:szCs w:val="20"/>
          <w:lang w:val="fr-FR" w:eastAsia="fr-FR"/>
        </w:rPr>
      </w:pPr>
      <w:r w:rsidRPr="004B3056">
        <w:rPr>
          <w:rFonts w:eastAsia="Calibri" w:cs="Arial"/>
          <w:sz w:val="20"/>
          <w:szCs w:val="20"/>
          <w:lang w:val="fr-FR" w:eastAsia="fr-FR"/>
        </w:rPr>
        <w:br w:type="page"/>
      </w:r>
    </w:p>
    <w:p w14:paraId="3AFDA4B7" w14:textId="77777777" w:rsidR="00282133" w:rsidRPr="000806D2" w:rsidRDefault="003B087C" w:rsidP="00770DD7">
      <w:pPr>
        <w:pStyle w:val="Titre2"/>
        <w:rPr>
          <w:lang w:eastAsia="fr-FR"/>
        </w:rPr>
      </w:pPr>
      <w:bookmarkStart w:id="148" w:name="_Toc393900329"/>
      <w:bookmarkStart w:id="149" w:name="_Toc20505721"/>
      <w:r w:rsidRPr="00BA1CEF">
        <w:rPr>
          <w:lang w:eastAsia="fr-FR"/>
        </w:rPr>
        <w:lastRenderedPageBreak/>
        <w:t>8</w:t>
      </w:r>
      <w:r w:rsidR="00E87B53" w:rsidRPr="00BA1CEF">
        <w:rPr>
          <w:lang w:eastAsia="fr-FR"/>
        </w:rPr>
        <w:t>.4</w:t>
      </w:r>
      <w:r w:rsidR="00282133" w:rsidRPr="00BA1CEF">
        <w:rPr>
          <w:lang w:eastAsia="fr-FR"/>
        </w:rPr>
        <w:t xml:space="preserve"> Personnes / organisations consultées, avec références institutionnelles et contact</w:t>
      </w:r>
      <w:bookmarkEnd w:id="148"/>
      <w:bookmarkEnd w:id="149"/>
    </w:p>
    <w:p w14:paraId="2FA4CF02" w14:textId="77777777" w:rsidR="00282133" w:rsidRPr="00120C34" w:rsidRDefault="00282133" w:rsidP="00282133">
      <w:pPr>
        <w:spacing w:after="0" w:line="240" w:lineRule="auto"/>
        <w:rPr>
          <w:rFonts w:eastAsia="Calibri" w:cs="Arial"/>
          <w:lang w:val="fr-FR" w:eastAsia="fr-FR"/>
        </w:rPr>
      </w:pPr>
    </w:p>
    <w:tbl>
      <w:tblPr>
        <w:tblStyle w:val="Grilledutableau"/>
        <w:tblW w:w="9828" w:type="dxa"/>
        <w:jc w:val="center"/>
        <w:tblLayout w:type="fixed"/>
        <w:tblLook w:val="01E0" w:firstRow="1" w:lastRow="1" w:firstColumn="1" w:lastColumn="1" w:noHBand="0" w:noVBand="0"/>
      </w:tblPr>
      <w:tblGrid>
        <w:gridCol w:w="1910"/>
        <w:gridCol w:w="1978"/>
        <w:gridCol w:w="2520"/>
        <w:gridCol w:w="3420"/>
      </w:tblGrid>
      <w:tr w:rsidR="008B2B8B" w:rsidRPr="004351DA" w14:paraId="0AB8D40D" w14:textId="77777777" w:rsidTr="008F27C9">
        <w:trPr>
          <w:cantSplit/>
          <w:trHeight w:val="20"/>
          <w:tblHeader/>
          <w:jc w:val="center"/>
        </w:trPr>
        <w:tc>
          <w:tcPr>
            <w:tcW w:w="1910" w:type="dxa"/>
            <w:shd w:val="clear" w:color="auto" w:fill="CCCCCC"/>
            <w:vAlign w:val="center"/>
          </w:tcPr>
          <w:p w14:paraId="60A640FD" w14:textId="77777777" w:rsidR="008B2B8B" w:rsidRPr="004351DA" w:rsidRDefault="008B2B8B" w:rsidP="00B72A95">
            <w:pPr>
              <w:rPr>
                <w:rFonts w:cs="Arial"/>
                <w:sz w:val="17"/>
                <w:szCs w:val="17"/>
                <w:lang w:val="fr-FR" w:eastAsia="zh-CN"/>
              </w:rPr>
            </w:pPr>
            <w:r w:rsidRPr="004351DA">
              <w:rPr>
                <w:rFonts w:cs="Arial"/>
                <w:sz w:val="17"/>
                <w:szCs w:val="17"/>
                <w:lang w:val="fr-FR" w:eastAsia="zh-CN"/>
              </w:rPr>
              <w:t>NOM</w:t>
            </w:r>
          </w:p>
        </w:tc>
        <w:tc>
          <w:tcPr>
            <w:tcW w:w="1978" w:type="dxa"/>
            <w:shd w:val="clear" w:color="auto" w:fill="CCCCCC"/>
            <w:vAlign w:val="center"/>
          </w:tcPr>
          <w:p w14:paraId="65180BC4" w14:textId="77777777" w:rsidR="008B2B8B" w:rsidRPr="004351DA" w:rsidRDefault="008B2B8B" w:rsidP="00B72A95">
            <w:pPr>
              <w:rPr>
                <w:rFonts w:cs="Arial"/>
                <w:sz w:val="17"/>
                <w:szCs w:val="17"/>
                <w:lang w:val="fr-FR" w:eastAsia="zh-CN"/>
              </w:rPr>
            </w:pPr>
            <w:r w:rsidRPr="004351DA">
              <w:rPr>
                <w:rFonts w:cs="Arial"/>
                <w:sz w:val="17"/>
                <w:szCs w:val="17"/>
                <w:lang w:val="fr-FR" w:eastAsia="zh-CN"/>
              </w:rPr>
              <w:t>ORGANISATION</w:t>
            </w:r>
          </w:p>
        </w:tc>
        <w:tc>
          <w:tcPr>
            <w:tcW w:w="2520" w:type="dxa"/>
            <w:shd w:val="clear" w:color="auto" w:fill="CCCCCC"/>
            <w:vAlign w:val="center"/>
          </w:tcPr>
          <w:p w14:paraId="66884095" w14:textId="77777777" w:rsidR="008B2B8B" w:rsidRPr="004351DA" w:rsidRDefault="008B2B8B" w:rsidP="00B72A95">
            <w:pPr>
              <w:rPr>
                <w:rFonts w:cs="Arial"/>
                <w:sz w:val="17"/>
                <w:szCs w:val="17"/>
                <w:lang w:val="fr-FR" w:eastAsia="zh-CN"/>
              </w:rPr>
            </w:pPr>
            <w:r w:rsidRPr="004351DA">
              <w:rPr>
                <w:rFonts w:cs="Arial"/>
                <w:sz w:val="17"/>
                <w:szCs w:val="17"/>
                <w:lang w:val="fr-FR" w:eastAsia="zh-CN"/>
              </w:rPr>
              <w:t>FONCTION</w:t>
            </w:r>
          </w:p>
        </w:tc>
        <w:tc>
          <w:tcPr>
            <w:tcW w:w="3420" w:type="dxa"/>
            <w:shd w:val="clear" w:color="auto" w:fill="CCCCCC"/>
            <w:vAlign w:val="center"/>
          </w:tcPr>
          <w:p w14:paraId="142280EE" w14:textId="77777777" w:rsidR="008B2B8B" w:rsidRPr="004351DA" w:rsidRDefault="008B2B8B" w:rsidP="00B72A95">
            <w:pPr>
              <w:rPr>
                <w:rFonts w:cs="Arial"/>
                <w:sz w:val="17"/>
                <w:szCs w:val="17"/>
                <w:lang w:val="fr-FR" w:eastAsia="zh-CN"/>
              </w:rPr>
            </w:pPr>
            <w:r w:rsidRPr="004351DA">
              <w:rPr>
                <w:rFonts w:cs="Arial"/>
                <w:sz w:val="17"/>
                <w:szCs w:val="17"/>
                <w:lang w:val="fr-FR" w:eastAsia="zh-CN"/>
              </w:rPr>
              <w:t>CONTACT</w:t>
            </w:r>
          </w:p>
        </w:tc>
      </w:tr>
      <w:tr w:rsidR="00BA1CEF" w:rsidRPr="00BA1CEF" w14:paraId="7029966E" w14:textId="77777777" w:rsidTr="008F27C9">
        <w:trPr>
          <w:cantSplit/>
          <w:trHeight w:val="20"/>
          <w:jc w:val="center"/>
        </w:trPr>
        <w:tc>
          <w:tcPr>
            <w:tcW w:w="1910" w:type="dxa"/>
            <w:vAlign w:val="center"/>
          </w:tcPr>
          <w:p w14:paraId="6FABA2EE" w14:textId="77777777" w:rsidR="008814D9" w:rsidRPr="00BA1CEF" w:rsidRDefault="00EC73D9" w:rsidP="00B72A95">
            <w:pPr>
              <w:spacing w:after="0" w:line="240" w:lineRule="auto"/>
              <w:rPr>
                <w:rFonts w:cs="Arial"/>
                <w:sz w:val="17"/>
                <w:szCs w:val="17"/>
                <w:lang w:val="fr-FR" w:eastAsia="zh-CN"/>
              </w:rPr>
            </w:pPr>
            <w:r w:rsidRPr="00BA1CEF">
              <w:rPr>
                <w:rFonts w:cs="Arial"/>
                <w:sz w:val="17"/>
                <w:szCs w:val="17"/>
                <w:lang w:val="fr-FR" w:eastAsia="zh-CN"/>
              </w:rPr>
              <w:t>Alain HOLLEVILLE</w:t>
            </w:r>
          </w:p>
        </w:tc>
        <w:tc>
          <w:tcPr>
            <w:tcW w:w="1978" w:type="dxa"/>
            <w:vAlign w:val="center"/>
          </w:tcPr>
          <w:p w14:paraId="269664BF" w14:textId="77777777" w:rsidR="008814D9" w:rsidRPr="00BA1CEF" w:rsidRDefault="00EC73D9" w:rsidP="00B72A95">
            <w:pPr>
              <w:spacing w:after="0" w:line="240" w:lineRule="auto"/>
              <w:rPr>
                <w:rFonts w:cs="Arial"/>
                <w:sz w:val="17"/>
                <w:szCs w:val="17"/>
                <w:lang w:val="fr-FR" w:eastAsia="zh-CN"/>
              </w:rPr>
            </w:pPr>
            <w:r w:rsidRPr="00BA1CEF">
              <w:rPr>
                <w:rFonts w:cs="Arial"/>
                <w:sz w:val="17"/>
                <w:szCs w:val="17"/>
                <w:lang w:val="fr-FR" w:eastAsia="zh-CN"/>
              </w:rPr>
              <w:t>Union Européenne</w:t>
            </w:r>
          </w:p>
        </w:tc>
        <w:tc>
          <w:tcPr>
            <w:tcW w:w="2520" w:type="dxa"/>
            <w:vAlign w:val="center"/>
          </w:tcPr>
          <w:p w14:paraId="72A3B698" w14:textId="77777777" w:rsidR="008814D9" w:rsidRPr="00BA1CEF" w:rsidRDefault="00EC73D9" w:rsidP="00B72A95">
            <w:pPr>
              <w:spacing w:after="0" w:line="240" w:lineRule="auto"/>
              <w:rPr>
                <w:rFonts w:cs="Arial"/>
                <w:sz w:val="17"/>
                <w:szCs w:val="17"/>
                <w:lang w:val="fr-FR" w:eastAsia="zh-CN"/>
              </w:rPr>
            </w:pPr>
            <w:r w:rsidRPr="00BA1CEF">
              <w:rPr>
                <w:rFonts w:cs="Arial"/>
                <w:sz w:val="17"/>
                <w:szCs w:val="17"/>
                <w:lang w:val="fr-FR" w:eastAsia="zh-CN"/>
              </w:rPr>
              <w:t>Ambassadeur de l’Union européenne</w:t>
            </w:r>
          </w:p>
        </w:tc>
        <w:tc>
          <w:tcPr>
            <w:tcW w:w="3420" w:type="dxa"/>
            <w:vAlign w:val="center"/>
          </w:tcPr>
          <w:p w14:paraId="0DA0E2CD" w14:textId="77777777" w:rsidR="008814D9" w:rsidRPr="00BA1CEF" w:rsidRDefault="008814D9" w:rsidP="00B72A95">
            <w:pPr>
              <w:spacing w:after="0" w:line="240" w:lineRule="auto"/>
              <w:rPr>
                <w:rFonts w:cs="Arial"/>
                <w:sz w:val="17"/>
                <w:szCs w:val="17"/>
                <w:lang w:val="pt-PT" w:eastAsia="fr-FR"/>
              </w:rPr>
            </w:pPr>
          </w:p>
        </w:tc>
      </w:tr>
      <w:tr w:rsidR="00BA1CEF" w:rsidRPr="00BA1CEF" w14:paraId="6E7ED610" w14:textId="77777777" w:rsidTr="008F27C9">
        <w:tblPrEx>
          <w:tblLook w:val="04A0" w:firstRow="1" w:lastRow="0" w:firstColumn="1" w:lastColumn="0" w:noHBand="0" w:noVBand="1"/>
        </w:tblPrEx>
        <w:trPr>
          <w:trHeight w:val="20"/>
          <w:jc w:val="center"/>
        </w:trPr>
        <w:tc>
          <w:tcPr>
            <w:tcW w:w="1910" w:type="dxa"/>
          </w:tcPr>
          <w:p w14:paraId="067CF080" w14:textId="77777777" w:rsidR="00EC73D9" w:rsidRPr="00BA1CEF" w:rsidRDefault="00EC73D9" w:rsidP="001E0A2F">
            <w:pPr>
              <w:spacing w:after="0" w:line="240" w:lineRule="auto"/>
              <w:rPr>
                <w:rFonts w:cs="Arial"/>
                <w:sz w:val="17"/>
                <w:szCs w:val="17"/>
                <w:lang w:val="fr-FR" w:eastAsia="zh-CN"/>
              </w:rPr>
            </w:pPr>
            <w:r w:rsidRPr="00BA1CEF">
              <w:rPr>
                <w:rFonts w:cs="Arial"/>
                <w:sz w:val="17"/>
                <w:szCs w:val="17"/>
                <w:lang w:val="fr-FR" w:eastAsia="zh-CN"/>
              </w:rPr>
              <w:t>Amaury HOSTE</w:t>
            </w:r>
          </w:p>
        </w:tc>
        <w:tc>
          <w:tcPr>
            <w:tcW w:w="1978" w:type="dxa"/>
          </w:tcPr>
          <w:p w14:paraId="02231FC4" w14:textId="77777777" w:rsidR="00EC73D9" w:rsidRPr="00BA1CEF" w:rsidRDefault="00EC73D9" w:rsidP="001E0A2F">
            <w:pPr>
              <w:spacing w:after="0" w:line="240" w:lineRule="auto"/>
              <w:rPr>
                <w:rFonts w:cs="Arial"/>
                <w:sz w:val="17"/>
                <w:szCs w:val="17"/>
                <w:lang w:val="fr-FR" w:eastAsia="zh-CN"/>
              </w:rPr>
            </w:pPr>
            <w:r w:rsidRPr="00BA1CEF">
              <w:rPr>
                <w:rFonts w:cs="Arial"/>
                <w:sz w:val="17"/>
                <w:szCs w:val="17"/>
                <w:lang w:val="fr-FR" w:eastAsia="zh-CN"/>
              </w:rPr>
              <w:t>Union Européenne</w:t>
            </w:r>
          </w:p>
        </w:tc>
        <w:tc>
          <w:tcPr>
            <w:tcW w:w="2520" w:type="dxa"/>
          </w:tcPr>
          <w:p w14:paraId="18865DB3" w14:textId="77777777" w:rsidR="00EC73D9" w:rsidRPr="00BA1CEF" w:rsidRDefault="00EC73D9" w:rsidP="001E0A2F">
            <w:pPr>
              <w:spacing w:after="0" w:line="240" w:lineRule="auto"/>
              <w:jc w:val="left"/>
              <w:rPr>
                <w:rFonts w:cs="Arial"/>
                <w:sz w:val="17"/>
                <w:szCs w:val="17"/>
                <w:lang w:val="fr-FR" w:eastAsia="zh-CN"/>
              </w:rPr>
            </w:pPr>
            <w:r w:rsidRPr="00BA1CEF">
              <w:rPr>
                <w:rFonts w:cs="Arial"/>
                <w:sz w:val="17"/>
                <w:szCs w:val="17"/>
                <w:lang w:val="fr-FR" w:eastAsia="zh-CN"/>
              </w:rPr>
              <w:t>Chef de l’équipe développement rural, sécurité alimentaire, environnement et décentralisation</w:t>
            </w:r>
          </w:p>
        </w:tc>
        <w:tc>
          <w:tcPr>
            <w:tcW w:w="3420" w:type="dxa"/>
          </w:tcPr>
          <w:p w14:paraId="75C5580B" w14:textId="77777777" w:rsidR="00EC73D9" w:rsidRPr="00BA1CEF" w:rsidRDefault="00EC73D9" w:rsidP="001E0A2F">
            <w:pPr>
              <w:spacing w:after="0" w:line="240" w:lineRule="auto"/>
              <w:rPr>
                <w:rFonts w:cs="Arial"/>
                <w:sz w:val="17"/>
                <w:szCs w:val="17"/>
                <w:lang w:val="pt-PT" w:eastAsia="fr-FR"/>
              </w:rPr>
            </w:pPr>
            <w:r w:rsidRPr="00BA1CEF">
              <w:rPr>
                <w:rFonts w:cs="Arial"/>
                <w:sz w:val="17"/>
                <w:szCs w:val="17"/>
                <w:lang w:val="pt-PT" w:eastAsia="fr-FR"/>
              </w:rPr>
              <w:t>Tél: 44 92 92 92 92</w:t>
            </w:r>
          </w:p>
          <w:p w14:paraId="2ECFA1CC" w14:textId="77777777" w:rsidR="00EC73D9" w:rsidRPr="00BA1CEF" w:rsidRDefault="00EC73D9" w:rsidP="001E0A2F">
            <w:pPr>
              <w:spacing w:after="0" w:line="240" w:lineRule="auto"/>
              <w:rPr>
                <w:rFonts w:cs="Arial"/>
                <w:sz w:val="17"/>
                <w:szCs w:val="17"/>
                <w:lang w:val="pt-PT" w:eastAsia="fr-FR"/>
              </w:rPr>
            </w:pPr>
            <w:r w:rsidRPr="00BA1CEF">
              <w:rPr>
                <w:rFonts w:cs="Arial"/>
                <w:sz w:val="17"/>
                <w:szCs w:val="17"/>
                <w:lang w:val="pt-PT" w:eastAsia="fr-FR"/>
              </w:rPr>
              <w:t xml:space="preserve">e-mail: </w:t>
            </w:r>
            <w:hyperlink r:id="rId63" w:history="1">
              <w:r w:rsidRPr="00BA1CEF">
                <w:rPr>
                  <w:rStyle w:val="Lienhypertexte"/>
                  <w:rFonts w:cs="Arial"/>
                  <w:color w:val="auto"/>
                  <w:sz w:val="17"/>
                  <w:szCs w:val="17"/>
                  <w:lang w:val="pt-PT" w:eastAsia="fr-FR"/>
                </w:rPr>
                <w:t>amaury.hoste@eeas.europa.eu</w:t>
              </w:r>
            </w:hyperlink>
          </w:p>
        </w:tc>
      </w:tr>
      <w:tr w:rsidR="00BA1CEF" w:rsidRPr="00BA1CEF" w14:paraId="2290BFCB" w14:textId="77777777" w:rsidTr="008F27C9">
        <w:tblPrEx>
          <w:tblLook w:val="04A0" w:firstRow="1" w:lastRow="0" w:firstColumn="1" w:lastColumn="0" w:noHBand="0" w:noVBand="1"/>
        </w:tblPrEx>
        <w:trPr>
          <w:trHeight w:val="20"/>
          <w:jc w:val="center"/>
        </w:trPr>
        <w:tc>
          <w:tcPr>
            <w:tcW w:w="1910" w:type="dxa"/>
          </w:tcPr>
          <w:p w14:paraId="12E7248B" w14:textId="77777777" w:rsidR="00EC73D9" w:rsidRPr="00BA1CEF" w:rsidRDefault="00EC73D9" w:rsidP="00EC73D9">
            <w:pPr>
              <w:spacing w:after="0" w:line="240" w:lineRule="auto"/>
              <w:jc w:val="left"/>
              <w:rPr>
                <w:rFonts w:cs="Arial"/>
                <w:sz w:val="17"/>
                <w:szCs w:val="17"/>
                <w:lang w:val="fr-FR" w:eastAsia="zh-CN"/>
              </w:rPr>
            </w:pPr>
            <w:r w:rsidRPr="00BA1CEF">
              <w:rPr>
                <w:rFonts w:cs="Arial"/>
                <w:sz w:val="17"/>
                <w:szCs w:val="17"/>
                <w:lang w:val="fr-FR" w:eastAsia="zh-CN"/>
              </w:rPr>
              <w:t>Paulino ISIDORO-RAMIREZ</w:t>
            </w:r>
          </w:p>
        </w:tc>
        <w:tc>
          <w:tcPr>
            <w:tcW w:w="1978" w:type="dxa"/>
          </w:tcPr>
          <w:p w14:paraId="48719E5F" w14:textId="77777777" w:rsidR="00EC73D9" w:rsidRPr="00BA1CEF" w:rsidRDefault="00EC73D9" w:rsidP="001E0A2F">
            <w:pPr>
              <w:spacing w:after="0" w:line="240" w:lineRule="auto"/>
              <w:rPr>
                <w:rFonts w:cs="Arial"/>
                <w:sz w:val="17"/>
                <w:szCs w:val="17"/>
                <w:lang w:val="fr-FR" w:eastAsia="zh-CN"/>
              </w:rPr>
            </w:pPr>
            <w:r w:rsidRPr="00BA1CEF">
              <w:rPr>
                <w:rFonts w:cs="Arial"/>
                <w:sz w:val="17"/>
                <w:szCs w:val="17"/>
                <w:lang w:val="fr-FR" w:eastAsia="zh-CN"/>
              </w:rPr>
              <w:t>Union Européenne</w:t>
            </w:r>
          </w:p>
        </w:tc>
        <w:tc>
          <w:tcPr>
            <w:tcW w:w="2520" w:type="dxa"/>
          </w:tcPr>
          <w:p w14:paraId="49D56CFD" w14:textId="77777777" w:rsidR="00EC73D9" w:rsidRPr="00BA1CEF" w:rsidRDefault="00EC73D9" w:rsidP="001E0A2F">
            <w:pPr>
              <w:spacing w:after="0" w:line="240" w:lineRule="auto"/>
              <w:jc w:val="left"/>
              <w:rPr>
                <w:rFonts w:cs="Arial"/>
                <w:sz w:val="17"/>
                <w:szCs w:val="17"/>
                <w:lang w:val="fr-FR" w:eastAsia="zh-CN"/>
              </w:rPr>
            </w:pPr>
            <w:r w:rsidRPr="00BA1CEF">
              <w:rPr>
                <w:rFonts w:cs="Arial"/>
                <w:sz w:val="17"/>
                <w:szCs w:val="17"/>
                <w:lang w:val="fr-FR" w:eastAsia="zh-CN"/>
              </w:rPr>
              <w:t>Chargé de programme développement rural, sécurité alimentaire, environnement et décentralisation</w:t>
            </w:r>
          </w:p>
        </w:tc>
        <w:tc>
          <w:tcPr>
            <w:tcW w:w="3420" w:type="dxa"/>
          </w:tcPr>
          <w:p w14:paraId="1BC314E2" w14:textId="77777777" w:rsidR="00EC73D9" w:rsidRPr="00BA1CEF" w:rsidRDefault="00EC73D9" w:rsidP="001E0A2F">
            <w:pPr>
              <w:spacing w:after="0" w:line="240" w:lineRule="auto"/>
              <w:rPr>
                <w:rFonts w:cs="Arial"/>
                <w:sz w:val="17"/>
                <w:szCs w:val="17"/>
                <w:lang w:val="pt-PT" w:eastAsia="fr-FR"/>
              </w:rPr>
            </w:pPr>
            <w:r w:rsidRPr="00BA1CEF">
              <w:rPr>
                <w:rFonts w:cs="Arial"/>
                <w:sz w:val="17"/>
                <w:szCs w:val="17"/>
                <w:lang w:val="pt-PT" w:eastAsia="fr-FR"/>
              </w:rPr>
              <w:t>Tél: 44 92 92 92/8341</w:t>
            </w:r>
          </w:p>
          <w:p w14:paraId="2604D5F4" w14:textId="77777777" w:rsidR="00EC73D9" w:rsidRPr="00BA1CEF" w:rsidRDefault="00EC73D9" w:rsidP="001E0A2F">
            <w:pPr>
              <w:spacing w:after="0" w:line="240" w:lineRule="auto"/>
              <w:rPr>
                <w:rFonts w:cs="Arial"/>
                <w:sz w:val="17"/>
                <w:szCs w:val="17"/>
                <w:lang w:val="pt-PT" w:eastAsia="fr-FR"/>
              </w:rPr>
            </w:pPr>
            <w:r w:rsidRPr="00BA1CEF">
              <w:rPr>
                <w:rFonts w:cs="Arial"/>
                <w:sz w:val="17"/>
                <w:szCs w:val="17"/>
                <w:lang w:val="pt-PT" w:eastAsia="fr-FR"/>
              </w:rPr>
              <w:t xml:space="preserve">e-mail: </w:t>
            </w:r>
            <w:hyperlink r:id="rId64" w:history="1">
              <w:r w:rsidRPr="00BA1CEF">
                <w:rPr>
                  <w:rStyle w:val="Lienhypertexte"/>
                  <w:rFonts w:cs="Arial"/>
                  <w:color w:val="auto"/>
                  <w:sz w:val="17"/>
                  <w:szCs w:val="17"/>
                  <w:lang w:val="pt-PT" w:eastAsia="fr-FR"/>
                </w:rPr>
                <w:t>paulino.isidoro-ramirez@eeas.europa.eu</w:t>
              </w:r>
            </w:hyperlink>
          </w:p>
        </w:tc>
      </w:tr>
      <w:tr w:rsidR="00BA1CEF" w:rsidRPr="00BA1CEF" w14:paraId="6B8CBF29" w14:textId="77777777" w:rsidTr="008F27C9">
        <w:tblPrEx>
          <w:tblLook w:val="04A0" w:firstRow="1" w:lastRow="0" w:firstColumn="1" w:lastColumn="0" w:noHBand="0" w:noVBand="1"/>
        </w:tblPrEx>
        <w:trPr>
          <w:trHeight w:val="20"/>
          <w:jc w:val="center"/>
        </w:trPr>
        <w:tc>
          <w:tcPr>
            <w:tcW w:w="1910" w:type="dxa"/>
          </w:tcPr>
          <w:p w14:paraId="261A9388" w14:textId="77777777" w:rsidR="00EC73D9" w:rsidRPr="00BA1CEF" w:rsidRDefault="00EC73D9" w:rsidP="001E0A2F">
            <w:pPr>
              <w:spacing w:after="0" w:line="240" w:lineRule="auto"/>
              <w:rPr>
                <w:rFonts w:cs="Arial"/>
                <w:sz w:val="17"/>
                <w:szCs w:val="17"/>
                <w:lang w:val="fr-FR" w:eastAsia="zh-CN"/>
              </w:rPr>
            </w:pPr>
            <w:r w:rsidRPr="00BA1CEF">
              <w:rPr>
                <w:rFonts w:cs="Arial"/>
                <w:sz w:val="17"/>
                <w:szCs w:val="17"/>
                <w:lang w:val="fr-FR" w:eastAsia="zh-CN"/>
              </w:rPr>
              <w:t>Seydou SOGOBA</w:t>
            </w:r>
          </w:p>
        </w:tc>
        <w:tc>
          <w:tcPr>
            <w:tcW w:w="1978" w:type="dxa"/>
          </w:tcPr>
          <w:p w14:paraId="649A9881" w14:textId="77777777" w:rsidR="00EC73D9" w:rsidRPr="00BA1CEF" w:rsidRDefault="00EC73D9" w:rsidP="001E0A2F">
            <w:pPr>
              <w:spacing w:after="0" w:line="240" w:lineRule="auto"/>
              <w:rPr>
                <w:rFonts w:cs="Arial"/>
                <w:sz w:val="17"/>
                <w:szCs w:val="17"/>
                <w:lang w:val="fr-FR" w:eastAsia="zh-CN"/>
              </w:rPr>
            </w:pPr>
            <w:r w:rsidRPr="00BA1CEF">
              <w:rPr>
                <w:rFonts w:cs="Arial"/>
                <w:sz w:val="17"/>
                <w:szCs w:val="17"/>
                <w:lang w:val="fr-FR" w:eastAsia="zh-CN"/>
              </w:rPr>
              <w:t>Union Européenne</w:t>
            </w:r>
          </w:p>
        </w:tc>
        <w:tc>
          <w:tcPr>
            <w:tcW w:w="2520" w:type="dxa"/>
          </w:tcPr>
          <w:p w14:paraId="19D96D60" w14:textId="77777777" w:rsidR="00EC73D9" w:rsidRPr="00BA1CEF" w:rsidRDefault="00EC73D9" w:rsidP="001E0A2F">
            <w:pPr>
              <w:spacing w:after="0" w:line="240" w:lineRule="auto"/>
              <w:rPr>
                <w:rFonts w:cs="Arial"/>
                <w:sz w:val="17"/>
                <w:szCs w:val="17"/>
                <w:lang w:val="fr-FR" w:eastAsia="zh-CN"/>
              </w:rPr>
            </w:pPr>
            <w:r w:rsidRPr="00BA1CEF">
              <w:rPr>
                <w:rFonts w:cs="Arial"/>
                <w:sz w:val="17"/>
                <w:szCs w:val="17"/>
                <w:lang w:val="fr-FR" w:eastAsia="zh-CN"/>
              </w:rPr>
              <w:t>Chargé de programme Transports</w:t>
            </w:r>
            <w:r w:rsidR="008F27C9" w:rsidRPr="00BA1CEF">
              <w:rPr>
                <w:rFonts w:cs="Arial"/>
                <w:sz w:val="17"/>
                <w:szCs w:val="17"/>
                <w:lang w:val="fr-FR" w:eastAsia="zh-CN"/>
              </w:rPr>
              <w:t xml:space="preserve"> et Energie</w:t>
            </w:r>
          </w:p>
        </w:tc>
        <w:tc>
          <w:tcPr>
            <w:tcW w:w="3420" w:type="dxa"/>
          </w:tcPr>
          <w:p w14:paraId="4545AD8D" w14:textId="77777777" w:rsidR="00EC73D9" w:rsidRPr="00983A2A" w:rsidRDefault="00EC73D9" w:rsidP="001E0A2F">
            <w:pPr>
              <w:spacing w:after="0" w:line="240" w:lineRule="auto"/>
              <w:rPr>
                <w:rFonts w:cs="Arial"/>
                <w:sz w:val="17"/>
                <w:szCs w:val="17"/>
                <w:lang w:val="fr-FR" w:eastAsia="fr-FR"/>
              </w:rPr>
            </w:pPr>
            <w:r w:rsidRPr="00983A2A">
              <w:rPr>
                <w:rFonts w:cs="Arial"/>
                <w:sz w:val="17"/>
                <w:szCs w:val="17"/>
                <w:lang w:val="fr-FR" w:eastAsia="fr-FR"/>
              </w:rPr>
              <w:t>Tél : 44 98 34 23</w:t>
            </w:r>
          </w:p>
          <w:p w14:paraId="1D1FE479" w14:textId="77777777" w:rsidR="00EC73D9" w:rsidRPr="00983A2A" w:rsidRDefault="00EC73D9" w:rsidP="001E0A2F">
            <w:pPr>
              <w:spacing w:after="0" w:line="240" w:lineRule="auto"/>
              <w:rPr>
                <w:rFonts w:cs="Arial"/>
                <w:sz w:val="17"/>
                <w:szCs w:val="17"/>
                <w:lang w:val="fr-FR" w:eastAsia="fr-FR"/>
              </w:rPr>
            </w:pPr>
            <w:r w:rsidRPr="00983A2A">
              <w:rPr>
                <w:rFonts w:cs="Arial"/>
                <w:sz w:val="17"/>
                <w:szCs w:val="17"/>
                <w:lang w:val="fr-FR" w:eastAsia="fr-FR"/>
              </w:rPr>
              <w:t>e-mail </w:t>
            </w:r>
            <w:r w:rsidRPr="00983A2A">
              <w:rPr>
                <w:rFonts w:cs="Arial"/>
                <w:sz w:val="16"/>
                <w:szCs w:val="16"/>
                <w:lang w:val="fr-FR" w:eastAsia="fr-FR"/>
              </w:rPr>
              <w:t>:</w:t>
            </w:r>
            <w:r w:rsidRPr="00983A2A">
              <w:rPr>
                <w:sz w:val="16"/>
                <w:szCs w:val="16"/>
                <w:lang w:val="fr-FR"/>
              </w:rPr>
              <w:t>seydou.sogoba@eeas.europa.eu</w:t>
            </w:r>
          </w:p>
        </w:tc>
      </w:tr>
      <w:tr w:rsidR="00BA1CEF" w:rsidRPr="00BA1CEF" w14:paraId="5E6950BF" w14:textId="77777777" w:rsidTr="008F27C9">
        <w:trPr>
          <w:cantSplit/>
          <w:trHeight w:val="20"/>
          <w:jc w:val="center"/>
        </w:trPr>
        <w:tc>
          <w:tcPr>
            <w:tcW w:w="1910" w:type="dxa"/>
            <w:vAlign w:val="center"/>
          </w:tcPr>
          <w:p w14:paraId="118E737F" w14:textId="77777777" w:rsidR="008B2B8B" w:rsidRPr="00BA1CEF" w:rsidRDefault="008B2B8B" w:rsidP="00EC73D9">
            <w:pPr>
              <w:spacing w:after="0" w:line="240" w:lineRule="auto"/>
              <w:jc w:val="left"/>
              <w:rPr>
                <w:rFonts w:cs="Arial"/>
                <w:sz w:val="17"/>
                <w:szCs w:val="17"/>
                <w:lang w:val="fr-FR" w:eastAsia="zh-CN"/>
              </w:rPr>
            </w:pPr>
            <w:r w:rsidRPr="00BA1CEF">
              <w:rPr>
                <w:rFonts w:cs="Arial"/>
                <w:sz w:val="17"/>
                <w:szCs w:val="17"/>
                <w:lang w:val="fr-FR" w:eastAsia="zh-CN"/>
              </w:rPr>
              <w:t>Yago GOMEZ-REINO HERRERO</w:t>
            </w:r>
          </w:p>
        </w:tc>
        <w:tc>
          <w:tcPr>
            <w:tcW w:w="1978" w:type="dxa"/>
            <w:vAlign w:val="center"/>
          </w:tcPr>
          <w:p w14:paraId="20F17C52" w14:textId="77777777" w:rsidR="008B2B8B" w:rsidRPr="00BA1CEF" w:rsidRDefault="008B2B8B" w:rsidP="00B72A95">
            <w:pPr>
              <w:spacing w:after="0" w:line="240" w:lineRule="auto"/>
              <w:rPr>
                <w:rFonts w:cs="Arial"/>
                <w:sz w:val="17"/>
                <w:szCs w:val="17"/>
                <w:lang w:val="fr-FR" w:eastAsia="zh-CN"/>
              </w:rPr>
            </w:pPr>
            <w:r w:rsidRPr="00BA1CEF">
              <w:rPr>
                <w:rFonts w:cs="Arial"/>
                <w:sz w:val="17"/>
                <w:szCs w:val="17"/>
                <w:lang w:val="fr-FR" w:eastAsia="zh-CN"/>
              </w:rPr>
              <w:t>Union Européenne</w:t>
            </w:r>
          </w:p>
        </w:tc>
        <w:tc>
          <w:tcPr>
            <w:tcW w:w="2520" w:type="dxa"/>
            <w:vAlign w:val="center"/>
          </w:tcPr>
          <w:p w14:paraId="6B3B1D91" w14:textId="77777777" w:rsidR="008B2B8B" w:rsidRPr="00BA1CEF" w:rsidRDefault="008B2B8B" w:rsidP="00B72A95">
            <w:pPr>
              <w:spacing w:after="0" w:line="240" w:lineRule="auto"/>
              <w:rPr>
                <w:rFonts w:cs="Arial"/>
                <w:sz w:val="17"/>
                <w:szCs w:val="17"/>
                <w:lang w:val="fr-FR" w:eastAsia="zh-CN"/>
              </w:rPr>
            </w:pPr>
            <w:r w:rsidRPr="00BA1CEF">
              <w:rPr>
                <w:rFonts w:cs="Arial"/>
                <w:sz w:val="17"/>
                <w:szCs w:val="17"/>
                <w:lang w:val="fr-FR" w:eastAsia="zh-CN"/>
              </w:rPr>
              <w:t xml:space="preserve">Chargé du projet anacardes </w:t>
            </w:r>
          </w:p>
        </w:tc>
        <w:tc>
          <w:tcPr>
            <w:tcW w:w="3420" w:type="dxa"/>
            <w:vAlign w:val="center"/>
          </w:tcPr>
          <w:p w14:paraId="55EA4454" w14:textId="77777777" w:rsidR="008B2B8B" w:rsidRPr="00983A2A" w:rsidRDefault="008B2B8B" w:rsidP="00B72A95">
            <w:pPr>
              <w:spacing w:after="0" w:line="240" w:lineRule="auto"/>
              <w:rPr>
                <w:rFonts w:cs="Arial"/>
                <w:sz w:val="17"/>
                <w:szCs w:val="17"/>
                <w:lang w:val="fr-FR" w:eastAsia="fr-FR"/>
              </w:rPr>
            </w:pPr>
            <w:r w:rsidRPr="00983A2A">
              <w:rPr>
                <w:rFonts w:cs="Arial"/>
                <w:sz w:val="17"/>
                <w:szCs w:val="17"/>
                <w:lang w:val="fr-FR" w:eastAsia="fr-FR"/>
              </w:rPr>
              <w:t>Tél : 44 98 34 27</w:t>
            </w:r>
          </w:p>
          <w:p w14:paraId="174C1FB6" w14:textId="77777777" w:rsidR="008B2B8B" w:rsidRPr="00983A2A" w:rsidRDefault="008B2B8B" w:rsidP="00B72A95">
            <w:pPr>
              <w:spacing w:after="0" w:line="240" w:lineRule="auto"/>
              <w:rPr>
                <w:rFonts w:cs="Arial"/>
                <w:sz w:val="17"/>
                <w:szCs w:val="17"/>
                <w:lang w:val="fr-FR" w:eastAsia="fr-FR"/>
              </w:rPr>
            </w:pPr>
            <w:r w:rsidRPr="00983A2A">
              <w:rPr>
                <w:rFonts w:cs="Arial"/>
                <w:sz w:val="17"/>
                <w:szCs w:val="17"/>
                <w:lang w:val="fr-FR" w:eastAsia="fr-FR"/>
              </w:rPr>
              <w:t xml:space="preserve">e-mail :yago.gomez-reino-herrero@eeas.europa.eu </w:t>
            </w:r>
          </w:p>
        </w:tc>
      </w:tr>
      <w:tr w:rsidR="00BA1CEF" w:rsidRPr="00074BCA" w14:paraId="551B5CA3" w14:textId="77777777" w:rsidTr="008F27C9">
        <w:trPr>
          <w:cantSplit/>
          <w:trHeight w:val="20"/>
          <w:jc w:val="center"/>
        </w:trPr>
        <w:tc>
          <w:tcPr>
            <w:tcW w:w="1910" w:type="dxa"/>
            <w:vAlign w:val="center"/>
          </w:tcPr>
          <w:p w14:paraId="094BA21B" w14:textId="77777777" w:rsidR="008B2B8B" w:rsidRPr="00BA1CEF" w:rsidRDefault="008B2B8B" w:rsidP="00B72A95">
            <w:pPr>
              <w:spacing w:after="0" w:line="240" w:lineRule="auto"/>
              <w:rPr>
                <w:rFonts w:cs="Arial"/>
                <w:sz w:val="17"/>
                <w:szCs w:val="17"/>
                <w:lang w:val="fr-FR" w:eastAsia="zh-CN"/>
              </w:rPr>
            </w:pPr>
            <w:r w:rsidRPr="00BA1CEF">
              <w:rPr>
                <w:rFonts w:cs="Arial"/>
                <w:sz w:val="17"/>
                <w:szCs w:val="17"/>
                <w:lang w:val="fr-FR" w:eastAsia="zh-CN"/>
              </w:rPr>
              <w:t>Abdoulaye KABDAOGO</w:t>
            </w:r>
          </w:p>
        </w:tc>
        <w:tc>
          <w:tcPr>
            <w:tcW w:w="1978" w:type="dxa"/>
            <w:vAlign w:val="center"/>
          </w:tcPr>
          <w:p w14:paraId="35969CCF" w14:textId="77777777" w:rsidR="008B2B8B" w:rsidRPr="00BA1CEF" w:rsidRDefault="008B2B8B" w:rsidP="00B72A95">
            <w:pPr>
              <w:spacing w:after="0" w:line="240" w:lineRule="auto"/>
              <w:rPr>
                <w:rFonts w:cs="Arial"/>
                <w:sz w:val="17"/>
                <w:szCs w:val="17"/>
                <w:lang w:val="fr-FR" w:eastAsia="zh-CN"/>
              </w:rPr>
            </w:pPr>
            <w:r w:rsidRPr="00BA1CEF">
              <w:rPr>
                <w:rFonts w:cs="Arial"/>
                <w:sz w:val="17"/>
                <w:szCs w:val="17"/>
                <w:lang w:val="fr-FR" w:eastAsia="zh-CN"/>
              </w:rPr>
              <w:t>Union Européenne</w:t>
            </w:r>
          </w:p>
        </w:tc>
        <w:tc>
          <w:tcPr>
            <w:tcW w:w="2520" w:type="dxa"/>
            <w:vAlign w:val="center"/>
          </w:tcPr>
          <w:p w14:paraId="6E0A711C" w14:textId="77777777" w:rsidR="008B2B8B" w:rsidRPr="00BA1CEF" w:rsidRDefault="008B2B8B" w:rsidP="007D57AB">
            <w:pPr>
              <w:spacing w:after="0" w:line="240" w:lineRule="auto"/>
              <w:jc w:val="left"/>
              <w:rPr>
                <w:rFonts w:cs="Arial"/>
                <w:sz w:val="17"/>
                <w:szCs w:val="17"/>
                <w:lang w:val="fr-FR" w:eastAsia="zh-CN"/>
              </w:rPr>
            </w:pPr>
            <w:r w:rsidRPr="00BA1CEF">
              <w:rPr>
                <w:rFonts w:cs="Arial"/>
                <w:sz w:val="17"/>
                <w:szCs w:val="17"/>
                <w:lang w:val="fr-FR" w:eastAsia="zh-CN"/>
              </w:rPr>
              <w:t>Chargé du programme développement rural, irrigation</w:t>
            </w:r>
          </w:p>
        </w:tc>
        <w:tc>
          <w:tcPr>
            <w:tcW w:w="3420" w:type="dxa"/>
            <w:vAlign w:val="center"/>
          </w:tcPr>
          <w:p w14:paraId="21A23D0E" w14:textId="77777777" w:rsidR="008B2B8B" w:rsidRPr="00BA1CEF" w:rsidRDefault="008B2B8B" w:rsidP="00B72A95">
            <w:pPr>
              <w:spacing w:after="0" w:line="240" w:lineRule="auto"/>
              <w:rPr>
                <w:rFonts w:cs="Arial"/>
                <w:sz w:val="17"/>
                <w:szCs w:val="17"/>
                <w:lang w:val="pt-PT" w:eastAsia="fr-FR"/>
              </w:rPr>
            </w:pPr>
            <w:r w:rsidRPr="00BA1CEF">
              <w:rPr>
                <w:rFonts w:cs="Arial"/>
                <w:sz w:val="17"/>
                <w:szCs w:val="17"/>
                <w:lang w:val="pt-PT" w:eastAsia="fr-FR"/>
              </w:rPr>
              <w:t>Tél : 44 98 34 33</w:t>
            </w:r>
          </w:p>
          <w:p w14:paraId="680CFB8E" w14:textId="77777777" w:rsidR="008B2B8B" w:rsidRPr="00BA1CEF" w:rsidRDefault="008B2B8B" w:rsidP="00B72A95">
            <w:pPr>
              <w:spacing w:after="0" w:line="240" w:lineRule="auto"/>
              <w:rPr>
                <w:rFonts w:cs="Arial"/>
                <w:sz w:val="17"/>
                <w:szCs w:val="17"/>
                <w:lang w:val="it-IT" w:eastAsia="fr-FR"/>
              </w:rPr>
            </w:pPr>
            <w:r w:rsidRPr="00BA1CEF">
              <w:rPr>
                <w:rFonts w:cs="Arial"/>
                <w:sz w:val="17"/>
                <w:szCs w:val="17"/>
                <w:lang w:val="it-IT" w:eastAsia="fr-FR"/>
              </w:rPr>
              <w:t>e-mail : abdoulaye.kabdaogo</w:t>
            </w:r>
            <w:hyperlink r:id="rId65" w:history="1">
              <w:r w:rsidRPr="00BA1CEF">
                <w:rPr>
                  <w:rStyle w:val="Lienhypertexte"/>
                  <w:rFonts w:cs="Arial"/>
                  <w:color w:val="auto"/>
                  <w:sz w:val="17"/>
                  <w:szCs w:val="17"/>
                  <w:lang w:val="it-IT" w:eastAsia="fr-FR"/>
                </w:rPr>
                <w:t>@eeas.europa.eu</w:t>
              </w:r>
            </w:hyperlink>
          </w:p>
        </w:tc>
      </w:tr>
      <w:tr w:rsidR="00BA1CEF" w:rsidRPr="00BA1CEF" w14:paraId="2FADCC11" w14:textId="77777777" w:rsidTr="008F27C9">
        <w:trPr>
          <w:cantSplit/>
          <w:trHeight w:val="20"/>
          <w:jc w:val="center"/>
        </w:trPr>
        <w:tc>
          <w:tcPr>
            <w:tcW w:w="1910" w:type="dxa"/>
            <w:vAlign w:val="center"/>
          </w:tcPr>
          <w:p w14:paraId="15BDC231" w14:textId="77777777" w:rsidR="00226897" w:rsidRPr="00BA1CEF" w:rsidRDefault="00226897" w:rsidP="00B72A95">
            <w:pPr>
              <w:spacing w:after="0" w:line="240" w:lineRule="auto"/>
              <w:rPr>
                <w:rFonts w:cs="Arial"/>
                <w:sz w:val="17"/>
                <w:szCs w:val="17"/>
                <w:lang w:val="fr-FR" w:eastAsia="zh-CN"/>
              </w:rPr>
            </w:pPr>
            <w:r w:rsidRPr="00BA1CEF">
              <w:rPr>
                <w:rFonts w:cs="Arial"/>
                <w:sz w:val="17"/>
                <w:szCs w:val="17"/>
                <w:lang w:val="fr-FR" w:eastAsia="zh-CN"/>
              </w:rPr>
              <w:t>Jan ME</w:t>
            </w:r>
            <w:r w:rsidR="008F27C9" w:rsidRPr="00BA1CEF">
              <w:rPr>
                <w:rFonts w:cs="Arial"/>
                <w:sz w:val="17"/>
                <w:szCs w:val="17"/>
                <w:lang w:val="fr-FR" w:eastAsia="zh-CN"/>
              </w:rPr>
              <w:t>E</w:t>
            </w:r>
            <w:r w:rsidRPr="00BA1CEF">
              <w:rPr>
                <w:rFonts w:cs="Arial"/>
                <w:sz w:val="17"/>
                <w:szCs w:val="17"/>
                <w:lang w:val="fr-FR" w:eastAsia="zh-CN"/>
              </w:rPr>
              <w:t>LKER</w:t>
            </w:r>
          </w:p>
        </w:tc>
        <w:tc>
          <w:tcPr>
            <w:tcW w:w="1978" w:type="dxa"/>
            <w:vAlign w:val="center"/>
          </w:tcPr>
          <w:p w14:paraId="2BCF97A3" w14:textId="77777777" w:rsidR="00226897" w:rsidRPr="00BA1CEF" w:rsidRDefault="00226897" w:rsidP="00B72A95">
            <w:pPr>
              <w:spacing w:after="0" w:line="240" w:lineRule="auto"/>
              <w:rPr>
                <w:rFonts w:cs="Arial"/>
                <w:sz w:val="17"/>
                <w:szCs w:val="17"/>
                <w:lang w:val="fr-FR" w:eastAsia="zh-CN"/>
              </w:rPr>
            </w:pPr>
            <w:r w:rsidRPr="00BA1CEF">
              <w:rPr>
                <w:rFonts w:cs="Arial"/>
                <w:sz w:val="17"/>
                <w:szCs w:val="17"/>
                <w:lang w:val="fr-FR" w:eastAsia="zh-CN"/>
              </w:rPr>
              <w:t>Union européenne</w:t>
            </w:r>
          </w:p>
        </w:tc>
        <w:tc>
          <w:tcPr>
            <w:tcW w:w="2520" w:type="dxa"/>
            <w:vAlign w:val="center"/>
          </w:tcPr>
          <w:p w14:paraId="55F906C7" w14:textId="77777777" w:rsidR="00226897" w:rsidRPr="00BA1CEF" w:rsidRDefault="00226897" w:rsidP="00B72A95">
            <w:pPr>
              <w:spacing w:after="0" w:line="240" w:lineRule="auto"/>
              <w:rPr>
                <w:rFonts w:cs="Arial"/>
                <w:sz w:val="17"/>
                <w:szCs w:val="17"/>
                <w:lang w:val="fr-FR" w:eastAsia="zh-CN"/>
              </w:rPr>
            </w:pPr>
            <w:r w:rsidRPr="00BA1CEF">
              <w:rPr>
                <w:rFonts w:cs="Arial"/>
                <w:sz w:val="17"/>
                <w:szCs w:val="17"/>
                <w:lang w:val="fr-FR" w:eastAsia="zh-CN"/>
              </w:rPr>
              <w:t>Chargé de programme Coopération Réforme Etat Décentralisation</w:t>
            </w:r>
          </w:p>
        </w:tc>
        <w:tc>
          <w:tcPr>
            <w:tcW w:w="3420" w:type="dxa"/>
            <w:vAlign w:val="center"/>
          </w:tcPr>
          <w:p w14:paraId="4D85F3D5" w14:textId="77777777" w:rsidR="00226897" w:rsidRPr="00BA1CEF" w:rsidRDefault="00226897" w:rsidP="00226897">
            <w:pPr>
              <w:spacing w:after="0" w:line="240" w:lineRule="auto"/>
              <w:rPr>
                <w:rFonts w:cs="Arial"/>
                <w:sz w:val="17"/>
                <w:szCs w:val="17"/>
                <w:lang w:val="pt-PT" w:eastAsia="fr-FR"/>
              </w:rPr>
            </w:pPr>
            <w:r w:rsidRPr="00BA1CEF">
              <w:rPr>
                <w:rFonts w:cs="Arial"/>
                <w:sz w:val="17"/>
                <w:szCs w:val="17"/>
                <w:lang w:val="pt-PT" w:eastAsia="fr-FR"/>
              </w:rPr>
              <w:t>Tél : 44 98 34 10</w:t>
            </w:r>
          </w:p>
          <w:p w14:paraId="26E80FAB" w14:textId="77777777" w:rsidR="00226897" w:rsidRPr="00BA1CEF" w:rsidRDefault="00226897" w:rsidP="00226897">
            <w:pPr>
              <w:spacing w:after="0" w:line="240" w:lineRule="auto"/>
              <w:rPr>
                <w:rFonts w:cs="Arial"/>
                <w:sz w:val="17"/>
                <w:szCs w:val="17"/>
                <w:lang w:val="pt-PT" w:eastAsia="fr-FR"/>
              </w:rPr>
            </w:pPr>
            <w:r w:rsidRPr="00BA1CEF">
              <w:rPr>
                <w:rFonts w:cs="Arial"/>
                <w:sz w:val="17"/>
                <w:szCs w:val="17"/>
                <w:lang w:val="pt-PT" w:eastAsia="fr-FR"/>
              </w:rPr>
              <w:t xml:space="preserve">e-mail : jan.meelker@eeas-europa.eu </w:t>
            </w:r>
          </w:p>
        </w:tc>
      </w:tr>
      <w:tr w:rsidR="00BA1CEF" w:rsidRPr="00EF70F5" w14:paraId="378F8877" w14:textId="77777777" w:rsidTr="008F27C9">
        <w:trPr>
          <w:cantSplit/>
          <w:trHeight w:val="20"/>
          <w:jc w:val="center"/>
        </w:trPr>
        <w:tc>
          <w:tcPr>
            <w:tcW w:w="1910" w:type="dxa"/>
            <w:vAlign w:val="center"/>
          </w:tcPr>
          <w:p w14:paraId="397A83D0" w14:textId="77777777" w:rsidR="00EC73D9" w:rsidRPr="00BA1CEF" w:rsidRDefault="00EC73D9" w:rsidP="00B72A95">
            <w:pPr>
              <w:spacing w:after="0" w:line="240" w:lineRule="auto"/>
              <w:rPr>
                <w:rFonts w:cs="Arial"/>
                <w:sz w:val="17"/>
                <w:szCs w:val="17"/>
                <w:lang w:val="fr-FR" w:eastAsia="zh-CN"/>
              </w:rPr>
            </w:pPr>
            <w:r w:rsidRPr="00BA1CEF">
              <w:rPr>
                <w:rFonts w:cs="Arial"/>
                <w:sz w:val="17"/>
                <w:szCs w:val="17"/>
                <w:lang w:val="fr-FR" w:eastAsia="zh-CN"/>
              </w:rPr>
              <w:t>Marion SAUREL</w:t>
            </w:r>
          </w:p>
        </w:tc>
        <w:tc>
          <w:tcPr>
            <w:tcW w:w="1978" w:type="dxa"/>
            <w:vAlign w:val="center"/>
          </w:tcPr>
          <w:p w14:paraId="2C1FA206" w14:textId="77777777" w:rsidR="00EC73D9" w:rsidRPr="00BA1CEF" w:rsidRDefault="00EC73D9" w:rsidP="00B72A95">
            <w:pPr>
              <w:spacing w:after="0" w:line="240" w:lineRule="auto"/>
              <w:rPr>
                <w:rFonts w:cs="Arial"/>
                <w:sz w:val="17"/>
                <w:szCs w:val="17"/>
                <w:lang w:val="fr-FR" w:eastAsia="zh-CN"/>
              </w:rPr>
            </w:pPr>
            <w:r w:rsidRPr="00BA1CEF">
              <w:rPr>
                <w:rFonts w:cs="Arial"/>
                <w:sz w:val="17"/>
                <w:szCs w:val="17"/>
                <w:lang w:val="fr-FR" w:eastAsia="zh-CN"/>
              </w:rPr>
              <w:t>Union européenne</w:t>
            </w:r>
          </w:p>
        </w:tc>
        <w:tc>
          <w:tcPr>
            <w:tcW w:w="2520" w:type="dxa"/>
            <w:vAlign w:val="center"/>
          </w:tcPr>
          <w:p w14:paraId="54978364" w14:textId="77777777" w:rsidR="00EC73D9" w:rsidRPr="00BA1CEF" w:rsidRDefault="00EC73D9" w:rsidP="00B72A95">
            <w:pPr>
              <w:spacing w:after="0" w:line="240" w:lineRule="auto"/>
              <w:rPr>
                <w:rFonts w:cs="Arial"/>
                <w:sz w:val="17"/>
                <w:szCs w:val="17"/>
                <w:lang w:val="fr-FR" w:eastAsia="zh-CN"/>
              </w:rPr>
            </w:pPr>
            <w:r w:rsidRPr="00BA1CEF">
              <w:rPr>
                <w:rFonts w:cs="Arial"/>
                <w:sz w:val="17"/>
                <w:szCs w:val="17"/>
                <w:lang w:val="fr-FR" w:eastAsia="zh-CN"/>
              </w:rPr>
              <w:t>International Aid</w:t>
            </w:r>
          </w:p>
        </w:tc>
        <w:tc>
          <w:tcPr>
            <w:tcW w:w="3420" w:type="dxa"/>
            <w:vAlign w:val="center"/>
          </w:tcPr>
          <w:p w14:paraId="53986A8B" w14:textId="77777777" w:rsidR="00EC73D9" w:rsidRPr="00983A2A" w:rsidRDefault="00EC73D9" w:rsidP="00EC73D9">
            <w:pPr>
              <w:spacing w:after="0" w:line="240" w:lineRule="auto"/>
              <w:rPr>
                <w:rFonts w:cs="Arial"/>
                <w:sz w:val="17"/>
                <w:szCs w:val="17"/>
                <w:lang w:val="it-IT" w:eastAsia="fr-FR"/>
              </w:rPr>
            </w:pPr>
            <w:r w:rsidRPr="00983A2A">
              <w:rPr>
                <w:rFonts w:cs="Arial"/>
                <w:sz w:val="17"/>
                <w:szCs w:val="17"/>
                <w:lang w:val="it-IT" w:eastAsia="fr-FR"/>
              </w:rPr>
              <w:t>Tél</w:t>
            </w:r>
            <w:r w:rsidR="00BA1CEF" w:rsidRPr="00983A2A">
              <w:rPr>
                <w:rFonts w:cs="Arial"/>
                <w:sz w:val="17"/>
                <w:szCs w:val="17"/>
                <w:lang w:val="it-IT" w:eastAsia="fr-FR"/>
              </w:rPr>
              <w:t xml:space="preserve"> :</w:t>
            </w:r>
            <w:r w:rsidRPr="00983A2A">
              <w:rPr>
                <w:rFonts w:cs="Arial"/>
                <w:sz w:val="17"/>
                <w:szCs w:val="17"/>
                <w:lang w:val="it-IT" w:eastAsia="fr-FR"/>
              </w:rPr>
              <w:t xml:space="preserve"> 44 92 92 92</w:t>
            </w:r>
          </w:p>
          <w:p w14:paraId="193C40D2" w14:textId="77777777" w:rsidR="00EC73D9" w:rsidRPr="00983A2A" w:rsidRDefault="00EC73D9" w:rsidP="00EC73D9">
            <w:pPr>
              <w:spacing w:after="0" w:line="240" w:lineRule="auto"/>
              <w:rPr>
                <w:rFonts w:cs="Arial"/>
                <w:sz w:val="17"/>
                <w:szCs w:val="17"/>
                <w:lang w:val="it-IT" w:eastAsia="fr-FR"/>
              </w:rPr>
            </w:pPr>
            <w:r w:rsidRPr="00983A2A">
              <w:rPr>
                <w:rFonts w:cs="Arial"/>
                <w:sz w:val="17"/>
                <w:szCs w:val="17"/>
                <w:lang w:val="it-IT" w:eastAsia="fr-FR"/>
              </w:rPr>
              <w:t xml:space="preserve">e-mai : marion.saurel@eeas.europa.eu </w:t>
            </w:r>
          </w:p>
        </w:tc>
      </w:tr>
      <w:tr w:rsidR="00BA1CEF" w:rsidRPr="00074BCA" w14:paraId="7143498A" w14:textId="77777777" w:rsidTr="008F27C9">
        <w:trPr>
          <w:cantSplit/>
          <w:trHeight w:val="20"/>
          <w:jc w:val="center"/>
        </w:trPr>
        <w:tc>
          <w:tcPr>
            <w:tcW w:w="1910" w:type="dxa"/>
            <w:vAlign w:val="center"/>
          </w:tcPr>
          <w:p w14:paraId="1872FE59" w14:textId="77777777" w:rsidR="00017D06" w:rsidRPr="00BA1CEF" w:rsidRDefault="00017D06" w:rsidP="00B72A95">
            <w:pPr>
              <w:spacing w:after="0" w:line="240" w:lineRule="auto"/>
              <w:rPr>
                <w:rFonts w:cs="Arial"/>
                <w:sz w:val="17"/>
                <w:szCs w:val="17"/>
                <w:lang w:val="fr-FR" w:eastAsia="zh-CN"/>
              </w:rPr>
            </w:pPr>
            <w:r w:rsidRPr="00BA1CEF">
              <w:rPr>
                <w:rFonts w:cs="Arial"/>
                <w:sz w:val="17"/>
                <w:szCs w:val="17"/>
                <w:lang w:val="fr-FR" w:eastAsia="zh-CN"/>
              </w:rPr>
              <w:t>Ibrahima AYA</w:t>
            </w:r>
          </w:p>
        </w:tc>
        <w:tc>
          <w:tcPr>
            <w:tcW w:w="1978" w:type="dxa"/>
            <w:vAlign w:val="center"/>
          </w:tcPr>
          <w:p w14:paraId="0E9449E4" w14:textId="77777777" w:rsidR="00017D06" w:rsidRPr="00BA1CEF" w:rsidRDefault="00017D06" w:rsidP="00B72A95">
            <w:pPr>
              <w:spacing w:after="0" w:line="240" w:lineRule="auto"/>
              <w:rPr>
                <w:rFonts w:cs="Arial"/>
                <w:sz w:val="17"/>
                <w:szCs w:val="17"/>
                <w:lang w:val="fr-FR" w:eastAsia="zh-CN"/>
              </w:rPr>
            </w:pPr>
            <w:r w:rsidRPr="00BA1CEF">
              <w:rPr>
                <w:rFonts w:cs="Arial"/>
                <w:sz w:val="17"/>
                <w:szCs w:val="17"/>
                <w:lang w:val="fr-FR" w:eastAsia="zh-CN"/>
              </w:rPr>
              <w:t>CONFED</w:t>
            </w:r>
          </w:p>
        </w:tc>
        <w:tc>
          <w:tcPr>
            <w:tcW w:w="2520" w:type="dxa"/>
            <w:vAlign w:val="center"/>
          </w:tcPr>
          <w:p w14:paraId="69E37416" w14:textId="77777777" w:rsidR="00017D06" w:rsidRPr="00BA1CEF" w:rsidRDefault="00017D06" w:rsidP="00B72A95">
            <w:pPr>
              <w:spacing w:after="0" w:line="240" w:lineRule="auto"/>
              <w:rPr>
                <w:rFonts w:cs="Arial"/>
                <w:sz w:val="17"/>
                <w:szCs w:val="17"/>
                <w:lang w:val="fr-FR" w:eastAsia="zh-CN"/>
              </w:rPr>
            </w:pPr>
            <w:r w:rsidRPr="00BA1CEF">
              <w:rPr>
                <w:rFonts w:cs="Arial"/>
                <w:sz w:val="17"/>
                <w:szCs w:val="17"/>
                <w:lang w:val="fr-FR" w:eastAsia="zh-CN"/>
              </w:rPr>
              <w:t>Chargé de suivi des programmes</w:t>
            </w:r>
          </w:p>
        </w:tc>
        <w:tc>
          <w:tcPr>
            <w:tcW w:w="3420" w:type="dxa"/>
            <w:vAlign w:val="center"/>
          </w:tcPr>
          <w:p w14:paraId="55E95C0A" w14:textId="77777777" w:rsidR="00BA1CEF" w:rsidRPr="00BA1CEF" w:rsidRDefault="00BA1CEF" w:rsidP="00EC73D9">
            <w:pPr>
              <w:spacing w:after="0" w:line="240" w:lineRule="auto"/>
              <w:rPr>
                <w:rFonts w:cs="Arial"/>
                <w:sz w:val="17"/>
                <w:szCs w:val="17"/>
                <w:lang w:val="fr-FR" w:eastAsia="fr-FR"/>
              </w:rPr>
            </w:pPr>
            <w:r w:rsidRPr="00BA1CEF">
              <w:rPr>
                <w:rFonts w:cs="Arial"/>
                <w:sz w:val="17"/>
                <w:szCs w:val="17"/>
                <w:lang w:val="fr-FR" w:eastAsia="fr-FR"/>
              </w:rPr>
              <w:t>Tél : 76 46 21 14</w:t>
            </w:r>
          </w:p>
          <w:p w14:paraId="747CC29F" w14:textId="77777777" w:rsidR="00017D06" w:rsidRPr="008E0431" w:rsidRDefault="00BA1CEF" w:rsidP="00EC73D9">
            <w:pPr>
              <w:spacing w:after="0" w:line="240" w:lineRule="auto"/>
              <w:rPr>
                <w:rFonts w:cs="Arial"/>
                <w:sz w:val="17"/>
                <w:szCs w:val="17"/>
                <w:lang w:val="fr-FR" w:eastAsia="fr-FR"/>
              </w:rPr>
            </w:pPr>
            <w:r w:rsidRPr="00BA1CEF">
              <w:rPr>
                <w:rFonts w:cs="Arial"/>
                <w:sz w:val="17"/>
                <w:szCs w:val="17"/>
                <w:lang w:val="fr-FR" w:eastAsia="fr-FR"/>
              </w:rPr>
              <w:t xml:space="preserve"> </w:t>
            </w:r>
            <w:r w:rsidR="00017D06" w:rsidRPr="008E0431">
              <w:rPr>
                <w:rFonts w:cs="Arial"/>
                <w:sz w:val="17"/>
                <w:szCs w:val="17"/>
                <w:lang w:val="fr-FR" w:eastAsia="fr-FR"/>
              </w:rPr>
              <w:t>e-mail : aya@confedmli.net</w:t>
            </w:r>
          </w:p>
        </w:tc>
      </w:tr>
      <w:tr w:rsidR="00BA1CEF" w:rsidRPr="00BA1CEF" w14:paraId="68E9E39F" w14:textId="77777777" w:rsidTr="008F27C9">
        <w:trPr>
          <w:cantSplit/>
          <w:trHeight w:val="20"/>
          <w:jc w:val="center"/>
        </w:trPr>
        <w:tc>
          <w:tcPr>
            <w:tcW w:w="1910" w:type="dxa"/>
            <w:vAlign w:val="center"/>
          </w:tcPr>
          <w:p w14:paraId="3D693608" w14:textId="77777777" w:rsidR="008B2B8B" w:rsidRPr="00BA1CEF" w:rsidRDefault="008B2B8B" w:rsidP="00B72A95">
            <w:pPr>
              <w:spacing w:after="0" w:line="240" w:lineRule="auto"/>
              <w:rPr>
                <w:rFonts w:cs="Arial"/>
                <w:sz w:val="17"/>
                <w:szCs w:val="17"/>
                <w:lang w:val="fr-FR" w:eastAsia="zh-CN"/>
              </w:rPr>
            </w:pPr>
            <w:r w:rsidRPr="00BA1CEF">
              <w:rPr>
                <w:rFonts w:cs="Arial"/>
                <w:sz w:val="17"/>
                <w:szCs w:val="17"/>
                <w:lang w:val="fr-FR" w:eastAsia="zh-CN"/>
              </w:rPr>
              <w:t>Seydou KEITA</w:t>
            </w:r>
          </w:p>
        </w:tc>
        <w:tc>
          <w:tcPr>
            <w:tcW w:w="1978" w:type="dxa"/>
            <w:vAlign w:val="center"/>
          </w:tcPr>
          <w:p w14:paraId="084AB756" w14:textId="77777777" w:rsidR="008B2B8B" w:rsidRPr="00BA1CEF" w:rsidRDefault="008B2B8B" w:rsidP="00B72A95">
            <w:pPr>
              <w:spacing w:after="0" w:line="240" w:lineRule="auto"/>
              <w:rPr>
                <w:rFonts w:cs="Arial"/>
                <w:sz w:val="17"/>
                <w:szCs w:val="17"/>
                <w:lang w:val="fr-FR" w:eastAsia="zh-CN"/>
              </w:rPr>
            </w:pPr>
            <w:r w:rsidRPr="00BA1CEF">
              <w:rPr>
                <w:rFonts w:cs="Arial"/>
                <w:sz w:val="17"/>
                <w:szCs w:val="17"/>
                <w:lang w:val="fr-FR" w:eastAsia="zh-CN"/>
              </w:rPr>
              <w:t>MEADD</w:t>
            </w:r>
          </w:p>
        </w:tc>
        <w:tc>
          <w:tcPr>
            <w:tcW w:w="2520" w:type="dxa"/>
            <w:vAlign w:val="center"/>
          </w:tcPr>
          <w:p w14:paraId="35681D55" w14:textId="77777777" w:rsidR="008B2B8B" w:rsidRPr="00BA1CEF" w:rsidRDefault="008B2B8B" w:rsidP="00B72A95">
            <w:pPr>
              <w:spacing w:after="0" w:line="240" w:lineRule="auto"/>
              <w:rPr>
                <w:rFonts w:cs="Arial"/>
                <w:sz w:val="17"/>
                <w:szCs w:val="17"/>
                <w:lang w:val="fr-FR" w:eastAsia="zh-CN"/>
              </w:rPr>
            </w:pPr>
            <w:r w:rsidRPr="00BA1CEF">
              <w:rPr>
                <w:rFonts w:cs="Arial"/>
                <w:sz w:val="17"/>
                <w:szCs w:val="17"/>
                <w:lang w:val="fr-FR" w:eastAsia="zh-CN"/>
              </w:rPr>
              <w:t>Conseiller Technique environnement minier</w:t>
            </w:r>
          </w:p>
        </w:tc>
        <w:tc>
          <w:tcPr>
            <w:tcW w:w="3420" w:type="dxa"/>
            <w:vAlign w:val="center"/>
          </w:tcPr>
          <w:p w14:paraId="763A1D78" w14:textId="77777777" w:rsidR="008B2B8B" w:rsidRPr="00BA1CEF" w:rsidRDefault="008B2B8B" w:rsidP="00B72A95">
            <w:pPr>
              <w:spacing w:after="0" w:line="240" w:lineRule="auto"/>
              <w:rPr>
                <w:rFonts w:cs="Arial"/>
                <w:sz w:val="17"/>
                <w:szCs w:val="17"/>
                <w:lang w:val="pt-PT" w:eastAsia="zh-CN"/>
              </w:rPr>
            </w:pPr>
            <w:r w:rsidRPr="00BA1CEF">
              <w:rPr>
                <w:rFonts w:cs="Arial"/>
                <w:sz w:val="17"/>
                <w:szCs w:val="17"/>
                <w:lang w:val="pt-PT" w:eastAsia="zh-CN"/>
              </w:rPr>
              <w:t>Tél : 64 54 88 87</w:t>
            </w:r>
          </w:p>
          <w:p w14:paraId="2E896B66" w14:textId="77777777" w:rsidR="008B2B8B" w:rsidRPr="00BA1CEF" w:rsidRDefault="008B2B8B" w:rsidP="00B72A95">
            <w:pPr>
              <w:spacing w:after="0" w:line="240" w:lineRule="auto"/>
              <w:rPr>
                <w:rFonts w:cs="Arial"/>
                <w:sz w:val="17"/>
                <w:szCs w:val="17"/>
                <w:lang w:val="pt-PT" w:eastAsia="zh-CN"/>
              </w:rPr>
            </w:pPr>
            <w:r w:rsidRPr="00BA1CEF">
              <w:rPr>
                <w:rFonts w:cs="Arial"/>
                <w:sz w:val="17"/>
                <w:szCs w:val="17"/>
                <w:lang w:val="pt-PT" w:eastAsia="zh-CN"/>
              </w:rPr>
              <w:t xml:space="preserve">e-mail : keitasey37@yahoo.fr </w:t>
            </w:r>
          </w:p>
        </w:tc>
      </w:tr>
      <w:tr w:rsidR="00BA1CEF" w:rsidRPr="00EF70F5" w14:paraId="72EEB5B2" w14:textId="77777777" w:rsidTr="008F27C9">
        <w:trPr>
          <w:cantSplit/>
          <w:trHeight w:val="20"/>
          <w:jc w:val="center"/>
        </w:trPr>
        <w:tc>
          <w:tcPr>
            <w:tcW w:w="1910" w:type="dxa"/>
            <w:vAlign w:val="center"/>
          </w:tcPr>
          <w:p w14:paraId="6FCE341C" w14:textId="77777777" w:rsidR="006E523F" w:rsidRPr="00BA1CEF" w:rsidRDefault="00226897" w:rsidP="00B72A95">
            <w:pPr>
              <w:spacing w:after="0" w:line="240" w:lineRule="auto"/>
              <w:rPr>
                <w:rFonts w:cs="Arial"/>
                <w:sz w:val="17"/>
                <w:szCs w:val="17"/>
                <w:lang w:eastAsia="zh-CN"/>
              </w:rPr>
            </w:pPr>
            <w:r w:rsidRPr="00BA1CEF">
              <w:rPr>
                <w:rFonts w:cs="Arial"/>
                <w:sz w:val="17"/>
                <w:szCs w:val="17"/>
                <w:lang w:eastAsia="zh-CN"/>
              </w:rPr>
              <w:t>Ladji CAMARA</w:t>
            </w:r>
          </w:p>
        </w:tc>
        <w:tc>
          <w:tcPr>
            <w:tcW w:w="1978" w:type="dxa"/>
            <w:vAlign w:val="center"/>
          </w:tcPr>
          <w:p w14:paraId="54B1FED9" w14:textId="77777777" w:rsidR="006E523F" w:rsidRPr="00BA1CEF" w:rsidRDefault="00226897" w:rsidP="00B72A95">
            <w:pPr>
              <w:spacing w:after="0" w:line="240" w:lineRule="auto"/>
              <w:rPr>
                <w:rFonts w:cs="Arial"/>
                <w:sz w:val="17"/>
                <w:szCs w:val="17"/>
                <w:lang w:val="fr-FR" w:eastAsia="zh-CN"/>
              </w:rPr>
            </w:pPr>
            <w:r w:rsidRPr="00BA1CEF">
              <w:rPr>
                <w:rFonts w:cs="Arial"/>
                <w:sz w:val="17"/>
                <w:szCs w:val="17"/>
                <w:lang w:val="fr-FR" w:eastAsia="zh-CN"/>
              </w:rPr>
              <w:t>AEDD</w:t>
            </w:r>
          </w:p>
        </w:tc>
        <w:tc>
          <w:tcPr>
            <w:tcW w:w="2520" w:type="dxa"/>
            <w:vAlign w:val="center"/>
          </w:tcPr>
          <w:p w14:paraId="4B8A9B3B" w14:textId="77777777" w:rsidR="006E523F" w:rsidRPr="00BA1CEF" w:rsidRDefault="00226897" w:rsidP="00B72A95">
            <w:pPr>
              <w:spacing w:after="0" w:line="240" w:lineRule="auto"/>
              <w:rPr>
                <w:rFonts w:cs="Arial"/>
                <w:sz w:val="17"/>
                <w:szCs w:val="17"/>
                <w:lang w:val="fr-FR" w:eastAsia="zh-CN"/>
              </w:rPr>
            </w:pPr>
            <w:r w:rsidRPr="00BA1CEF">
              <w:rPr>
                <w:rFonts w:cs="Arial"/>
                <w:sz w:val="17"/>
                <w:szCs w:val="17"/>
                <w:lang w:val="fr-FR" w:eastAsia="zh-CN"/>
              </w:rPr>
              <w:t>Chef de Section Programmation et Planification</w:t>
            </w:r>
          </w:p>
        </w:tc>
        <w:tc>
          <w:tcPr>
            <w:tcW w:w="3420" w:type="dxa"/>
            <w:vAlign w:val="center"/>
          </w:tcPr>
          <w:p w14:paraId="1F71FC74" w14:textId="77777777" w:rsidR="006E523F" w:rsidRPr="00BA1CEF" w:rsidRDefault="001818C1" w:rsidP="00B72A95">
            <w:pPr>
              <w:spacing w:after="0" w:line="240" w:lineRule="auto"/>
              <w:rPr>
                <w:rFonts w:cs="Arial"/>
                <w:sz w:val="17"/>
                <w:szCs w:val="17"/>
                <w:lang w:val="de-DE" w:eastAsia="zh-CN"/>
              </w:rPr>
            </w:pPr>
            <w:r w:rsidRPr="00BA1CEF">
              <w:rPr>
                <w:rFonts w:cs="Arial"/>
                <w:sz w:val="17"/>
                <w:szCs w:val="17"/>
                <w:lang w:val="de-DE" w:eastAsia="zh-CN"/>
              </w:rPr>
              <w:t>e-mail : camaraladji@hotmail.com</w:t>
            </w:r>
          </w:p>
        </w:tc>
      </w:tr>
      <w:tr w:rsidR="00BA1CEF" w:rsidRPr="00074BCA" w14:paraId="0E8208D0" w14:textId="77777777" w:rsidTr="008F27C9">
        <w:trPr>
          <w:cantSplit/>
          <w:trHeight w:val="20"/>
          <w:jc w:val="center"/>
        </w:trPr>
        <w:tc>
          <w:tcPr>
            <w:tcW w:w="1910" w:type="dxa"/>
            <w:vAlign w:val="center"/>
          </w:tcPr>
          <w:p w14:paraId="4ABD5969" w14:textId="77777777" w:rsidR="008B2B8B" w:rsidRPr="00BA1CEF" w:rsidRDefault="008B2B8B" w:rsidP="00B72A95">
            <w:pPr>
              <w:spacing w:after="0" w:line="240" w:lineRule="auto"/>
              <w:rPr>
                <w:rFonts w:cs="Arial"/>
                <w:sz w:val="17"/>
                <w:szCs w:val="17"/>
                <w:lang w:val="fr-FR" w:eastAsia="zh-CN"/>
              </w:rPr>
            </w:pPr>
            <w:r w:rsidRPr="00BA1CEF">
              <w:rPr>
                <w:rFonts w:cs="Arial"/>
                <w:sz w:val="17"/>
                <w:szCs w:val="17"/>
                <w:lang w:val="fr-FR" w:eastAsia="zh-CN"/>
              </w:rPr>
              <w:t>Idrissa SOW</w:t>
            </w:r>
          </w:p>
        </w:tc>
        <w:tc>
          <w:tcPr>
            <w:tcW w:w="1978" w:type="dxa"/>
            <w:vAlign w:val="center"/>
          </w:tcPr>
          <w:p w14:paraId="5D1BF2C6" w14:textId="77777777" w:rsidR="008B2B8B" w:rsidRPr="00BA1CEF" w:rsidRDefault="008B2B8B" w:rsidP="00B72A95">
            <w:pPr>
              <w:spacing w:after="0" w:line="240" w:lineRule="auto"/>
              <w:rPr>
                <w:rFonts w:cs="Arial"/>
                <w:sz w:val="17"/>
                <w:szCs w:val="17"/>
                <w:lang w:val="fr-FR" w:eastAsia="zh-CN"/>
              </w:rPr>
            </w:pPr>
            <w:r w:rsidRPr="00BA1CEF">
              <w:rPr>
                <w:rFonts w:cs="Arial"/>
                <w:sz w:val="17"/>
                <w:szCs w:val="17"/>
                <w:lang w:val="fr-FR" w:eastAsia="zh-CN"/>
              </w:rPr>
              <w:t>AEDD</w:t>
            </w:r>
          </w:p>
        </w:tc>
        <w:tc>
          <w:tcPr>
            <w:tcW w:w="2520" w:type="dxa"/>
            <w:vAlign w:val="center"/>
          </w:tcPr>
          <w:p w14:paraId="143D89C6" w14:textId="77777777" w:rsidR="008B2B8B" w:rsidRPr="00BA1CEF" w:rsidRDefault="008B2B8B" w:rsidP="00B72A95">
            <w:pPr>
              <w:spacing w:after="0" w:line="240" w:lineRule="auto"/>
              <w:rPr>
                <w:rFonts w:cs="Arial"/>
                <w:sz w:val="17"/>
                <w:szCs w:val="17"/>
                <w:lang w:val="fr-FR" w:eastAsia="zh-CN"/>
              </w:rPr>
            </w:pPr>
            <w:r w:rsidRPr="00BA1CEF">
              <w:rPr>
                <w:rFonts w:cs="Arial"/>
                <w:sz w:val="17"/>
                <w:szCs w:val="17"/>
                <w:lang w:val="fr-FR" w:eastAsia="zh-CN"/>
              </w:rPr>
              <w:t>Chargé de la gestion de l’information environnementale</w:t>
            </w:r>
          </w:p>
        </w:tc>
        <w:tc>
          <w:tcPr>
            <w:tcW w:w="3420" w:type="dxa"/>
            <w:vAlign w:val="center"/>
          </w:tcPr>
          <w:p w14:paraId="17DB1D5D" w14:textId="77777777" w:rsidR="008B2B8B" w:rsidRPr="00BA1CEF" w:rsidRDefault="008B2B8B" w:rsidP="00B72A95">
            <w:pPr>
              <w:spacing w:after="0" w:line="240" w:lineRule="auto"/>
              <w:rPr>
                <w:rFonts w:cs="Arial"/>
                <w:sz w:val="17"/>
                <w:szCs w:val="17"/>
                <w:lang w:eastAsia="zh-CN"/>
              </w:rPr>
            </w:pPr>
            <w:r w:rsidRPr="00BA1CEF">
              <w:rPr>
                <w:rFonts w:cs="Arial"/>
                <w:sz w:val="17"/>
                <w:szCs w:val="17"/>
                <w:lang w:eastAsia="zh-CN"/>
              </w:rPr>
              <w:t>Tél : 76 46 85 05</w:t>
            </w:r>
          </w:p>
          <w:p w14:paraId="4C02479C" w14:textId="77777777" w:rsidR="008B2B8B" w:rsidRPr="008E0431" w:rsidRDefault="008B2B8B" w:rsidP="00B72A95">
            <w:pPr>
              <w:spacing w:after="0" w:line="240" w:lineRule="auto"/>
              <w:rPr>
                <w:rFonts w:cs="Arial"/>
                <w:sz w:val="17"/>
                <w:szCs w:val="17"/>
                <w:lang w:val="fr-FR" w:eastAsia="zh-CN"/>
              </w:rPr>
            </w:pPr>
            <w:r w:rsidRPr="008E0431">
              <w:rPr>
                <w:rFonts w:cs="Arial"/>
                <w:sz w:val="17"/>
                <w:szCs w:val="17"/>
                <w:lang w:val="fr-FR" w:eastAsia="zh-CN"/>
              </w:rPr>
              <w:t xml:space="preserve">e-mail : </w:t>
            </w:r>
            <w:hyperlink r:id="rId66" w:history="1">
              <w:r w:rsidRPr="008E0431">
                <w:rPr>
                  <w:rStyle w:val="Lienhypertexte"/>
                  <w:rFonts w:cs="Arial"/>
                  <w:color w:val="auto"/>
                  <w:sz w:val="17"/>
                  <w:szCs w:val="17"/>
                  <w:lang w:val="fr-FR" w:eastAsia="zh-CN"/>
                </w:rPr>
                <w:t>idrissasow@hotmail.com</w:t>
              </w:r>
            </w:hyperlink>
          </w:p>
        </w:tc>
      </w:tr>
      <w:tr w:rsidR="00BA1CEF" w:rsidRPr="00F6481E" w14:paraId="23A2E8B5" w14:textId="77777777" w:rsidTr="008F27C9">
        <w:trPr>
          <w:cantSplit/>
          <w:trHeight w:val="20"/>
          <w:jc w:val="center"/>
        </w:trPr>
        <w:tc>
          <w:tcPr>
            <w:tcW w:w="1910" w:type="dxa"/>
            <w:vAlign w:val="center"/>
          </w:tcPr>
          <w:p w14:paraId="2D98BE93" w14:textId="77777777" w:rsidR="008B2B8B" w:rsidRPr="00BA1CEF" w:rsidRDefault="008B2B8B" w:rsidP="00B72A95">
            <w:pPr>
              <w:spacing w:after="0" w:line="240" w:lineRule="auto"/>
              <w:rPr>
                <w:rFonts w:cs="Arial"/>
                <w:sz w:val="17"/>
                <w:szCs w:val="17"/>
                <w:lang w:val="fr-FR" w:eastAsia="zh-CN"/>
              </w:rPr>
            </w:pPr>
            <w:r w:rsidRPr="00BA1CEF">
              <w:rPr>
                <w:rFonts w:cs="Arial"/>
                <w:sz w:val="17"/>
                <w:szCs w:val="17"/>
                <w:lang w:val="fr-FR" w:eastAsia="zh-CN"/>
              </w:rPr>
              <w:t>Malick TESSOUGUE</w:t>
            </w:r>
          </w:p>
        </w:tc>
        <w:tc>
          <w:tcPr>
            <w:tcW w:w="1978" w:type="dxa"/>
            <w:vAlign w:val="center"/>
          </w:tcPr>
          <w:p w14:paraId="57D3CAEB" w14:textId="77777777" w:rsidR="008B2B8B" w:rsidRPr="00BA1CEF" w:rsidRDefault="008B2B8B" w:rsidP="00B72A95">
            <w:pPr>
              <w:spacing w:after="0" w:line="240" w:lineRule="auto"/>
              <w:rPr>
                <w:rFonts w:cs="Arial"/>
                <w:sz w:val="17"/>
                <w:szCs w:val="17"/>
                <w:lang w:val="fr-FR" w:eastAsia="zh-CN"/>
              </w:rPr>
            </w:pPr>
            <w:r w:rsidRPr="00BA1CEF">
              <w:rPr>
                <w:rFonts w:cs="Arial"/>
                <w:sz w:val="17"/>
                <w:szCs w:val="17"/>
                <w:lang w:val="fr-FR" w:eastAsia="zh-CN"/>
              </w:rPr>
              <w:t>AEDD</w:t>
            </w:r>
          </w:p>
        </w:tc>
        <w:tc>
          <w:tcPr>
            <w:tcW w:w="2520" w:type="dxa"/>
            <w:vAlign w:val="center"/>
          </w:tcPr>
          <w:p w14:paraId="731C7814" w14:textId="77777777" w:rsidR="008B2B8B" w:rsidRPr="00BA1CEF" w:rsidRDefault="008B2B8B" w:rsidP="00B72A95">
            <w:pPr>
              <w:spacing w:after="0" w:line="240" w:lineRule="auto"/>
              <w:rPr>
                <w:rFonts w:cs="Arial"/>
                <w:sz w:val="17"/>
                <w:szCs w:val="17"/>
                <w:lang w:val="fr-FR" w:eastAsia="zh-CN"/>
              </w:rPr>
            </w:pPr>
            <w:r w:rsidRPr="00BA1CEF">
              <w:rPr>
                <w:rFonts w:cs="Arial"/>
                <w:sz w:val="17"/>
                <w:szCs w:val="17"/>
                <w:lang w:val="fr-FR" w:eastAsia="zh-CN"/>
              </w:rPr>
              <w:t>Chef de section suivi – évaluation</w:t>
            </w:r>
          </w:p>
        </w:tc>
        <w:tc>
          <w:tcPr>
            <w:tcW w:w="3420" w:type="dxa"/>
            <w:vAlign w:val="center"/>
          </w:tcPr>
          <w:p w14:paraId="263787E2" w14:textId="77777777" w:rsidR="008B2B8B" w:rsidRPr="00BA1CEF" w:rsidRDefault="008B2B8B" w:rsidP="00B72A95">
            <w:pPr>
              <w:spacing w:after="0" w:line="240" w:lineRule="auto"/>
              <w:rPr>
                <w:rFonts w:cs="Arial"/>
                <w:sz w:val="17"/>
                <w:szCs w:val="17"/>
                <w:lang w:val="pt-PT" w:eastAsia="zh-CN"/>
              </w:rPr>
            </w:pPr>
            <w:r w:rsidRPr="00BA1CEF">
              <w:rPr>
                <w:rFonts w:cs="Arial"/>
                <w:sz w:val="17"/>
                <w:szCs w:val="17"/>
                <w:lang w:val="pt-PT" w:eastAsia="zh-CN"/>
              </w:rPr>
              <w:t>Tél : 79 06 38 02</w:t>
            </w:r>
          </w:p>
          <w:p w14:paraId="3B64C33E" w14:textId="77777777" w:rsidR="008B2B8B" w:rsidRPr="00BA1CEF" w:rsidRDefault="008B2B8B" w:rsidP="000C73ED">
            <w:pPr>
              <w:spacing w:after="0" w:line="240" w:lineRule="auto"/>
              <w:rPr>
                <w:rFonts w:cs="Arial"/>
                <w:sz w:val="17"/>
                <w:szCs w:val="17"/>
                <w:lang w:val="pt-PT" w:eastAsia="zh-CN"/>
              </w:rPr>
            </w:pPr>
            <w:r w:rsidRPr="00BA1CEF">
              <w:rPr>
                <w:rFonts w:cs="Arial"/>
                <w:sz w:val="17"/>
                <w:szCs w:val="17"/>
                <w:lang w:val="pt-PT" w:eastAsia="zh-CN"/>
              </w:rPr>
              <w:t>e-mail :</w:t>
            </w:r>
            <w:r w:rsidR="000C73ED">
              <w:rPr>
                <w:rFonts w:cs="Arial"/>
                <w:sz w:val="17"/>
                <w:szCs w:val="17"/>
                <w:lang w:val="pt-PT" w:eastAsia="zh-CN"/>
              </w:rPr>
              <w:t xml:space="preserve"> malick_tess@yahoo.fr</w:t>
            </w:r>
            <w:r w:rsidRPr="00BA1CEF">
              <w:rPr>
                <w:rFonts w:cs="Arial"/>
                <w:sz w:val="17"/>
                <w:szCs w:val="17"/>
                <w:lang w:val="pt-PT" w:eastAsia="zh-CN"/>
              </w:rPr>
              <w:t xml:space="preserve"> </w:t>
            </w:r>
          </w:p>
        </w:tc>
      </w:tr>
      <w:tr w:rsidR="00F6481E" w:rsidRPr="00F6481E" w14:paraId="0F1B3DDF" w14:textId="77777777" w:rsidTr="00C97090">
        <w:tblPrEx>
          <w:tblLook w:val="04A0" w:firstRow="1" w:lastRow="0" w:firstColumn="1" w:lastColumn="0" w:noHBand="0" w:noVBand="1"/>
        </w:tblPrEx>
        <w:trPr>
          <w:trHeight w:val="20"/>
          <w:jc w:val="center"/>
        </w:trPr>
        <w:tc>
          <w:tcPr>
            <w:tcW w:w="1910" w:type="dxa"/>
          </w:tcPr>
          <w:p w14:paraId="3BC630A9" w14:textId="77777777" w:rsidR="008B2B8B" w:rsidRPr="00F6481E" w:rsidRDefault="008B2B8B" w:rsidP="00B72A95">
            <w:pPr>
              <w:spacing w:after="0" w:line="240" w:lineRule="auto"/>
              <w:rPr>
                <w:rFonts w:cs="Arial"/>
                <w:sz w:val="17"/>
                <w:szCs w:val="17"/>
                <w:lang w:val="fr-FR" w:eastAsia="zh-CN"/>
              </w:rPr>
            </w:pPr>
            <w:r w:rsidRPr="00F6481E">
              <w:rPr>
                <w:rFonts w:cs="Arial"/>
                <w:sz w:val="17"/>
                <w:szCs w:val="17"/>
                <w:lang w:val="fr-FR" w:eastAsia="zh-CN"/>
              </w:rPr>
              <w:t>Alhousséini BOUBACAR</w:t>
            </w:r>
          </w:p>
        </w:tc>
        <w:tc>
          <w:tcPr>
            <w:tcW w:w="1978" w:type="dxa"/>
            <w:vAlign w:val="center"/>
          </w:tcPr>
          <w:p w14:paraId="3D45931E" w14:textId="77777777" w:rsidR="008B2B8B" w:rsidRPr="00F6481E" w:rsidRDefault="008B2B8B" w:rsidP="00B72A95">
            <w:pPr>
              <w:spacing w:after="0" w:line="240" w:lineRule="auto"/>
              <w:rPr>
                <w:rFonts w:cs="Arial"/>
                <w:sz w:val="17"/>
                <w:szCs w:val="17"/>
                <w:lang w:val="fr-FR" w:eastAsia="zh-CN"/>
              </w:rPr>
            </w:pPr>
            <w:r w:rsidRPr="00F6481E">
              <w:rPr>
                <w:rFonts w:cs="Arial"/>
                <w:sz w:val="17"/>
                <w:szCs w:val="17"/>
                <w:lang w:val="fr-FR" w:eastAsia="zh-CN"/>
              </w:rPr>
              <w:t>AEDD</w:t>
            </w:r>
          </w:p>
        </w:tc>
        <w:tc>
          <w:tcPr>
            <w:tcW w:w="2520" w:type="dxa"/>
            <w:vAlign w:val="center"/>
          </w:tcPr>
          <w:p w14:paraId="3129C9EE" w14:textId="77777777" w:rsidR="008B2B8B" w:rsidRPr="00F6481E" w:rsidRDefault="008B2B8B" w:rsidP="00B72A95">
            <w:pPr>
              <w:spacing w:after="0" w:line="240" w:lineRule="auto"/>
              <w:rPr>
                <w:rFonts w:cs="Arial"/>
                <w:sz w:val="17"/>
                <w:szCs w:val="17"/>
                <w:lang w:val="fr-FR" w:eastAsia="zh-CN"/>
              </w:rPr>
            </w:pPr>
            <w:r w:rsidRPr="00F6481E">
              <w:rPr>
                <w:rFonts w:cs="Arial"/>
                <w:sz w:val="17"/>
                <w:szCs w:val="17"/>
                <w:lang w:val="fr-FR" w:eastAsia="zh-CN"/>
              </w:rPr>
              <w:t>Chef de la section juridique</w:t>
            </w:r>
          </w:p>
        </w:tc>
        <w:tc>
          <w:tcPr>
            <w:tcW w:w="3420" w:type="dxa"/>
          </w:tcPr>
          <w:p w14:paraId="2B3475BF" w14:textId="77777777" w:rsidR="008B2B8B" w:rsidRPr="00F6481E" w:rsidRDefault="008B2B8B" w:rsidP="00B72A95">
            <w:pPr>
              <w:spacing w:after="0" w:line="240" w:lineRule="auto"/>
              <w:rPr>
                <w:rFonts w:cs="Arial"/>
                <w:sz w:val="17"/>
                <w:szCs w:val="17"/>
                <w:lang w:val="fr-FR" w:eastAsia="zh-CN"/>
              </w:rPr>
            </w:pPr>
            <w:r w:rsidRPr="00F6481E">
              <w:rPr>
                <w:rFonts w:cs="Arial"/>
                <w:sz w:val="17"/>
                <w:szCs w:val="17"/>
                <w:lang w:val="fr-FR" w:eastAsia="zh-CN"/>
              </w:rPr>
              <w:t>Tél : 75 01 71 44</w:t>
            </w:r>
          </w:p>
          <w:p w14:paraId="1695E267" w14:textId="77777777" w:rsidR="008B2B8B" w:rsidRPr="003437B4" w:rsidRDefault="008B2B8B" w:rsidP="000C73ED">
            <w:pPr>
              <w:spacing w:after="0" w:line="240" w:lineRule="auto"/>
              <w:rPr>
                <w:rFonts w:cs="Arial"/>
                <w:sz w:val="17"/>
                <w:szCs w:val="17"/>
                <w:lang w:val="fr-FR" w:eastAsia="zh-CN"/>
              </w:rPr>
            </w:pPr>
            <w:r w:rsidRPr="003437B4">
              <w:rPr>
                <w:rFonts w:cs="Arial"/>
                <w:sz w:val="17"/>
                <w:szCs w:val="17"/>
                <w:lang w:val="fr-FR" w:eastAsia="zh-CN"/>
              </w:rPr>
              <w:t xml:space="preserve">e-mail : </w:t>
            </w:r>
            <w:hyperlink r:id="rId67" w:history="1">
              <w:r w:rsidR="00F6481E" w:rsidRPr="003437B4">
                <w:rPr>
                  <w:rStyle w:val="Lienhypertexte"/>
                  <w:rFonts w:cs="Arial"/>
                  <w:color w:val="auto"/>
                  <w:sz w:val="17"/>
                  <w:szCs w:val="17"/>
                  <w:lang w:val="fr-FR" w:eastAsia="zh-CN"/>
                </w:rPr>
                <w:t>hadjofomba@yahoo.fr</w:t>
              </w:r>
            </w:hyperlink>
          </w:p>
        </w:tc>
      </w:tr>
      <w:tr w:rsidR="00BA1CEF" w:rsidRPr="00BA1CEF" w14:paraId="25FCD815" w14:textId="77777777" w:rsidTr="008F27C9">
        <w:trPr>
          <w:cantSplit/>
          <w:trHeight w:val="20"/>
          <w:jc w:val="center"/>
        </w:trPr>
        <w:tc>
          <w:tcPr>
            <w:tcW w:w="1910" w:type="dxa"/>
            <w:vAlign w:val="center"/>
          </w:tcPr>
          <w:p w14:paraId="23214D2F" w14:textId="77777777" w:rsidR="008B2B8B" w:rsidRPr="00BA1CEF" w:rsidRDefault="008B2B8B" w:rsidP="00B72A95">
            <w:pPr>
              <w:spacing w:after="0" w:line="240" w:lineRule="auto"/>
              <w:rPr>
                <w:rFonts w:cs="Arial"/>
                <w:sz w:val="17"/>
                <w:szCs w:val="17"/>
                <w:lang w:val="en-GB" w:eastAsia="zh-CN"/>
              </w:rPr>
            </w:pPr>
            <w:r w:rsidRPr="00BA1CEF">
              <w:rPr>
                <w:rFonts w:cs="Arial"/>
                <w:sz w:val="17"/>
                <w:szCs w:val="17"/>
                <w:lang w:val="en-GB" w:eastAsia="zh-CN"/>
              </w:rPr>
              <w:t>Drissa DOUMBIA</w:t>
            </w:r>
          </w:p>
        </w:tc>
        <w:tc>
          <w:tcPr>
            <w:tcW w:w="1978" w:type="dxa"/>
            <w:vAlign w:val="center"/>
          </w:tcPr>
          <w:p w14:paraId="4F9ACE41" w14:textId="77777777" w:rsidR="008B2B8B" w:rsidRPr="00BA1CEF" w:rsidRDefault="008B2B8B" w:rsidP="00B72A95">
            <w:pPr>
              <w:spacing w:after="0" w:line="240" w:lineRule="auto"/>
              <w:rPr>
                <w:rFonts w:cs="Arial"/>
                <w:sz w:val="17"/>
                <w:szCs w:val="17"/>
                <w:lang w:val="fr-FR" w:eastAsia="zh-CN"/>
              </w:rPr>
            </w:pPr>
            <w:r w:rsidRPr="00BA1CEF">
              <w:rPr>
                <w:rFonts w:cs="Arial"/>
                <w:sz w:val="17"/>
                <w:szCs w:val="17"/>
                <w:lang w:val="fr-FR" w:eastAsia="zh-CN"/>
              </w:rPr>
              <w:t>AEDD</w:t>
            </w:r>
          </w:p>
        </w:tc>
        <w:tc>
          <w:tcPr>
            <w:tcW w:w="2520" w:type="dxa"/>
            <w:vAlign w:val="center"/>
          </w:tcPr>
          <w:p w14:paraId="00E766B7" w14:textId="77777777" w:rsidR="008B2B8B" w:rsidRPr="00BA1CEF" w:rsidRDefault="008B2B8B" w:rsidP="00B72A95">
            <w:pPr>
              <w:spacing w:after="0" w:line="240" w:lineRule="auto"/>
              <w:rPr>
                <w:rFonts w:cs="Arial"/>
                <w:sz w:val="17"/>
                <w:szCs w:val="17"/>
                <w:lang w:val="fr-FR" w:eastAsia="zh-CN"/>
              </w:rPr>
            </w:pPr>
            <w:r w:rsidRPr="00BA1CEF">
              <w:rPr>
                <w:rFonts w:cs="Arial"/>
                <w:sz w:val="17"/>
                <w:szCs w:val="17"/>
                <w:lang w:val="fr-FR" w:eastAsia="zh-CN"/>
              </w:rPr>
              <w:t>Chef de département Environnement &amp;  Développement durable</w:t>
            </w:r>
          </w:p>
        </w:tc>
        <w:tc>
          <w:tcPr>
            <w:tcW w:w="3420" w:type="dxa"/>
            <w:vAlign w:val="center"/>
          </w:tcPr>
          <w:p w14:paraId="485C1874" w14:textId="77777777" w:rsidR="008B2B8B" w:rsidRPr="00BA1CEF" w:rsidRDefault="008B2B8B" w:rsidP="00B72A95">
            <w:pPr>
              <w:spacing w:after="0" w:line="240" w:lineRule="auto"/>
              <w:rPr>
                <w:rFonts w:cs="Arial"/>
                <w:sz w:val="17"/>
                <w:szCs w:val="17"/>
                <w:lang w:val="pt-PT" w:eastAsia="zh-CN"/>
              </w:rPr>
            </w:pPr>
            <w:r w:rsidRPr="00BA1CEF">
              <w:rPr>
                <w:rFonts w:cs="Arial"/>
                <w:sz w:val="17"/>
                <w:szCs w:val="17"/>
                <w:lang w:val="pt-PT" w:eastAsia="zh-CN"/>
              </w:rPr>
              <w:t>Tél : 74 33 22 22</w:t>
            </w:r>
          </w:p>
          <w:p w14:paraId="1022E6CC" w14:textId="77777777" w:rsidR="008B2B8B" w:rsidRPr="00BA1CEF" w:rsidRDefault="008B2B8B" w:rsidP="00B72A95">
            <w:pPr>
              <w:spacing w:after="0" w:line="240" w:lineRule="auto"/>
              <w:rPr>
                <w:rFonts w:cs="Arial"/>
                <w:sz w:val="17"/>
                <w:szCs w:val="17"/>
                <w:lang w:val="pt-PT" w:eastAsia="zh-CN"/>
              </w:rPr>
            </w:pPr>
            <w:r w:rsidRPr="00BA1CEF">
              <w:rPr>
                <w:rFonts w:cs="Arial"/>
                <w:sz w:val="17"/>
                <w:szCs w:val="17"/>
                <w:lang w:val="pt-PT" w:eastAsia="zh-CN"/>
              </w:rPr>
              <w:t xml:space="preserve">e-mail: </w:t>
            </w:r>
            <w:hyperlink r:id="rId68" w:history="1">
              <w:r w:rsidRPr="00BA1CEF">
                <w:rPr>
                  <w:rStyle w:val="Lienhypertexte"/>
                  <w:rFonts w:cs="Arial"/>
                  <w:color w:val="auto"/>
                  <w:sz w:val="17"/>
                  <w:szCs w:val="17"/>
                  <w:lang w:val="pt-PT" w:eastAsia="zh-CN"/>
                </w:rPr>
                <w:t>drissd2@gmail.com</w:t>
              </w:r>
            </w:hyperlink>
          </w:p>
        </w:tc>
      </w:tr>
      <w:tr w:rsidR="00BA1CEF" w:rsidRPr="00BA1CEF" w14:paraId="0CCB5542" w14:textId="77777777" w:rsidTr="008F27C9">
        <w:trPr>
          <w:cantSplit/>
          <w:trHeight w:val="20"/>
          <w:jc w:val="center"/>
        </w:trPr>
        <w:tc>
          <w:tcPr>
            <w:tcW w:w="1910" w:type="dxa"/>
            <w:vAlign w:val="center"/>
          </w:tcPr>
          <w:p w14:paraId="6FFA6B67" w14:textId="77777777" w:rsidR="008B2B8B" w:rsidRPr="00BA1CEF" w:rsidRDefault="008B2B8B" w:rsidP="00B72A95">
            <w:pPr>
              <w:spacing w:after="0" w:line="240" w:lineRule="auto"/>
              <w:rPr>
                <w:rFonts w:cs="Arial"/>
                <w:sz w:val="17"/>
                <w:szCs w:val="17"/>
                <w:lang w:val="en-GB" w:eastAsia="zh-CN"/>
              </w:rPr>
            </w:pPr>
            <w:r w:rsidRPr="00BA1CEF">
              <w:rPr>
                <w:rFonts w:cs="Arial"/>
                <w:sz w:val="17"/>
                <w:szCs w:val="17"/>
                <w:lang w:val="en-GB" w:eastAsia="zh-CN"/>
              </w:rPr>
              <w:t>Moussa DIARRA</w:t>
            </w:r>
          </w:p>
        </w:tc>
        <w:tc>
          <w:tcPr>
            <w:tcW w:w="1978" w:type="dxa"/>
            <w:vAlign w:val="center"/>
          </w:tcPr>
          <w:p w14:paraId="74F73D16" w14:textId="77777777" w:rsidR="008B2B8B" w:rsidRPr="00BA1CEF" w:rsidRDefault="008B2B8B" w:rsidP="00B72A95">
            <w:pPr>
              <w:spacing w:after="0" w:line="240" w:lineRule="auto"/>
              <w:rPr>
                <w:rFonts w:cs="Arial"/>
                <w:sz w:val="17"/>
                <w:szCs w:val="17"/>
                <w:lang w:val="fr-FR" w:eastAsia="zh-CN"/>
              </w:rPr>
            </w:pPr>
            <w:r w:rsidRPr="00BA1CEF">
              <w:rPr>
                <w:rFonts w:cs="Arial"/>
                <w:sz w:val="17"/>
                <w:szCs w:val="17"/>
                <w:lang w:val="fr-FR" w:eastAsia="zh-CN"/>
              </w:rPr>
              <w:t>AEDD</w:t>
            </w:r>
          </w:p>
        </w:tc>
        <w:tc>
          <w:tcPr>
            <w:tcW w:w="2520" w:type="dxa"/>
            <w:vAlign w:val="center"/>
          </w:tcPr>
          <w:p w14:paraId="4BEF59C5" w14:textId="77777777" w:rsidR="008B2B8B" w:rsidRPr="00BA1CEF" w:rsidRDefault="008B2B8B" w:rsidP="00C97090">
            <w:pPr>
              <w:spacing w:after="0" w:line="240" w:lineRule="auto"/>
              <w:jc w:val="left"/>
              <w:rPr>
                <w:rFonts w:cs="Arial"/>
                <w:sz w:val="17"/>
                <w:szCs w:val="17"/>
                <w:lang w:val="fr-FR" w:eastAsia="zh-CN"/>
              </w:rPr>
            </w:pPr>
            <w:r w:rsidRPr="00BA1CEF">
              <w:rPr>
                <w:rFonts w:cs="Arial"/>
                <w:sz w:val="17"/>
                <w:szCs w:val="17"/>
                <w:lang w:val="fr-FR" w:eastAsia="zh-CN"/>
              </w:rPr>
              <w:t>Chef Département Gestion de l’Information environnementale</w:t>
            </w:r>
          </w:p>
        </w:tc>
        <w:tc>
          <w:tcPr>
            <w:tcW w:w="3420" w:type="dxa"/>
            <w:vAlign w:val="center"/>
          </w:tcPr>
          <w:p w14:paraId="3853C03F" w14:textId="77777777" w:rsidR="008B2B8B" w:rsidRPr="00BA1CEF" w:rsidRDefault="00576749" w:rsidP="00B72A95">
            <w:pPr>
              <w:spacing w:after="0" w:line="240" w:lineRule="auto"/>
              <w:rPr>
                <w:rFonts w:cs="Arial"/>
                <w:sz w:val="17"/>
                <w:szCs w:val="17"/>
                <w:lang w:val="pt-PT" w:eastAsia="zh-CN"/>
              </w:rPr>
            </w:pPr>
            <w:r w:rsidRPr="00BA1CEF">
              <w:rPr>
                <w:rFonts w:cs="Arial"/>
                <w:sz w:val="17"/>
                <w:szCs w:val="17"/>
                <w:lang w:val="pt-PT" w:eastAsia="zh-CN"/>
              </w:rPr>
              <w:t>Tél : 72 14 29 41</w:t>
            </w:r>
          </w:p>
          <w:p w14:paraId="0002F706" w14:textId="77777777" w:rsidR="008B2B8B" w:rsidRPr="00BA1CEF" w:rsidRDefault="008B2B8B" w:rsidP="00B72A95">
            <w:pPr>
              <w:spacing w:after="0" w:line="240" w:lineRule="auto"/>
              <w:rPr>
                <w:rFonts w:cs="Arial"/>
                <w:sz w:val="17"/>
                <w:szCs w:val="17"/>
                <w:lang w:val="pt-PT" w:eastAsia="zh-CN"/>
              </w:rPr>
            </w:pPr>
            <w:r w:rsidRPr="00BA1CEF">
              <w:rPr>
                <w:rFonts w:cs="Arial"/>
                <w:sz w:val="17"/>
                <w:szCs w:val="17"/>
                <w:lang w:val="pt-PT" w:eastAsia="zh-CN"/>
              </w:rPr>
              <w:t xml:space="preserve">e-mail : </w:t>
            </w:r>
            <w:hyperlink r:id="rId69" w:history="1">
              <w:r w:rsidRPr="00BA1CEF">
                <w:rPr>
                  <w:rStyle w:val="Lienhypertexte"/>
                  <w:rFonts w:cs="Arial"/>
                  <w:color w:val="auto"/>
                  <w:sz w:val="17"/>
                  <w:szCs w:val="17"/>
                  <w:lang w:val="pt-PT" w:eastAsia="zh-CN"/>
                </w:rPr>
                <w:t>moussadiar2006@yahoo.fr</w:t>
              </w:r>
            </w:hyperlink>
          </w:p>
        </w:tc>
      </w:tr>
      <w:tr w:rsidR="00BA1CEF" w:rsidRPr="00BA1CEF" w14:paraId="2F06E691" w14:textId="77777777" w:rsidTr="008F27C9">
        <w:trPr>
          <w:cantSplit/>
          <w:trHeight w:val="20"/>
          <w:jc w:val="center"/>
        </w:trPr>
        <w:tc>
          <w:tcPr>
            <w:tcW w:w="1910" w:type="dxa"/>
            <w:vAlign w:val="center"/>
          </w:tcPr>
          <w:p w14:paraId="6F9281AB" w14:textId="77777777" w:rsidR="00576749" w:rsidRPr="00BA1CEF" w:rsidRDefault="00576749" w:rsidP="00B72A95">
            <w:pPr>
              <w:spacing w:after="0" w:line="240" w:lineRule="auto"/>
              <w:rPr>
                <w:rFonts w:cs="Arial"/>
                <w:sz w:val="17"/>
                <w:szCs w:val="17"/>
                <w:lang w:val="en-GB" w:eastAsia="zh-CN"/>
              </w:rPr>
            </w:pPr>
            <w:r w:rsidRPr="00BA1CEF">
              <w:rPr>
                <w:rFonts w:cs="Arial"/>
                <w:sz w:val="17"/>
                <w:szCs w:val="17"/>
                <w:lang w:val="en-GB" w:eastAsia="zh-CN"/>
              </w:rPr>
              <w:t>Mamadou GOUMANE</w:t>
            </w:r>
          </w:p>
        </w:tc>
        <w:tc>
          <w:tcPr>
            <w:tcW w:w="1978" w:type="dxa"/>
            <w:vAlign w:val="center"/>
          </w:tcPr>
          <w:p w14:paraId="628569BD" w14:textId="77777777" w:rsidR="00576749" w:rsidRPr="00BA1CEF" w:rsidRDefault="00576749" w:rsidP="00B72A95">
            <w:pPr>
              <w:spacing w:after="0" w:line="240" w:lineRule="auto"/>
              <w:rPr>
                <w:rFonts w:cs="Arial"/>
                <w:sz w:val="17"/>
                <w:szCs w:val="17"/>
                <w:lang w:val="en-GB" w:eastAsia="zh-CN"/>
              </w:rPr>
            </w:pPr>
            <w:r w:rsidRPr="00BA1CEF">
              <w:rPr>
                <w:rFonts w:cs="Arial"/>
                <w:sz w:val="17"/>
                <w:szCs w:val="17"/>
                <w:lang w:val="en-GB" w:eastAsia="zh-CN"/>
              </w:rPr>
              <w:t>AEDD</w:t>
            </w:r>
          </w:p>
        </w:tc>
        <w:tc>
          <w:tcPr>
            <w:tcW w:w="2520" w:type="dxa"/>
            <w:vAlign w:val="center"/>
          </w:tcPr>
          <w:p w14:paraId="333658B2" w14:textId="77777777" w:rsidR="00576749" w:rsidRPr="00BA1CEF" w:rsidRDefault="00576749" w:rsidP="00B72A95">
            <w:pPr>
              <w:spacing w:after="0" w:line="240" w:lineRule="auto"/>
              <w:rPr>
                <w:rFonts w:cs="Arial"/>
                <w:sz w:val="17"/>
                <w:szCs w:val="17"/>
                <w:lang w:val="fr-FR" w:eastAsia="zh-CN"/>
              </w:rPr>
            </w:pPr>
            <w:r w:rsidRPr="00BA1CEF">
              <w:rPr>
                <w:rFonts w:cs="Arial"/>
                <w:sz w:val="17"/>
                <w:szCs w:val="17"/>
                <w:lang w:val="fr-FR" w:eastAsia="zh-CN"/>
              </w:rPr>
              <w:t>DIE</w:t>
            </w:r>
          </w:p>
        </w:tc>
        <w:tc>
          <w:tcPr>
            <w:tcW w:w="3420" w:type="dxa"/>
            <w:vAlign w:val="center"/>
          </w:tcPr>
          <w:p w14:paraId="46F560C2" w14:textId="77777777" w:rsidR="00576749" w:rsidRPr="00BA1CEF" w:rsidRDefault="00576749" w:rsidP="00B72A95">
            <w:pPr>
              <w:spacing w:after="0" w:line="240" w:lineRule="auto"/>
              <w:rPr>
                <w:rFonts w:cs="Arial"/>
                <w:sz w:val="17"/>
                <w:szCs w:val="17"/>
                <w:lang w:val="pt-PT" w:eastAsia="zh-CN"/>
              </w:rPr>
            </w:pPr>
            <w:r w:rsidRPr="00BA1CEF">
              <w:rPr>
                <w:rFonts w:cs="Arial"/>
                <w:sz w:val="17"/>
                <w:szCs w:val="17"/>
                <w:lang w:val="pt-PT" w:eastAsia="zh-CN"/>
              </w:rPr>
              <w:t>Tél: 76 18 06 04</w:t>
            </w:r>
          </w:p>
          <w:p w14:paraId="4E8DBFE0" w14:textId="77777777" w:rsidR="003C6885" w:rsidRPr="00BA1CEF" w:rsidRDefault="003C6885" w:rsidP="00B72A95">
            <w:pPr>
              <w:spacing w:after="0" w:line="240" w:lineRule="auto"/>
              <w:rPr>
                <w:rFonts w:cs="Arial"/>
                <w:sz w:val="17"/>
                <w:szCs w:val="17"/>
                <w:lang w:val="pt-PT" w:eastAsia="zh-CN"/>
              </w:rPr>
            </w:pPr>
            <w:r w:rsidRPr="00BA1CEF">
              <w:rPr>
                <w:rFonts w:cs="Arial"/>
                <w:sz w:val="17"/>
                <w:szCs w:val="17"/>
                <w:lang w:val="pt-PT" w:eastAsia="zh-CN"/>
              </w:rPr>
              <w:t>e-mail: goumgoum86@yahoo.fr</w:t>
            </w:r>
          </w:p>
        </w:tc>
      </w:tr>
      <w:tr w:rsidR="00BA1CEF" w:rsidRPr="00BA1CEF" w14:paraId="02F4CDD2" w14:textId="77777777" w:rsidTr="00C97090">
        <w:tblPrEx>
          <w:tblLook w:val="04A0" w:firstRow="1" w:lastRow="0" w:firstColumn="1" w:lastColumn="0" w:noHBand="0" w:noVBand="1"/>
        </w:tblPrEx>
        <w:trPr>
          <w:trHeight w:val="20"/>
          <w:jc w:val="center"/>
        </w:trPr>
        <w:tc>
          <w:tcPr>
            <w:tcW w:w="1910" w:type="dxa"/>
          </w:tcPr>
          <w:p w14:paraId="36C81B9F" w14:textId="77777777" w:rsidR="005F1F06" w:rsidRPr="00BA1CEF" w:rsidRDefault="005F1F06" w:rsidP="00B72A95">
            <w:pPr>
              <w:spacing w:after="0" w:line="240" w:lineRule="auto"/>
              <w:rPr>
                <w:rFonts w:cs="Arial"/>
                <w:w w:val="95"/>
                <w:sz w:val="17"/>
                <w:szCs w:val="17"/>
                <w:lang w:val="fr-FR" w:eastAsia="en-GB"/>
              </w:rPr>
            </w:pPr>
            <w:r w:rsidRPr="00BA1CEF">
              <w:rPr>
                <w:rFonts w:cs="Arial"/>
                <w:w w:val="95"/>
                <w:sz w:val="17"/>
                <w:szCs w:val="17"/>
                <w:lang w:val="fr-FR" w:eastAsia="en-GB"/>
              </w:rPr>
              <w:t>Yehia ABDOU</w:t>
            </w:r>
          </w:p>
        </w:tc>
        <w:tc>
          <w:tcPr>
            <w:tcW w:w="1978" w:type="dxa"/>
            <w:vAlign w:val="center"/>
          </w:tcPr>
          <w:p w14:paraId="35D87F86" w14:textId="77777777" w:rsidR="005F1F06" w:rsidRPr="00BA1CEF" w:rsidRDefault="005F1F06" w:rsidP="00B72A95">
            <w:pPr>
              <w:spacing w:after="0" w:line="240" w:lineRule="auto"/>
              <w:rPr>
                <w:rFonts w:eastAsia="Georgia" w:cs="Arial"/>
                <w:sz w:val="17"/>
                <w:szCs w:val="17"/>
                <w:lang w:val="en-GB" w:eastAsia="en-GB"/>
              </w:rPr>
            </w:pPr>
            <w:r w:rsidRPr="00BA1CEF">
              <w:rPr>
                <w:rFonts w:eastAsia="Georgia" w:cs="Arial"/>
                <w:sz w:val="17"/>
                <w:szCs w:val="17"/>
                <w:lang w:val="en-GB" w:eastAsia="en-GB"/>
              </w:rPr>
              <w:t>DNPD</w:t>
            </w:r>
          </w:p>
        </w:tc>
        <w:tc>
          <w:tcPr>
            <w:tcW w:w="2520" w:type="dxa"/>
            <w:vAlign w:val="center"/>
          </w:tcPr>
          <w:p w14:paraId="4DA10C93" w14:textId="77777777" w:rsidR="005F1F06" w:rsidRPr="00BA1CEF" w:rsidRDefault="005F1F06" w:rsidP="00B72A95">
            <w:pPr>
              <w:spacing w:after="0" w:line="240" w:lineRule="auto"/>
              <w:rPr>
                <w:rFonts w:cs="Arial"/>
                <w:sz w:val="17"/>
                <w:szCs w:val="17"/>
                <w:lang w:val="fr-FR" w:eastAsia="en-GB"/>
              </w:rPr>
            </w:pPr>
            <w:r w:rsidRPr="00BA1CEF">
              <w:rPr>
                <w:rFonts w:cs="Arial"/>
                <w:sz w:val="17"/>
                <w:szCs w:val="17"/>
                <w:lang w:val="fr-FR" w:eastAsia="en-GB"/>
              </w:rPr>
              <w:t>Point focal AEDD</w:t>
            </w:r>
          </w:p>
        </w:tc>
        <w:tc>
          <w:tcPr>
            <w:tcW w:w="3420" w:type="dxa"/>
          </w:tcPr>
          <w:p w14:paraId="366C3586" w14:textId="77777777" w:rsidR="005F1F06" w:rsidRPr="00BA1CEF" w:rsidRDefault="005F1F06" w:rsidP="001E0A2F">
            <w:pPr>
              <w:spacing w:after="0" w:line="240" w:lineRule="auto"/>
              <w:rPr>
                <w:rFonts w:eastAsia="Georgia" w:cs="Arial"/>
                <w:sz w:val="17"/>
                <w:szCs w:val="17"/>
                <w:lang w:val="fr-FR" w:eastAsia="en-GB"/>
              </w:rPr>
            </w:pPr>
            <w:r w:rsidRPr="00BA1CEF">
              <w:rPr>
                <w:rFonts w:eastAsia="Georgia" w:cs="Arial"/>
                <w:sz w:val="17"/>
                <w:szCs w:val="17"/>
                <w:lang w:val="fr-FR" w:eastAsia="en-GB"/>
              </w:rPr>
              <w:t>Tél : 66 25 66 29</w:t>
            </w:r>
          </w:p>
          <w:p w14:paraId="704E3283" w14:textId="77777777" w:rsidR="005F1F06" w:rsidRPr="00BA1CEF" w:rsidRDefault="005F1F06" w:rsidP="001E0A2F">
            <w:pPr>
              <w:spacing w:after="0" w:line="240" w:lineRule="auto"/>
              <w:rPr>
                <w:rFonts w:eastAsia="Georgia" w:cs="Arial"/>
                <w:sz w:val="17"/>
                <w:szCs w:val="17"/>
                <w:lang w:val="fr-FR" w:eastAsia="en-GB"/>
              </w:rPr>
            </w:pPr>
            <w:r w:rsidRPr="00BA1CEF">
              <w:rPr>
                <w:rFonts w:eastAsia="Georgia" w:cs="Arial"/>
                <w:sz w:val="17"/>
                <w:szCs w:val="17"/>
                <w:lang w:val="fr-FR" w:eastAsia="en-GB"/>
              </w:rPr>
              <w:t>yehiabdou@yahoo.fr</w:t>
            </w:r>
          </w:p>
        </w:tc>
      </w:tr>
      <w:tr w:rsidR="00BA1CEF" w:rsidRPr="00BA1CEF" w14:paraId="2FDEA943" w14:textId="77777777" w:rsidTr="00C97090">
        <w:tblPrEx>
          <w:tblLook w:val="04A0" w:firstRow="1" w:lastRow="0" w:firstColumn="1" w:lastColumn="0" w:noHBand="0" w:noVBand="1"/>
        </w:tblPrEx>
        <w:trPr>
          <w:trHeight w:val="20"/>
          <w:jc w:val="center"/>
        </w:trPr>
        <w:tc>
          <w:tcPr>
            <w:tcW w:w="1910" w:type="dxa"/>
          </w:tcPr>
          <w:p w14:paraId="04889914" w14:textId="77777777" w:rsidR="008B2B8B" w:rsidRPr="00BA1CEF" w:rsidRDefault="001E0A2F" w:rsidP="00B72A95">
            <w:pPr>
              <w:spacing w:after="0" w:line="240" w:lineRule="auto"/>
              <w:rPr>
                <w:rFonts w:cs="Arial"/>
                <w:w w:val="95"/>
                <w:sz w:val="17"/>
                <w:szCs w:val="17"/>
                <w:lang w:val="fr-FR" w:eastAsia="en-GB"/>
              </w:rPr>
            </w:pPr>
            <w:r w:rsidRPr="00BA1CEF">
              <w:rPr>
                <w:rFonts w:cs="Arial"/>
                <w:w w:val="95"/>
                <w:sz w:val="17"/>
                <w:szCs w:val="17"/>
                <w:lang w:val="fr-FR" w:eastAsia="en-GB"/>
              </w:rPr>
              <w:t>Amadou CAMARA</w:t>
            </w:r>
          </w:p>
        </w:tc>
        <w:tc>
          <w:tcPr>
            <w:tcW w:w="1978" w:type="dxa"/>
          </w:tcPr>
          <w:p w14:paraId="0765590E" w14:textId="77777777" w:rsidR="008B2B8B" w:rsidRPr="00BA1CEF" w:rsidRDefault="008B2B8B" w:rsidP="00B72A95">
            <w:pPr>
              <w:spacing w:after="0" w:line="240" w:lineRule="auto"/>
              <w:rPr>
                <w:rFonts w:eastAsia="Georgia" w:cs="Arial"/>
                <w:sz w:val="17"/>
                <w:szCs w:val="17"/>
                <w:lang w:val="en-GB" w:eastAsia="en-GB"/>
              </w:rPr>
            </w:pPr>
            <w:r w:rsidRPr="00BA1CEF">
              <w:rPr>
                <w:rFonts w:eastAsia="Georgia" w:cs="Arial"/>
                <w:sz w:val="17"/>
                <w:szCs w:val="17"/>
                <w:lang w:val="en-GB" w:eastAsia="en-GB"/>
              </w:rPr>
              <w:t>DNACPN</w:t>
            </w:r>
          </w:p>
        </w:tc>
        <w:tc>
          <w:tcPr>
            <w:tcW w:w="2520" w:type="dxa"/>
            <w:vAlign w:val="center"/>
          </w:tcPr>
          <w:p w14:paraId="56162ED0" w14:textId="77777777" w:rsidR="008B2B8B" w:rsidRPr="00BA1CEF" w:rsidRDefault="001E0A2F" w:rsidP="00B72A95">
            <w:pPr>
              <w:spacing w:after="0" w:line="240" w:lineRule="auto"/>
              <w:rPr>
                <w:rFonts w:cs="Arial"/>
                <w:sz w:val="17"/>
                <w:szCs w:val="17"/>
                <w:lang w:val="fr-FR" w:eastAsia="en-GB"/>
              </w:rPr>
            </w:pPr>
            <w:r w:rsidRPr="00BA1CEF">
              <w:rPr>
                <w:rFonts w:cs="Arial"/>
                <w:sz w:val="17"/>
                <w:szCs w:val="17"/>
                <w:lang w:val="fr-FR" w:eastAsia="en-GB"/>
              </w:rPr>
              <w:t>Directeur national</w:t>
            </w:r>
          </w:p>
        </w:tc>
        <w:tc>
          <w:tcPr>
            <w:tcW w:w="3420" w:type="dxa"/>
          </w:tcPr>
          <w:p w14:paraId="2C0ED01D" w14:textId="77777777" w:rsidR="001E0A2F" w:rsidRPr="00BA1CEF" w:rsidRDefault="001E0A2F" w:rsidP="001E0A2F">
            <w:pPr>
              <w:spacing w:after="0" w:line="240" w:lineRule="auto"/>
              <w:rPr>
                <w:rFonts w:eastAsia="Georgia" w:cs="Arial"/>
                <w:sz w:val="17"/>
                <w:szCs w:val="17"/>
                <w:lang w:val="fr-FR" w:eastAsia="en-GB"/>
              </w:rPr>
            </w:pPr>
            <w:r w:rsidRPr="00BA1CEF">
              <w:rPr>
                <w:rFonts w:eastAsia="Georgia" w:cs="Arial"/>
                <w:sz w:val="17"/>
                <w:szCs w:val="17"/>
                <w:lang w:val="fr-FR" w:eastAsia="en-GB"/>
              </w:rPr>
              <w:t>Tél : 66 79 70 20 / 66 75 65 47</w:t>
            </w:r>
          </w:p>
          <w:p w14:paraId="4F52A05B" w14:textId="77777777" w:rsidR="008B2B8B" w:rsidRPr="00BA1CEF" w:rsidRDefault="001E0A2F" w:rsidP="001E0A2F">
            <w:pPr>
              <w:spacing w:after="0" w:line="240" w:lineRule="auto"/>
              <w:rPr>
                <w:rFonts w:eastAsia="Georgia" w:cs="Arial"/>
                <w:sz w:val="17"/>
                <w:szCs w:val="17"/>
                <w:lang w:val="fr-FR" w:eastAsia="en-GB"/>
              </w:rPr>
            </w:pPr>
            <w:r w:rsidRPr="00BA1CEF">
              <w:rPr>
                <w:rFonts w:eastAsia="Georgia" w:cs="Arial"/>
                <w:sz w:val="17"/>
                <w:szCs w:val="17"/>
                <w:lang w:val="fr-FR" w:eastAsia="en-GB"/>
              </w:rPr>
              <w:t xml:space="preserve">email : acamara2004@yahoo.fr </w:t>
            </w:r>
          </w:p>
        </w:tc>
      </w:tr>
      <w:tr w:rsidR="00BA1CEF" w:rsidRPr="00074BCA" w14:paraId="57E91431" w14:textId="77777777" w:rsidTr="00C97090">
        <w:tblPrEx>
          <w:tblLook w:val="04A0" w:firstRow="1" w:lastRow="0" w:firstColumn="1" w:lastColumn="0" w:noHBand="0" w:noVBand="1"/>
        </w:tblPrEx>
        <w:trPr>
          <w:trHeight w:val="20"/>
          <w:jc w:val="center"/>
        </w:trPr>
        <w:tc>
          <w:tcPr>
            <w:tcW w:w="1910" w:type="dxa"/>
          </w:tcPr>
          <w:p w14:paraId="0C103FE4" w14:textId="77777777" w:rsidR="008B2B8B" w:rsidRPr="00BA1CEF" w:rsidRDefault="001E0A2F" w:rsidP="001E0A2F">
            <w:pPr>
              <w:spacing w:after="0" w:line="240" w:lineRule="auto"/>
              <w:jc w:val="left"/>
              <w:rPr>
                <w:rFonts w:cs="Arial"/>
                <w:w w:val="95"/>
                <w:sz w:val="17"/>
                <w:szCs w:val="17"/>
                <w:lang w:val="fr-FR" w:eastAsia="en-GB"/>
              </w:rPr>
            </w:pPr>
            <w:r w:rsidRPr="00BA1CEF">
              <w:rPr>
                <w:rFonts w:cs="Arial"/>
                <w:w w:val="95"/>
                <w:sz w:val="17"/>
                <w:szCs w:val="17"/>
                <w:lang w:val="fr-FR" w:eastAsia="en-GB"/>
              </w:rPr>
              <w:t>Mme NIAFO Niafatouma ASCOFARE</w:t>
            </w:r>
          </w:p>
        </w:tc>
        <w:tc>
          <w:tcPr>
            <w:tcW w:w="1978" w:type="dxa"/>
          </w:tcPr>
          <w:p w14:paraId="666FCB6B" w14:textId="77777777" w:rsidR="008B2B8B" w:rsidRPr="00BA1CEF" w:rsidRDefault="008B2B8B" w:rsidP="00B72A95">
            <w:pPr>
              <w:spacing w:after="0" w:line="240" w:lineRule="auto"/>
              <w:rPr>
                <w:rFonts w:eastAsia="Georgia" w:cs="Arial"/>
                <w:sz w:val="17"/>
                <w:szCs w:val="17"/>
                <w:lang w:val="en-GB" w:eastAsia="en-GB"/>
              </w:rPr>
            </w:pPr>
            <w:r w:rsidRPr="00BA1CEF">
              <w:rPr>
                <w:rFonts w:eastAsia="Georgia" w:cs="Arial"/>
                <w:sz w:val="17"/>
                <w:szCs w:val="17"/>
                <w:lang w:val="en-GB" w:eastAsia="en-GB"/>
              </w:rPr>
              <w:t>DNACPN</w:t>
            </w:r>
          </w:p>
        </w:tc>
        <w:tc>
          <w:tcPr>
            <w:tcW w:w="2520" w:type="dxa"/>
            <w:vAlign w:val="center"/>
          </w:tcPr>
          <w:p w14:paraId="69DBAD8C" w14:textId="77777777" w:rsidR="008B2B8B" w:rsidRPr="00BA1CEF" w:rsidRDefault="001E0A2F" w:rsidP="00B72A95">
            <w:pPr>
              <w:spacing w:after="0" w:line="240" w:lineRule="auto"/>
              <w:rPr>
                <w:rFonts w:cs="Arial"/>
                <w:sz w:val="17"/>
                <w:szCs w:val="17"/>
                <w:lang w:val="fr-FR" w:eastAsia="en-GB"/>
              </w:rPr>
            </w:pPr>
            <w:r w:rsidRPr="00BA1CEF">
              <w:rPr>
                <w:rFonts w:cs="Arial"/>
                <w:sz w:val="17"/>
                <w:szCs w:val="17"/>
                <w:lang w:val="fr-FR" w:eastAsia="en-GB"/>
              </w:rPr>
              <w:t>Directrice nationale adjointe</w:t>
            </w:r>
          </w:p>
        </w:tc>
        <w:tc>
          <w:tcPr>
            <w:tcW w:w="3420" w:type="dxa"/>
          </w:tcPr>
          <w:p w14:paraId="2B9DC05B" w14:textId="77777777" w:rsidR="001E0A2F" w:rsidRPr="00BA1CEF" w:rsidRDefault="001E0A2F" w:rsidP="001E0A2F">
            <w:pPr>
              <w:spacing w:after="0" w:line="240" w:lineRule="auto"/>
              <w:rPr>
                <w:rFonts w:eastAsia="Georgia" w:cs="Arial"/>
                <w:sz w:val="17"/>
                <w:szCs w:val="17"/>
                <w:lang w:val="fr-FR" w:eastAsia="en-GB"/>
              </w:rPr>
            </w:pPr>
            <w:r w:rsidRPr="00BA1CEF">
              <w:rPr>
                <w:rFonts w:eastAsia="Georgia" w:cs="Arial"/>
                <w:sz w:val="17"/>
                <w:szCs w:val="17"/>
                <w:lang w:val="fr-FR" w:eastAsia="en-GB"/>
              </w:rPr>
              <w:t>Tél : 76 02 85 33 / 69 61 65 12</w:t>
            </w:r>
          </w:p>
          <w:p w14:paraId="5DE93D7F" w14:textId="77777777" w:rsidR="008B2B8B" w:rsidRPr="008E0431" w:rsidRDefault="001E0A2F" w:rsidP="001E0A2F">
            <w:pPr>
              <w:spacing w:after="0" w:line="240" w:lineRule="auto"/>
              <w:rPr>
                <w:rFonts w:eastAsia="Georgia" w:cs="Arial"/>
                <w:sz w:val="17"/>
                <w:szCs w:val="17"/>
                <w:lang w:val="fr-FR" w:eastAsia="en-GB"/>
              </w:rPr>
            </w:pPr>
            <w:r w:rsidRPr="008E0431">
              <w:rPr>
                <w:rFonts w:eastAsia="Georgia" w:cs="Arial"/>
                <w:sz w:val="17"/>
                <w:szCs w:val="17"/>
                <w:lang w:val="fr-FR" w:eastAsia="en-GB"/>
              </w:rPr>
              <w:t xml:space="preserve">e-mail : niafatoumata@yahoo.fr </w:t>
            </w:r>
          </w:p>
        </w:tc>
      </w:tr>
      <w:tr w:rsidR="00BA1CEF" w:rsidRPr="00074BCA" w14:paraId="17A3D76C" w14:textId="77777777" w:rsidTr="00C97090">
        <w:tblPrEx>
          <w:tblLook w:val="04A0" w:firstRow="1" w:lastRow="0" w:firstColumn="1" w:lastColumn="0" w:noHBand="0" w:noVBand="1"/>
        </w:tblPrEx>
        <w:trPr>
          <w:trHeight w:val="20"/>
          <w:jc w:val="center"/>
        </w:trPr>
        <w:tc>
          <w:tcPr>
            <w:tcW w:w="1910" w:type="dxa"/>
          </w:tcPr>
          <w:p w14:paraId="23B87A96" w14:textId="77777777" w:rsidR="008B2B8B" w:rsidRPr="00BA1CEF" w:rsidRDefault="008B2B8B" w:rsidP="00B72A95">
            <w:pPr>
              <w:spacing w:after="0" w:line="240" w:lineRule="auto"/>
              <w:rPr>
                <w:rFonts w:eastAsia="Georgia" w:cs="Arial"/>
                <w:sz w:val="17"/>
                <w:szCs w:val="17"/>
                <w:lang w:val="fr-FR" w:eastAsia="en-GB"/>
              </w:rPr>
            </w:pPr>
            <w:r w:rsidRPr="00BA1CEF">
              <w:rPr>
                <w:rFonts w:cs="Arial"/>
                <w:w w:val="95"/>
                <w:sz w:val="17"/>
                <w:szCs w:val="17"/>
                <w:lang w:val="fr-FR" w:eastAsia="en-GB"/>
              </w:rPr>
              <w:t>Soumana TIMBO</w:t>
            </w:r>
          </w:p>
        </w:tc>
        <w:tc>
          <w:tcPr>
            <w:tcW w:w="1978" w:type="dxa"/>
          </w:tcPr>
          <w:p w14:paraId="77439DB6" w14:textId="77777777" w:rsidR="008B2B8B" w:rsidRPr="00BA1CEF" w:rsidRDefault="008B2B8B" w:rsidP="00B72A95">
            <w:pPr>
              <w:spacing w:after="0" w:line="240" w:lineRule="auto"/>
              <w:rPr>
                <w:rFonts w:eastAsia="Georgia" w:cs="Arial"/>
                <w:sz w:val="17"/>
                <w:szCs w:val="17"/>
                <w:lang w:val="en-GB" w:eastAsia="en-GB"/>
              </w:rPr>
            </w:pPr>
            <w:r w:rsidRPr="00BA1CEF">
              <w:rPr>
                <w:rFonts w:eastAsia="Georgia" w:cs="Arial"/>
                <w:sz w:val="17"/>
                <w:szCs w:val="17"/>
                <w:lang w:val="en-GB" w:eastAsia="en-GB"/>
              </w:rPr>
              <w:t>DNEF</w:t>
            </w:r>
          </w:p>
        </w:tc>
        <w:tc>
          <w:tcPr>
            <w:tcW w:w="2520" w:type="dxa"/>
            <w:vAlign w:val="center"/>
          </w:tcPr>
          <w:p w14:paraId="78064B6C" w14:textId="77777777" w:rsidR="008B2B8B" w:rsidRPr="00BA1CEF" w:rsidRDefault="008B2B8B" w:rsidP="00B72A95">
            <w:pPr>
              <w:spacing w:after="0" w:line="240" w:lineRule="auto"/>
              <w:rPr>
                <w:rFonts w:eastAsia="Georgia" w:cs="Arial"/>
                <w:sz w:val="17"/>
                <w:szCs w:val="17"/>
                <w:lang w:val="fr-FR" w:eastAsia="en-GB"/>
              </w:rPr>
            </w:pPr>
            <w:r w:rsidRPr="00BA1CEF">
              <w:rPr>
                <w:rFonts w:cs="Arial"/>
                <w:sz w:val="17"/>
                <w:szCs w:val="17"/>
                <w:lang w:val="fr-FR" w:eastAsia="en-GB"/>
              </w:rPr>
              <w:t>Directeur National Adjoint</w:t>
            </w:r>
          </w:p>
        </w:tc>
        <w:tc>
          <w:tcPr>
            <w:tcW w:w="3420" w:type="dxa"/>
          </w:tcPr>
          <w:p w14:paraId="24885543" w14:textId="77777777" w:rsidR="008B2B8B" w:rsidRPr="00BA1CEF" w:rsidRDefault="008B2B8B" w:rsidP="00B72A95">
            <w:pPr>
              <w:spacing w:after="0" w:line="240" w:lineRule="auto"/>
              <w:rPr>
                <w:rFonts w:eastAsia="Georgia" w:cs="Arial"/>
                <w:sz w:val="17"/>
                <w:szCs w:val="17"/>
                <w:lang w:val="fr-FR" w:eastAsia="en-GB"/>
              </w:rPr>
            </w:pPr>
            <w:r w:rsidRPr="00BA1CEF">
              <w:rPr>
                <w:rFonts w:eastAsia="Georgia" w:cs="Arial"/>
                <w:sz w:val="17"/>
                <w:szCs w:val="17"/>
                <w:lang w:val="fr-FR" w:eastAsia="en-GB"/>
              </w:rPr>
              <w:t>Tél : 76 84 61 28</w:t>
            </w:r>
          </w:p>
          <w:p w14:paraId="1D3BBBE4" w14:textId="77777777" w:rsidR="008B2B8B" w:rsidRPr="008E0431" w:rsidRDefault="008B2B8B" w:rsidP="00B72A95">
            <w:pPr>
              <w:spacing w:after="0" w:line="240" w:lineRule="auto"/>
              <w:rPr>
                <w:rFonts w:eastAsia="Georgia" w:cs="Arial"/>
                <w:sz w:val="17"/>
                <w:szCs w:val="17"/>
                <w:lang w:val="fr-FR" w:eastAsia="en-GB"/>
              </w:rPr>
            </w:pPr>
            <w:r w:rsidRPr="008E0431">
              <w:rPr>
                <w:rFonts w:eastAsia="Georgia" w:cs="Arial"/>
                <w:sz w:val="17"/>
                <w:szCs w:val="17"/>
                <w:lang w:val="fr-FR" w:eastAsia="en-GB"/>
              </w:rPr>
              <w:t xml:space="preserve">e-mail : timbosat@yahoo.fr </w:t>
            </w:r>
          </w:p>
        </w:tc>
      </w:tr>
      <w:tr w:rsidR="00BA1CEF" w:rsidRPr="00074BCA" w14:paraId="4B18C9CA" w14:textId="77777777" w:rsidTr="008F27C9">
        <w:tblPrEx>
          <w:tblLook w:val="04A0" w:firstRow="1" w:lastRow="0" w:firstColumn="1" w:lastColumn="0" w:noHBand="0" w:noVBand="1"/>
        </w:tblPrEx>
        <w:trPr>
          <w:trHeight w:val="20"/>
          <w:jc w:val="center"/>
        </w:trPr>
        <w:tc>
          <w:tcPr>
            <w:tcW w:w="1910" w:type="dxa"/>
          </w:tcPr>
          <w:p w14:paraId="038C098E" w14:textId="77777777" w:rsidR="00756958" w:rsidRPr="00BA1CEF" w:rsidRDefault="00527C24" w:rsidP="00527C24">
            <w:pPr>
              <w:spacing w:after="0" w:line="240" w:lineRule="auto"/>
              <w:jc w:val="left"/>
              <w:rPr>
                <w:rFonts w:cs="Arial"/>
                <w:w w:val="95"/>
                <w:sz w:val="17"/>
                <w:szCs w:val="17"/>
                <w:lang w:eastAsia="en-GB"/>
              </w:rPr>
            </w:pPr>
            <w:r w:rsidRPr="00BA1CEF">
              <w:rPr>
                <w:rFonts w:cs="Arial"/>
                <w:w w:val="95"/>
                <w:sz w:val="17"/>
                <w:szCs w:val="17"/>
                <w:lang w:eastAsia="en-GB"/>
              </w:rPr>
              <w:t>Amadou DIALLO</w:t>
            </w:r>
          </w:p>
        </w:tc>
        <w:tc>
          <w:tcPr>
            <w:tcW w:w="1978" w:type="dxa"/>
          </w:tcPr>
          <w:p w14:paraId="2E572C5B" w14:textId="77777777" w:rsidR="00756958" w:rsidRPr="00BA1CEF" w:rsidRDefault="00527C24" w:rsidP="00527C24">
            <w:pPr>
              <w:spacing w:after="0" w:line="240" w:lineRule="auto"/>
              <w:jc w:val="left"/>
              <w:rPr>
                <w:rFonts w:eastAsia="Georgia" w:cs="Arial"/>
                <w:sz w:val="17"/>
                <w:szCs w:val="17"/>
                <w:lang w:val="fr-FR" w:eastAsia="en-GB"/>
              </w:rPr>
            </w:pPr>
            <w:r w:rsidRPr="00BA1CEF">
              <w:rPr>
                <w:rFonts w:eastAsia="Georgia" w:cs="Arial"/>
                <w:sz w:val="17"/>
                <w:szCs w:val="17"/>
                <w:lang w:val="fr-FR" w:eastAsia="en-GB"/>
              </w:rPr>
              <w:t>DNEF</w:t>
            </w:r>
          </w:p>
        </w:tc>
        <w:tc>
          <w:tcPr>
            <w:tcW w:w="2520" w:type="dxa"/>
          </w:tcPr>
          <w:p w14:paraId="614D797F" w14:textId="77777777" w:rsidR="00756958" w:rsidRPr="00BA1CEF" w:rsidRDefault="00527C24" w:rsidP="00527C24">
            <w:pPr>
              <w:spacing w:after="0" w:line="240" w:lineRule="auto"/>
              <w:jc w:val="left"/>
              <w:rPr>
                <w:rFonts w:cs="Arial"/>
                <w:sz w:val="17"/>
                <w:szCs w:val="17"/>
                <w:lang w:val="fr-FR" w:eastAsia="en-GB"/>
              </w:rPr>
            </w:pPr>
            <w:r w:rsidRPr="00BA1CEF">
              <w:rPr>
                <w:rFonts w:cs="Arial"/>
                <w:sz w:val="17"/>
                <w:szCs w:val="17"/>
                <w:lang w:val="fr-FR" w:eastAsia="en-GB"/>
              </w:rPr>
              <w:t>Chef division Etudes, Programmation, Suivi Evaluation</w:t>
            </w:r>
          </w:p>
        </w:tc>
        <w:tc>
          <w:tcPr>
            <w:tcW w:w="3420" w:type="dxa"/>
          </w:tcPr>
          <w:p w14:paraId="743AE030" w14:textId="77777777" w:rsidR="00756958" w:rsidRPr="00BA1CEF" w:rsidRDefault="00527C24" w:rsidP="00527C24">
            <w:pPr>
              <w:spacing w:after="0" w:line="240" w:lineRule="auto"/>
              <w:jc w:val="left"/>
              <w:rPr>
                <w:rFonts w:eastAsia="Georgia" w:cs="Arial"/>
                <w:sz w:val="17"/>
                <w:szCs w:val="17"/>
                <w:lang w:val="fr-FR" w:eastAsia="en-GB"/>
              </w:rPr>
            </w:pPr>
            <w:r w:rsidRPr="00BA1CEF">
              <w:rPr>
                <w:rFonts w:eastAsia="Georgia" w:cs="Arial"/>
                <w:sz w:val="17"/>
                <w:szCs w:val="17"/>
                <w:lang w:val="fr-FR" w:eastAsia="en-GB"/>
              </w:rPr>
              <w:t>Tél : 62 65 55 55</w:t>
            </w:r>
          </w:p>
          <w:p w14:paraId="11B79697" w14:textId="77777777" w:rsidR="00527C24" w:rsidRPr="008E0431" w:rsidRDefault="00527C24" w:rsidP="00527C24">
            <w:pPr>
              <w:spacing w:after="0" w:line="240" w:lineRule="auto"/>
              <w:jc w:val="left"/>
              <w:rPr>
                <w:rFonts w:eastAsia="Georgia" w:cs="Arial"/>
                <w:sz w:val="17"/>
                <w:szCs w:val="17"/>
                <w:lang w:val="fr-FR" w:eastAsia="en-GB"/>
              </w:rPr>
            </w:pPr>
            <w:r w:rsidRPr="008E0431">
              <w:rPr>
                <w:rFonts w:eastAsia="Georgia" w:cs="Arial"/>
                <w:sz w:val="17"/>
                <w:szCs w:val="17"/>
                <w:lang w:val="fr-FR" w:eastAsia="en-GB"/>
              </w:rPr>
              <w:t xml:space="preserve">e-mail : </w:t>
            </w:r>
            <w:hyperlink r:id="rId70" w:history="1">
              <w:r w:rsidRPr="008E0431">
                <w:rPr>
                  <w:rStyle w:val="Lienhypertexte"/>
                  <w:rFonts w:eastAsia="Georgia" w:cs="Arial"/>
                  <w:color w:val="auto"/>
                  <w:sz w:val="17"/>
                  <w:szCs w:val="17"/>
                  <w:lang w:val="fr-FR" w:eastAsia="en-GB"/>
                </w:rPr>
                <w:t>diallo55amadou@gmail.com</w:t>
              </w:r>
            </w:hyperlink>
            <w:r w:rsidRPr="008E0431">
              <w:rPr>
                <w:rFonts w:eastAsia="Georgia" w:cs="Arial"/>
                <w:sz w:val="17"/>
                <w:szCs w:val="17"/>
                <w:lang w:val="fr-FR" w:eastAsia="en-GB"/>
              </w:rPr>
              <w:t xml:space="preserve"> </w:t>
            </w:r>
          </w:p>
        </w:tc>
      </w:tr>
      <w:tr w:rsidR="00BA1CEF" w:rsidRPr="00074BCA" w14:paraId="5F1010F0" w14:textId="77777777" w:rsidTr="008F27C9">
        <w:tblPrEx>
          <w:tblLook w:val="04A0" w:firstRow="1" w:lastRow="0" w:firstColumn="1" w:lastColumn="0" w:noHBand="0" w:noVBand="1"/>
        </w:tblPrEx>
        <w:trPr>
          <w:trHeight w:val="20"/>
          <w:jc w:val="center"/>
        </w:trPr>
        <w:tc>
          <w:tcPr>
            <w:tcW w:w="1910" w:type="dxa"/>
          </w:tcPr>
          <w:p w14:paraId="1102274C" w14:textId="77777777" w:rsidR="008B2B8B" w:rsidRPr="00BA1CEF" w:rsidRDefault="008B2B8B" w:rsidP="00B72A95">
            <w:pPr>
              <w:spacing w:after="0" w:line="240" w:lineRule="auto"/>
              <w:rPr>
                <w:rFonts w:cs="Arial"/>
                <w:w w:val="95"/>
                <w:sz w:val="17"/>
                <w:szCs w:val="17"/>
                <w:lang w:eastAsia="en-GB"/>
              </w:rPr>
            </w:pPr>
            <w:r w:rsidRPr="00BA1CEF">
              <w:rPr>
                <w:rFonts w:cs="Arial"/>
                <w:w w:val="95"/>
                <w:sz w:val="17"/>
                <w:szCs w:val="17"/>
                <w:lang w:eastAsia="en-GB"/>
              </w:rPr>
              <w:t>El Hadj SY</w:t>
            </w:r>
          </w:p>
        </w:tc>
        <w:tc>
          <w:tcPr>
            <w:tcW w:w="1978" w:type="dxa"/>
          </w:tcPr>
          <w:p w14:paraId="1AAA4B14" w14:textId="77777777" w:rsidR="008B2B8B" w:rsidRPr="00BA1CEF" w:rsidRDefault="008B2B8B" w:rsidP="00B72A95">
            <w:pPr>
              <w:spacing w:after="0" w:line="240" w:lineRule="auto"/>
              <w:rPr>
                <w:rFonts w:eastAsia="Georgia" w:cs="Arial"/>
                <w:sz w:val="17"/>
                <w:szCs w:val="17"/>
                <w:lang w:val="fr-FR" w:eastAsia="en-GB"/>
              </w:rPr>
            </w:pPr>
            <w:r w:rsidRPr="00BA1CEF">
              <w:rPr>
                <w:rFonts w:eastAsia="Georgia" w:cs="Arial"/>
                <w:sz w:val="17"/>
                <w:szCs w:val="17"/>
                <w:lang w:val="fr-FR" w:eastAsia="en-GB"/>
              </w:rPr>
              <w:t>DNEF</w:t>
            </w:r>
          </w:p>
        </w:tc>
        <w:tc>
          <w:tcPr>
            <w:tcW w:w="2520" w:type="dxa"/>
          </w:tcPr>
          <w:p w14:paraId="120F0826" w14:textId="77777777" w:rsidR="008B2B8B" w:rsidRPr="00BA1CEF" w:rsidRDefault="008B2B8B" w:rsidP="00B72A95">
            <w:pPr>
              <w:spacing w:after="0" w:line="240" w:lineRule="auto"/>
              <w:rPr>
                <w:rFonts w:cs="Arial"/>
                <w:sz w:val="17"/>
                <w:szCs w:val="17"/>
                <w:lang w:val="fr-FR" w:eastAsia="en-GB"/>
              </w:rPr>
            </w:pPr>
            <w:r w:rsidRPr="00BA1CEF">
              <w:rPr>
                <w:rFonts w:cs="Arial"/>
                <w:sz w:val="17"/>
                <w:szCs w:val="17"/>
                <w:lang w:val="fr-FR" w:eastAsia="en-GB"/>
              </w:rPr>
              <w:t>Point focal national de la convention sur la biodiversité.</w:t>
            </w:r>
          </w:p>
        </w:tc>
        <w:tc>
          <w:tcPr>
            <w:tcW w:w="3420" w:type="dxa"/>
          </w:tcPr>
          <w:p w14:paraId="65B85106" w14:textId="77777777" w:rsidR="008B2B8B" w:rsidRPr="00BA1CEF" w:rsidRDefault="008B2B8B" w:rsidP="00B72A95">
            <w:pPr>
              <w:spacing w:after="0" w:line="240" w:lineRule="auto"/>
              <w:rPr>
                <w:rFonts w:eastAsia="Georgia" w:cs="Arial"/>
                <w:sz w:val="17"/>
                <w:szCs w:val="17"/>
                <w:lang w:val="fr-FR" w:eastAsia="en-GB"/>
              </w:rPr>
            </w:pPr>
            <w:r w:rsidRPr="00BA1CEF">
              <w:rPr>
                <w:rFonts w:eastAsia="Georgia" w:cs="Arial"/>
                <w:sz w:val="17"/>
                <w:szCs w:val="17"/>
                <w:lang w:val="fr-FR" w:eastAsia="en-GB"/>
              </w:rPr>
              <w:t>Tél : 76 45 25 72 / 65 98 63 29</w:t>
            </w:r>
          </w:p>
          <w:p w14:paraId="6B094E5C" w14:textId="77777777" w:rsidR="008B2B8B" w:rsidRPr="008E0431" w:rsidRDefault="008B2B8B" w:rsidP="00B72A95">
            <w:pPr>
              <w:spacing w:after="0" w:line="240" w:lineRule="auto"/>
              <w:rPr>
                <w:rFonts w:eastAsia="Georgia" w:cs="Arial"/>
                <w:sz w:val="17"/>
                <w:szCs w:val="17"/>
                <w:lang w:val="fr-FR" w:eastAsia="en-GB"/>
              </w:rPr>
            </w:pPr>
            <w:r w:rsidRPr="008E0431">
              <w:rPr>
                <w:rFonts w:eastAsia="Georgia" w:cs="Arial"/>
                <w:sz w:val="17"/>
                <w:szCs w:val="17"/>
                <w:lang w:val="fr-FR" w:eastAsia="en-GB"/>
              </w:rPr>
              <w:t xml:space="preserve">e-mail : </w:t>
            </w:r>
            <w:hyperlink r:id="rId71" w:history="1">
              <w:r w:rsidRPr="008E0431">
                <w:rPr>
                  <w:rStyle w:val="Lienhypertexte"/>
                  <w:rFonts w:eastAsia="Georgia" w:cs="Arial"/>
                  <w:color w:val="auto"/>
                  <w:sz w:val="17"/>
                  <w:szCs w:val="17"/>
                  <w:lang w:val="fr-FR" w:eastAsia="en-GB"/>
                </w:rPr>
                <w:t>elhadjis73@gmail.com</w:t>
              </w:r>
            </w:hyperlink>
          </w:p>
        </w:tc>
      </w:tr>
      <w:tr w:rsidR="00BA1CEF" w:rsidRPr="00BA1CEF" w14:paraId="08BB4395" w14:textId="77777777" w:rsidTr="008F27C9">
        <w:trPr>
          <w:cantSplit/>
          <w:trHeight w:val="20"/>
          <w:jc w:val="center"/>
        </w:trPr>
        <w:tc>
          <w:tcPr>
            <w:tcW w:w="1910" w:type="dxa"/>
            <w:vAlign w:val="center"/>
          </w:tcPr>
          <w:p w14:paraId="0666A839" w14:textId="77777777" w:rsidR="001818C1" w:rsidRPr="00BA1CEF" w:rsidRDefault="001818C1" w:rsidP="00B72A95">
            <w:pPr>
              <w:spacing w:after="0" w:line="240" w:lineRule="auto"/>
              <w:rPr>
                <w:rFonts w:cs="Arial"/>
                <w:sz w:val="17"/>
                <w:szCs w:val="17"/>
                <w:lang w:val="en-GB" w:eastAsia="zh-CN"/>
              </w:rPr>
            </w:pPr>
            <w:r w:rsidRPr="00BA1CEF">
              <w:rPr>
                <w:rFonts w:cs="Arial"/>
                <w:sz w:val="17"/>
                <w:szCs w:val="17"/>
                <w:lang w:val="en-GB" w:eastAsia="zh-CN"/>
              </w:rPr>
              <w:t>Ahmadou Houna SIDIBE</w:t>
            </w:r>
          </w:p>
        </w:tc>
        <w:tc>
          <w:tcPr>
            <w:tcW w:w="1978" w:type="dxa"/>
            <w:vAlign w:val="center"/>
          </w:tcPr>
          <w:p w14:paraId="2B504ECD" w14:textId="77777777" w:rsidR="001818C1" w:rsidRPr="00BA1CEF" w:rsidRDefault="001818C1" w:rsidP="00B72A95">
            <w:pPr>
              <w:spacing w:after="0" w:line="240" w:lineRule="auto"/>
              <w:rPr>
                <w:rFonts w:cs="Arial"/>
                <w:sz w:val="17"/>
                <w:szCs w:val="17"/>
                <w:lang w:val="fr-FR" w:eastAsia="zh-CN"/>
              </w:rPr>
            </w:pPr>
            <w:r w:rsidRPr="00BA1CEF">
              <w:rPr>
                <w:rFonts w:cs="Arial"/>
                <w:sz w:val="17"/>
                <w:szCs w:val="17"/>
                <w:lang w:val="fr-FR" w:eastAsia="zh-CN"/>
              </w:rPr>
              <w:t>CSLP/CREDD</w:t>
            </w:r>
          </w:p>
        </w:tc>
        <w:tc>
          <w:tcPr>
            <w:tcW w:w="2520" w:type="dxa"/>
            <w:vAlign w:val="center"/>
          </w:tcPr>
          <w:p w14:paraId="42EBDBE0" w14:textId="77777777" w:rsidR="001818C1" w:rsidRPr="00BA1CEF" w:rsidRDefault="001818C1" w:rsidP="00B72A95">
            <w:pPr>
              <w:spacing w:after="0" w:line="240" w:lineRule="auto"/>
              <w:rPr>
                <w:rFonts w:cs="Arial"/>
                <w:sz w:val="17"/>
                <w:szCs w:val="17"/>
                <w:lang w:val="fr-FR" w:eastAsia="zh-CN"/>
              </w:rPr>
            </w:pPr>
            <w:r w:rsidRPr="00BA1CEF">
              <w:rPr>
                <w:rFonts w:cs="Arial"/>
                <w:sz w:val="17"/>
                <w:szCs w:val="17"/>
                <w:lang w:val="fr-FR" w:eastAsia="zh-CN"/>
              </w:rPr>
              <w:t>CT/ Chef d’unité développement des infrastructures et secteurs productifs</w:t>
            </w:r>
          </w:p>
        </w:tc>
        <w:tc>
          <w:tcPr>
            <w:tcW w:w="3420" w:type="dxa"/>
            <w:vAlign w:val="center"/>
          </w:tcPr>
          <w:p w14:paraId="6D5EEC33" w14:textId="77777777" w:rsidR="001818C1" w:rsidRPr="00BA1CEF" w:rsidRDefault="001818C1" w:rsidP="001818C1">
            <w:pPr>
              <w:spacing w:after="0" w:line="240" w:lineRule="auto"/>
              <w:rPr>
                <w:rFonts w:cs="Arial"/>
                <w:sz w:val="17"/>
                <w:szCs w:val="17"/>
                <w:lang w:val="pt-PT" w:eastAsia="zh-CN"/>
              </w:rPr>
            </w:pPr>
            <w:r w:rsidRPr="00BA1CEF">
              <w:rPr>
                <w:rFonts w:cs="Arial"/>
                <w:sz w:val="17"/>
                <w:szCs w:val="17"/>
                <w:lang w:val="pt-PT" w:eastAsia="zh-CN"/>
              </w:rPr>
              <w:t>Tél : 20 23 86 37 / 62 41 17 17</w:t>
            </w:r>
          </w:p>
          <w:p w14:paraId="6D9859D5" w14:textId="77777777" w:rsidR="001818C1" w:rsidRPr="00BA1CEF" w:rsidRDefault="001818C1" w:rsidP="001818C1">
            <w:pPr>
              <w:spacing w:after="0" w:line="240" w:lineRule="auto"/>
              <w:rPr>
                <w:rFonts w:cs="Arial"/>
                <w:sz w:val="17"/>
                <w:szCs w:val="17"/>
                <w:lang w:val="pt-PT" w:eastAsia="zh-CN"/>
              </w:rPr>
            </w:pPr>
            <w:r w:rsidRPr="00BA1CEF">
              <w:rPr>
                <w:rFonts w:cs="Arial"/>
                <w:sz w:val="17"/>
                <w:szCs w:val="17"/>
                <w:lang w:val="pt-PT" w:eastAsia="zh-CN"/>
              </w:rPr>
              <w:t xml:space="preserve">e-mail : sidibe61@yahoo.fr </w:t>
            </w:r>
          </w:p>
        </w:tc>
      </w:tr>
      <w:tr w:rsidR="00BA1CEF" w:rsidRPr="00BA1CEF" w14:paraId="77A2AFF4" w14:textId="77777777" w:rsidTr="008F27C9">
        <w:trPr>
          <w:cantSplit/>
          <w:trHeight w:val="20"/>
          <w:jc w:val="center"/>
        </w:trPr>
        <w:tc>
          <w:tcPr>
            <w:tcW w:w="1910" w:type="dxa"/>
            <w:vAlign w:val="center"/>
          </w:tcPr>
          <w:p w14:paraId="131C60B5" w14:textId="77777777" w:rsidR="001818C1" w:rsidRPr="00BA1CEF" w:rsidRDefault="001818C1" w:rsidP="00B72A95">
            <w:pPr>
              <w:spacing w:after="0" w:line="240" w:lineRule="auto"/>
              <w:rPr>
                <w:rFonts w:cs="Arial"/>
                <w:sz w:val="17"/>
                <w:szCs w:val="17"/>
                <w:lang w:val="en-GB" w:eastAsia="zh-CN"/>
              </w:rPr>
            </w:pPr>
            <w:r w:rsidRPr="00BA1CEF">
              <w:rPr>
                <w:rFonts w:cs="Arial"/>
                <w:sz w:val="17"/>
                <w:szCs w:val="17"/>
                <w:lang w:val="en-GB" w:eastAsia="zh-CN"/>
              </w:rPr>
              <w:t>Bandiougou DIARISSO</w:t>
            </w:r>
          </w:p>
        </w:tc>
        <w:tc>
          <w:tcPr>
            <w:tcW w:w="1978" w:type="dxa"/>
            <w:vAlign w:val="center"/>
          </w:tcPr>
          <w:p w14:paraId="42B6AE5C" w14:textId="77777777" w:rsidR="001818C1" w:rsidRPr="00BA1CEF" w:rsidRDefault="001818C1" w:rsidP="00B72A95">
            <w:pPr>
              <w:spacing w:after="0" w:line="240" w:lineRule="auto"/>
              <w:rPr>
                <w:rFonts w:cs="Arial"/>
                <w:sz w:val="17"/>
                <w:szCs w:val="17"/>
                <w:lang w:val="fr-FR" w:eastAsia="zh-CN"/>
              </w:rPr>
            </w:pPr>
            <w:r w:rsidRPr="00BA1CEF">
              <w:rPr>
                <w:rFonts w:cs="Arial"/>
                <w:sz w:val="17"/>
                <w:szCs w:val="17"/>
                <w:lang w:val="fr-FR" w:eastAsia="zh-CN"/>
              </w:rPr>
              <w:t>INSTAT</w:t>
            </w:r>
          </w:p>
        </w:tc>
        <w:tc>
          <w:tcPr>
            <w:tcW w:w="2520" w:type="dxa"/>
            <w:vAlign w:val="center"/>
          </w:tcPr>
          <w:p w14:paraId="754BD882" w14:textId="77777777" w:rsidR="001818C1" w:rsidRPr="00BA1CEF" w:rsidRDefault="001E0A2F" w:rsidP="001E0A2F">
            <w:pPr>
              <w:spacing w:after="0" w:line="240" w:lineRule="auto"/>
              <w:jc w:val="left"/>
              <w:rPr>
                <w:rFonts w:cs="Arial"/>
                <w:sz w:val="17"/>
                <w:szCs w:val="17"/>
                <w:lang w:val="fr-FR" w:eastAsia="zh-CN"/>
              </w:rPr>
            </w:pPr>
            <w:r w:rsidRPr="00BA1CEF">
              <w:rPr>
                <w:rFonts w:cs="Arial"/>
                <w:sz w:val="17"/>
                <w:szCs w:val="17"/>
                <w:lang w:val="fr-FR" w:eastAsia="zh-CN"/>
              </w:rPr>
              <w:t xml:space="preserve">Chef division statistiques environnementales </w:t>
            </w:r>
          </w:p>
        </w:tc>
        <w:tc>
          <w:tcPr>
            <w:tcW w:w="3420" w:type="dxa"/>
            <w:vAlign w:val="center"/>
          </w:tcPr>
          <w:p w14:paraId="79BDF24D" w14:textId="77777777" w:rsidR="001E0A2F" w:rsidRPr="00BA1CEF" w:rsidRDefault="001E0A2F" w:rsidP="001E0A2F">
            <w:pPr>
              <w:spacing w:after="0" w:line="240" w:lineRule="auto"/>
              <w:rPr>
                <w:rFonts w:cs="Arial"/>
                <w:sz w:val="17"/>
                <w:szCs w:val="17"/>
                <w:lang w:val="pt-PT" w:eastAsia="zh-CN"/>
              </w:rPr>
            </w:pPr>
            <w:r w:rsidRPr="00BA1CEF">
              <w:rPr>
                <w:rFonts w:cs="Arial"/>
                <w:sz w:val="17"/>
                <w:szCs w:val="17"/>
                <w:lang w:val="pt-PT" w:eastAsia="zh-CN"/>
              </w:rPr>
              <w:t>Tél : 71 12 49 46 / 62 02 22 83</w:t>
            </w:r>
          </w:p>
          <w:p w14:paraId="07057694" w14:textId="77777777" w:rsidR="001818C1" w:rsidRPr="00BA1CEF" w:rsidRDefault="001E0A2F" w:rsidP="001E0A2F">
            <w:pPr>
              <w:spacing w:after="0" w:line="240" w:lineRule="auto"/>
              <w:rPr>
                <w:rFonts w:cs="Arial"/>
                <w:sz w:val="17"/>
                <w:szCs w:val="17"/>
                <w:lang w:val="pt-PT" w:eastAsia="zh-CN"/>
              </w:rPr>
            </w:pPr>
            <w:r w:rsidRPr="00BA1CEF">
              <w:rPr>
                <w:rFonts w:cs="Arial"/>
                <w:sz w:val="17"/>
                <w:szCs w:val="17"/>
                <w:lang w:val="pt-PT" w:eastAsia="zh-CN"/>
              </w:rPr>
              <w:t>e-mail: baboudia663@gmail.com</w:t>
            </w:r>
          </w:p>
        </w:tc>
      </w:tr>
      <w:tr w:rsidR="00BA1CEF" w:rsidRPr="00EF70F5" w14:paraId="2E957850" w14:textId="77777777" w:rsidTr="008F27C9">
        <w:trPr>
          <w:cantSplit/>
          <w:trHeight w:val="20"/>
          <w:jc w:val="center"/>
        </w:trPr>
        <w:tc>
          <w:tcPr>
            <w:tcW w:w="1910" w:type="dxa"/>
            <w:vAlign w:val="center"/>
          </w:tcPr>
          <w:p w14:paraId="37451994" w14:textId="77777777" w:rsidR="008B2B8B" w:rsidRPr="00BA1CEF" w:rsidRDefault="008B2B8B" w:rsidP="00B72A95">
            <w:pPr>
              <w:spacing w:after="0" w:line="240" w:lineRule="auto"/>
              <w:rPr>
                <w:rFonts w:cs="Arial"/>
                <w:sz w:val="17"/>
                <w:szCs w:val="17"/>
                <w:lang w:val="fr-FR" w:eastAsia="zh-CN"/>
              </w:rPr>
            </w:pPr>
            <w:r w:rsidRPr="00BA1CEF">
              <w:rPr>
                <w:rFonts w:cs="Arial"/>
                <w:sz w:val="17"/>
                <w:szCs w:val="17"/>
                <w:lang w:val="fr-FR" w:eastAsia="zh-CN"/>
              </w:rPr>
              <w:t>Alhousséyni SARRO</w:t>
            </w:r>
          </w:p>
        </w:tc>
        <w:tc>
          <w:tcPr>
            <w:tcW w:w="1978" w:type="dxa"/>
            <w:vAlign w:val="center"/>
          </w:tcPr>
          <w:p w14:paraId="70F31901" w14:textId="77777777" w:rsidR="008B2B8B" w:rsidRPr="00BA1CEF" w:rsidRDefault="008B2B8B" w:rsidP="00B72A95">
            <w:pPr>
              <w:spacing w:after="0" w:line="240" w:lineRule="auto"/>
              <w:rPr>
                <w:rFonts w:cs="Arial"/>
                <w:sz w:val="17"/>
                <w:szCs w:val="17"/>
                <w:lang w:val="fr-FR" w:eastAsia="zh-CN"/>
              </w:rPr>
            </w:pPr>
            <w:r w:rsidRPr="00BA1CEF">
              <w:rPr>
                <w:rFonts w:cs="Arial"/>
                <w:sz w:val="17"/>
                <w:szCs w:val="17"/>
                <w:lang w:val="fr-FR" w:eastAsia="zh-CN"/>
              </w:rPr>
              <w:t>DNP (pêche)</w:t>
            </w:r>
          </w:p>
        </w:tc>
        <w:tc>
          <w:tcPr>
            <w:tcW w:w="2520" w:type="dxa"/>
            <w:vAlign w:val="center"/>
          </w:tcPr>
          <w:p w14:paraId="39133E30" w14:textId="77777777" w:rsidR="008B2B8B" w:rsidRPr="00BA1CEF" w:rsidRDefault="008B2B8B" w:rsidP="00B72A95">
            <w:pPr>
              <w:spacing w:after="0" w:line="240" w:lineRule="auto"/>
              <w:rPr>
                <w:rFonts w:cs="Arial"/>
                <w:sz w:val="17"/>
                <w:szCs w:val="17"/>
                <w:lang w:val="fr-FR" w:eastAsia="zh-CN"/>
              </w:rPr>
            </w:pPr>
            <w:r w:rsidRPr="00BA1CEF">
              <w:rPr>
                <w:rFonts w:cs="Arial"/>
                <w:sz w:val="17"/>
                <w:szCs w:val="17"/>
                <w:lang w:val="fr-FR" w:eastAsia="zh-CN"/>
              </w:rPr>
              <w:t>Directeur national adjoint</w:t>
            </w:r>
          </w:p>
        </w:tc>
        <w:tc>
          <w:tcPr>
            <w:tcW w:w="3420" w:type="dxa"/>
            <w:vAlign w:val="center"/>
          </w:tcPr>
          <w:p w14:paraId="324596F9" w14:textId="77777777" w:rsidR="008B2B8B" w:rsidRPr="00BA1CEF" w:rsidRDefault="008B2B8B" w:rsidP="00B72A95">
            <w:pPr>
              <w:spacing w:after="0" w:line="240" w:lineRule="auto"/>
              <w:rPr>
                <w:rFonts w:cs="Arial"/>
                <w:sz w:val="17"/>
                <w:szCs w:val="17"/>
                <w:lang w:val="pt-PT" w:eastAsia="zh-CN"/>
              </w:rPr>
            </w:pPr>
            <w:r w:rsidRPr="00BA1CEF">
              <w:rPr>
                <w:rFonts w:cs="Arial"/>
                <w:sz w:val="17"/>
                <w:szCs w:val="17"/>
                <w:lang w:val="pt-PT" w:eastAsia="zh-CN"/>
              </w:rPr>
              <w:t>Tél: 76 01 53 64</w:t>
            </w:r>
          </w:p>
          <w:p w14:paraId="32BD98A3" w14:textId="77777777" w:rsidR="008B2B8B" w:rsidRPr="00BA1CEF" w:rsidRDefault="008B2B8B" w:rsidP="00B72A95">
            <w:pPr>
              <w:spacing w:after="0" w:line="240" w:lineRule="auto"/>
              <w:rPr>
                <w:rFonts w:cs="Arial"/>
                <w:sz w:val="17"/>
                <w:szCs w:val="17"/>
                <w:lang w:val="pt-PT" w:eastAsia="zh-CN"/>
              </w:rPr>
            </w:pPr>
            <w:r w:rsidRPr="00BA1CEF">
              <w:rPr>
                <w:rFonts w:cs="Arial"/>
                <w:sz w:val="17"/>
                <w:szCs w:val="17"/>
                <w:lang w:val="pt-PT" w:eastAsia="zh-CN"/>
              </w:rPr>
              <w:t xml:space="preserve">e-mail : </w:t>
            </w:r>
            <w:hyperlink r:id="rId72" w:history="1">
              <w:r w:rsidRPr="00BA1CEF">
                <w:rPr>
                  <w:rStyle w:val="Lienhypertexte"/>
                  <w:rFonts w:cs="Arial"/>
                  <w:color w:val="auto"/>
                  <w:sz w:val="17"/>
                  <w:szCs w:val="17"/>
                  <w:lang w:val="pt-PT" w:eastAsia="zh-CN"/>
                </w:rPr>
                <w:t>sarrohousse@gmail.com</w:t>
              </w:r>
            </w:hyperlink>
          </w:p>
        </w:tc>
      </w:tr>
      <w:tr w:rsidR="00BA1CEF" w:rsidRPr="00BA1CEF" w14:paraId="14A242B7" w14:textId="77777777" w:rsidTr="00C97090">
        <w:tblPrEx>
          <w:tblLook w:val="04A0" w:firstRow="1" w:lastRow="0" w:firstColumn="1" w:lastColumn="0" w:noHBand="0" w:noVBand="1"/>
        </w:tblPrEx>
        <w:trPr>
          <w:trHeight w:val="20"/>
          <w:jc w:val="center"/>
        </w:trPr>
        <w:tc>
          <w:tcPr>
            <w:tcW w:w="1910" w:type="dxa"/>
          </w:tcPr>
          <w:p w14:paraId="37355966" w14:textId="77777777" w:rsidR="006E523F" w:rsidRPr="00BA1CEF" w:rsidRDefault="006E523F" w:rsidP="001E0A2F">
            <w:pPr>
              <w:spacing w:after="0" w:line="240" w:lineRule="auto"/>
              <w:rPr>
                <w:rFonts w:cs="Arial"/>
                <w:sz w:val="17"/>
                <w:szCs w:val="17"/>
                <w:lang w:val="fr-FR" w:eastAsia="zh-CN"/>
              </w:rPr>
            </w:pPr>
            <w:r w:rsidRPr="00BA1CEF">
              <w:rPr>
                <w:rFonts w:cs="Arial"/>
                <w:sz w:val="17"/>
                <w:szCs w:val="17"/>
                <w:lang w:val="fr-FR" w:eastAsia="zh-CN"/>
              </w:rPr>
              <w:t>Ilse TEMPELAAR</w:t>
            </w:r>
          </w:p>
        </w:tc>
        <w:tc>
          <w:tcPr>
            <w:tcW w:w="1978" w:type="dxa"/>
          </w:tcPr>
          <w:p w14:paraId="14B36AB6" w14:textId="77777777" w:rsidR="006E523F" w:rsidRPr="00BA1CEF" w:rsidRDefault="006E523F" w:rsidP="001E0A2F">
            <w:pPr>
              <w:spacing w:after="0" w:line="240" w:lineRule="auto"/>
              <w:rPr>
                <w:rFonts w:cs="Arial"/>
                <w:sz w:val="17"/>
                <w:szCs w:val="17"/>
                <w:lang w:val="fr-FR" w:eastAsia="zh-CN"/>
              </w:rPr>
            </w:pPr>
            <w:r w:rsidRPr="00BA1CEF">
              <w:rPr>
                <w:rFonts w:cs="Arial"/>
                <w:sz w:val="17"/>
                <w:szCs w:val="17"/>
                <w:lang w:val="fr-FR" w:eastAsia="zh-CN"/>
              </w:rPr>
              <w:t>AGCC2</w:t>
            </w:r>
          </w:p>
        </w:tc>
        <w:tc>
          <w:tcPr>
            <w:tcW w:w="2520" w:type="dxa"/>
            <w:vAlign w:val="center"/>
          </w:tcPr>
          <w:p w14:paraId="421174A0" w14:textId="77777777" w:rsidR="006E523F" w:rsidRPr="00BA1CEF" w:rsidRDefault="006E523F" w:rsidP="001E0A2F">
            <w:pPr>
              <w:spacing w:after="0" w:line="240" w:lineRule="auto"/>
              <w:rPr>
                <w:rFonts w:cs="Arial"/>
                <w:sz w:val="17"/>
                <w:szCs w:val="17"/>
                <w:lang w:val="fr-FR" w:eastAsia="zh-CN"/>
              </w:rPr>
            </w:pPr>
            <w:r w:rsidRPr="00BA1CEF">
              <w:rPr>
                <w:rFonts w:cs="Arial"/>
                <w:sz w:val="17"/>
                <w:szCs w:val="17"/>
                <w:lang w:val="fr-FR" w:eastAsia="zh-CN"/>
              </w:rPr>
              <w:t>A</w:t>
            </w:r>
            <w:r w:rsidR="008F27C9" w:rsidRPr="00BA1CEF">
              <w:rPr>
                <w:rFonts w:cs="Arial"/>
                <w:sz w:val="17"/>
                <w:szCs w:val="17"/>
                <w:lang w:val="fr-FR" w:eastAsia="zh-CN"/>
              </w:rPr>
              <w:t>ssistant Technique</w:t>
            </w:r>
          </w:p>
        </w:tc>
        <w:tc>
          <w:tcPr>
            <w:tcW w:w="3420" w:type="dxa"/>
          </w:tcPr>
          <w:p w14:paraId="32B3F3EB" w14:textId="77777777" w:rsidR="006E523F" w:rsidRPr="00BA1CEF" w:rsidRDefault="006E523F" w:rsidP="001E0A2F">
            <w:pPr>
              <w:spacing w:after="0" w:line="240" w:lineRule="auto"/>
              <w:rPr>
                <w:rFonts w:cs="Arial"/>
                <w:sz w:val="17"/>
                <w:szCs w:val="17"/>
                <w:lang w:val="pt-PT" w:eastAsia="fr-FR"/>
              </w:rPr>
            </w:pPr>
            <w:r w:rsidRPr="00BA1CEF">
              <w:rPr>
                <w:rFonts w:cs="Arial"/>
                <w:sz w:val="17"/>
                <w:szCs w:val="17"/>
                <w:lang w:val="pt-PT" w:eastAsia="fr-FR"/>
              </w:rPr>
              <w:t>Tél: 76 46 24 68</w:t>
            </w:r>
          </w:p>
          <w:p w14:paraId="3CA15763" w14:textId="77777777" w:rsidR="006E523F" w:rsidRPr="00BA1CEF" w:rsidRDefault="006E523F" w:rsidP="001E0A2F">
            <w:pPr>
              <w:spacing w:after="0" w:line="240" w:lineRule="auto"/>
              <w:rPr>
                <w:rFonts w:cs="Arial"/>
                <w:sz w:val="17"/>
                <w:szCs w:val="17"/>
                <w:lang w:val="pt-PT" w:eastAsia="fr-FR"/>
              </w:rPr>
            </w:pPr>
            <w:r w:rsidRPr="00BA1CEF">
              <w:rPr>
                <w:rFonts w:cs="Arial"/>
                <w:sz w:val="17"/>
                <w:szCs w:val="17"/>
                <w:lang w:val="pt-PT" w:eastAsia="fr-FR"/>
              </w:rPr>
              <w:t xml:space="preserve">e-mail: </w:t>
            </w:r>
            <w:hyperlink r:id="rId73" w:history="1">
              <w:r w:rsidRPr="00BA1CEF">
                <w:rPr>
                  <w:rStyle w:val="Lienhypertexte"/>
                  <w:rFonts w:cs="Arial"/>
                  <w:color w:val="auto"/>
                  <w:sz w:val="17"/>
                  <w:szCs w:val="17"/>
                  <w:lang w:val="pt-PT" w:eastAsia="fr-FR"/>
                </w:rPr>
                <w:t>i.tempelaar@gmail.com</w:t>
              </w:r>
            </w:hyperlink>
            <w:r w:rsidRPr="00BA1CEF">
              <w:rPr>
                <w:rFonts w:cs="Arial"/>
                <w:sz w:val="17"/>
                <w:szCs w:val="17"/>
                <w:lang w:val="pt-PT" w:eastAsia="fr-FR"/>
              </w:rPr>
              <w:t xml:space="preserve"> </w:t>
            </w:r>
          </w:p>
        </w:tc>
      </w:tr>
      <w:tr w:rsidR="00BA1CEF" w:rsidRPr="00BA1CEF" w14:paraId="24BB858E" w14:textId="77777777" w:rsidTr="008F27C9">
        <w:tblPrEx>
          <w:tblLook w:val="04A0" w:firstRow="1" w:lastRow="0" w:firstColumn="1" w:lastColumn="0" w:noHBand="0" w:noVBand="1"/>
        </w:tblPrEx>
        <w:trPr>
          <w:trHeight w:val="20"/>
          <w:jc w:val="center"/>
        </w:trPr>
        <w:tc>
          <w:tcPr>
            <w:tcW w:w="1910" w:type="dxa"/>
          </w:tcPr>
          <w:p w14:paraId="2FE6207A" w14:textId="77777777" w:rsidR="006E523F" w:rsidRPr="00BA1CEF" w:rsidRDefault="006E523F" w:rsidP="001E0A2F">
            <w:pPr>
              <w:spacing w:after="0" w:line="240" w:lineRule="auto"/>
              <w:rPr>
                <w:rFonts w:cs="Arial"/>
                <w:sz w:val="17"/>
                <w:szCs w:val="17"/>
                <w:lang w:val="fr-FR" w:eastAsia="zh-CN"/>
              </w:rPr>
            </w:pPr>
            <w:r w:rsidRPr="00BA1CEF">
              <w:rPr>
                <w:rFonts w:cs="Arial"/>
                <w:sz w:val="17"/>
                <w:szCs w:val="17"/>
                <w:lang w:val="fr-FR" w:eastAsia="zh-CN"/>
              </w:rPr>
              <w:t>Magassouba CHEICKNE</w:t>
            </w:r>
          </w:p>
        </w:tc>
        <w:tc>
          <w:tcPr>
            <w:tcW w:w="1978" w:type="dxa"/>
          </w:tcPr>
          <w:p w14:paraId="2A78B26D" w14:textId="77777777" w:rsidR="006E523F" w:rsidRPr="00BA1CEF" w:rsidRDefault="006E523F" w:rsidP="001E0A2F">
            <w:pPr>
              <w:spacing w:after="0" w:line="240" w:lineRule="auto"/>
              <w:rPr>
                <w:rFonts w:cs="Arial"/>
                <w:sz w:val="17"/>
                <w:szCs w:val="17"/>
                <w:lang w:val="fr-FR" w:eastAsia="zh-CN"/>
              </w:rPr>
            </w:pPr>
            <w:r w:rsidRPr="00BA1CEF">
              <w:rPr>
                <w:rFonts w:cs="Arial"/>
                <w:sz w:val="17"/>
                <w:szCs w:val="17"/>
                <w:lang w:val="fr-FR" w:eastAsia="zh-CN"/>
              </w:rPr>
              <w:t>AMADER</w:t>
            </w:r>
          </w:p>
        </w:tc>
        <w:tc>
          <w:tcPr>
            <w:tcW w:w="2520" w:type="dxa"/>
          </w:tcPr>
          <w:p w14:paraId="7361CBB9" w14:textId="77777777" w:rsidR="006E523F" w:rsidRPr="00BA1CEF" w:rsidRDefault="006E523F" w:rsidP="001E0A2F">
            <w:pPr>
              <w:spacing w:after="0" w:line="240" w:lineRule="auto"/>
              <w:rPr>
                <w:rFonts w:cs="Arial"/>
                <w:sz w:val="17"/>
                <w:szCs w:val="17"/>
                <w:lang w:val="fr-FR" w:eastAsia="zh-CN"/>
              </w:rPr>
            </w:pPr>
            <w:r w:rsidRPr="00BA1CEF">
              <w:rPr>
                <w:rFonts w:cs="Arial"/>
                <w:sz w:val="17"/>
                <w:szCs w:val="17"/>
                <w:lang w:val="fr-FR" w:eastAsia="zh-CN"/>
              </w:rPr>
              <w:t>Chef de la Cellule de Sauvegarde Environnementale et Sociale (CSES)</w:t>
            </w:r>
          </w:p>
        </w:tc>
        <w:tc>
          <w:tcPr>
            <w:tcW w:w="3420" w:type="dxa"/>
          </w:tcPr>
          <w:p w14:paraId="09D16708" w14:textId="77777777" w:rsidR="006E523F" w:rsidRPr="00BA1CEF" w:rsidRDefault="006E523F" w:rsidP="001E0A2F">
            <w:pPr>
              <w:spacing w:after="0" w:line="240" w:lineRule="auto"/>
              <w:rPr>
                <w:rFonts w:cs="Arial"/>
                <w:sz w:val="17"/>
                <w:szCs w:val="17"/>
                <w:lang w:val="pt-PT" w:eastAsia="fr-FR"/>
              </w:rPr>
            </w:pPr>
            <w:r w:rsidRPr="00BA1CEF">
              <w:rPr>
                <w:rFonts w:cs="Arial"/>
                <w:sz w:val="17"/>
                <w:szCs w:val="17"/>
                <w:lang w:val="pt-PT" w:eastAsia="fr-FR"/>
              </w:rPr>
              <w:t xml:space="preserve">Tél: 20238567 ou 89 61 15 27 / 91 75 69 72 </w:t>
            </w:r>
          </w:p>
          <w:p w14:paraId="416A43E5" w14:textId="77777777" w:rsidR="006E523F" w:rsidRPr="00BA1CEF" w:rsidRDefault="006E523F" w:rsidP="001E0A2F">
            <w:pPr>
              <w:spacing w:after="0" w:line="240" w:lineRule="auto"/>
              <w:rPr>
                <w:rFonts w:cs="Arial"/>
                <w:sz w:val="17"/>
                <w:szCs w:val="17"/>
                <w:lang w:val="pt-PT" w:eastAsia="fr-FR"/>
              </w:rPr>
            </w:pPr>
            <w:r w:rsidRPr="00BA1CEF">
              <w:rPr>
                <w:rFonts w:cs="Arial"/>
                <w:sz w:val="17"/>
                <w:szCs w:val="17"/>
                <w:lang w:val="pt-PT" w:eastAsia="fr-FR"/>
              </w:rPr>
              <w:t xml:space="preserve">e-mail: </w:t>
            </w:r>
            <w:hyperlink r:id="rId74" w:history="1">
              <w:r w:rsidRPr="00BA1CEF">
                <w:rPr>
                  <w:rStyle w:val="Lienhypertexte"/>
                  <w:rFonts w:cs="Arial"/>
                  <w:color w:val="auto"/>
                  <w:sz w:val="17"/>
                  <w:szCs w:val="17"/>
                  <w:lang w:val="pt-PT" w:eastAsia="fr-FR"/>
                </w:rPr>
                <w:t>cheickmagass2000@yahoo.fr</w:t>
              </w:r>
            </w:hyperlink>
          </w:p>
        </w:tc>
      </w:tr>
      <w:tr w:rsidR="00BA1CEF" w:rsidRPr="00BA1CEF" w14:paraId="22C0824A" w14:textId="77777777" w:rsidTr="00C97090">
        <w:tblPrEx>
          <w:tblLook w:val="04A0" w:firstRow="1" w:lastRow="0" w:firstColumn="1" w:lastColumn="0" w:noHBand="0" w:noVBand="1"/>
        </w:tblPrEx>
        <w:trPr>
          <w:trHeight w:val="20"/>
          <w:jc w:val="center"/>
        </w:trPr>
        <w:tc>
          <w:tcPr>
            <w:tcW w:w="1910" w:type="dxa"/>
          </w:tcPr>
          <w:p w14:paraId="48FF5880" w14:textId="77777777" w:rsidR="009744CB" w:rsidRPr="00BA1CEF" w:rsidRDefault="009744CB" w:rsidP="001E0A2F">
            <w:pPr>
              <w:spacing w:after="0" w:line="240" w:lineRule="auto"/>
              <w:rPr>
                <w:rFonts w:cs="Arial"/>
                <w:sz w:val="17"/>
                <w:szCs w:val="17"/>
                <w:lang w:val="fr-FR" w:eastAsia="zh-CN"/>
              </w:rPr>
            </w:pPr>
            <w:r w:rsidRPr="00BA1CEF">
              <w:rPr>
                <w:rFonts w:cs="Arial"/>
                <w:sz w:val="17"/>
                <w:szCs w:val="17"/>
                <w:lang w:val="fr-FR" w:eastAsia="zh-CN"/>
              </w:rPr>
              <w:t>Idrissa TRAORE</w:t>
            </w:r>
          </w:p>
        </w:tc>
        <w:tc>
          <w:tcPr>
            <w:tcW w:w="1978" w:type="dxa"/>
          </w:tcPr>
          <w:p w14:paraId="06F2FE05" w14:textId="77777777" w:rsidR="009744CB" w:rsidRPr="00BA1CEF" w:rsidRDefault="009744CB" w:rsidP="001E0A2F">
            <w:pPr>
              <w:spacing w:after="0" w:line="240" w:lineRule="auto"/>
              <w:rPr>
                <w:rFonts w:cs="Arial"/>
                <w:sz w:val="17"/>
                <w:szCs w:val="17"/>
                <w:lang w:val="fr-FR" w:eastAsia="zh-CN"/>
              </w:rPr>
            </w:pPr>
            <w:r w:rsidRPr="00BA1CEF">
              <w:rPr>
                <w:rFonts w:cs="Arial"/>
                <w:sz w:val="17"/>
                <w:szCs w:val="17"/>
                <w:lang w:val="fr-FR" w:eastAsia="zh-CN"/>
              </w:rPr>
              <w:t>AER</w:t>
            </w:r>
          </w:p>
        </w:tc>
        <w:tc>
          <w:tcPr>
            <w:tcW w:w="2520" w:type="dxa"/>
            <w:vAlign w:val="center"/>
          </w:tcPr>
          <w:p w14:paraId="3307BF4A" w14:textId="77777777" w:rsidR="009744CB" w:rsidRPr="00BA1CEF" w:rsidRDefault="009744CB" w:rsidP="001E0A2F">
            <w:pPr>
              <w:spacing w:after="0" w:line="240" w:lineRule="auto"/>
              <w:rPr>
                <w:rFonts w:cs="Arial"/>
                <w:sz w:val="17"/>
                <w:szCs w:val="17"/>
                <w:lang w:val="fr-FR" w:eastAsia="zh-CN"/>
              </w:rPr>
            </w:pPr>
            <w:r w:rsidRPr="00BA1CEF">
              <w:rPr>
                <w:rFonts w:cs="Arial"/>
                <w:sz w:val="17"/>
                <w:szCs w:val="17"/>
                <w:lang w:val="fr-FR" w:eastAsia="zh-CN"/>
              </w:rPr>
              <w:t>Point focal AEDD</w:t>
            </w:r>
          </w:p>
        </w:tc>
        <w:tc>
          <w:tcPr>
            <w:tcW w:w="3420" w:type="dxa"/>
          </w:tcPr>
          <w:p w14:paraId="4B423992" w14:textId="77777777" w:rsidR="009744CB" w:rsidRPr="00BA1CEF" w:rsidRDefault="009744CB" w:rsidP="001E0A2F">
            <w:pPr>
              <w:spacing w:after="0" w:line="240" w:lineRule="auto"/>
              <w:rPr>
                <w:rFonts w:cs="Arial"/>
                <w:sz w:val="17"/>
                <w:szCs w:val="17"/>
                <w:lang w:val="pt-PT" w:eastAsia="fr-FR"/>
              </w:rPr>
            </w:pPr>
            <w:r w:rsidRPr="00BA1CEF">
              <w:rPr>
                <w:rFonts w:cs="Arial"/>
                <w:sz w:val="17"/>
                <w:szCs w:val="17"/>
                <w:lang w:val="pt-PT" w:eastAsia="fr-FR"/>
              </w:rPr>
              <w:t>Tél : 63 78 11 75</w:t>
            </w:r>
          </w:p>
          <w:p w14:paraId="46A77F03" w14:textId="77777777" w:rsidR="009744CB" w:rsidRPr="00BA1CEF" w:rsidRDefault="009744CB" w:rsidP="001E0A2F">
            <w:pPr>
              <w:spacing w:after="0" w:line="240" w:lineRule="auto"/>
              <w:rPr>
                <w:rFonts w:cs="Arial"/>
                <w:sz w:val="17"/>
                <w:szCs w:val="17"/>
                <w:lang w:val="pt-PT" w:eastAsia="fr-FR"/>
              </w:rPr>
            </w:pPr>
            <w:r w:rsidRPr="00BA1CEF">
              <w:rPr>
                <w:rFonts w:cs="Arial"/>
                <w:sz w:val="17"/>
                <w:szCs w:val="17"/>
                <w:lang w:val="pt-PT" w:eastAsia="fr-FR"/>
              </w:rPr>
              <w:t>e-mail : idrissaatraore@gmail.com</w:t>
            </w:r>
          </w:p>
        </w:tc>
      </w:tr>
      <w:tr w:rsidR="00BA1CEF" w:rsidRPr="00074BCA" w14:paraId="05113C55" w14:textId="77777777" w:rsidTr="00C97090">
        <w:tblPrEx>
          <w:tblLook w:val="04A0" w:firstRow="1" w:lastRow="0" w:firstColumn="1" w:lastColumn="0" w:noHBand="0" w:noVBand="1"/>
        </w:tblPrEx>
        <w:trPr>
          <w:trHeight w:val="20"/>
          <w:jc w:val="center"/>
        </w:trPr>
        <w:tc>
          <w:tcPr>
            <w:tcW w:w="1910" w:type="dxa"/>
          </w:tcPr>
          <w:p w14:paraId="4E530F73" w14:textId="77777777" w:rsidR="002C61CA" w:rsidRPr="00BA1CEF" w:rsidRDefault="002C61CA" w:rsidP="00B72A95">
            <w:pPr>
              <w:spacing w:after="0" w:line="240" w:lineRule="auto"/>
              <w:rPr>
                <w:rFonts w:cs="Arial"/>
                <w:sz w:val="17"/>
                <w:szCs w:val="17"/>
                <w:lang w:val="fr-FR" w:eastAsia="zh-CN"/>
              </w:rPr>
            </w:pPr>
            <w:r w:rsidRPr="00BA1CEF">
              <w:rPr>
                <w:rFonts w:cs="Arial"/>
                <w:sz w:val="17"/>
                <w:szCs w:val="17"/>
                <w:lang w:val="fr-FR" w:eastAsia="zh-CN"/>
              </w:rPr>
              <w:t>Koura COULIBALY</w:t>
            </w:r>
          </w:p>
        </w:tc>
        <w:tc>
          <w:tcPr>
            <w:tcW w:w="1978" w:type="dxa"/>
          </w:tcPr>
          <w:p w14:paraId="63847BF4" w14:textId="77777777" w:rsidR="002C61CA" w:rsidRPr="00BA1CEF" w:rsidRDefault="002C61CA" w:rsidP="001818C1">
            <w:pPr>
              <w:spacing w:after="0" w:line="240" w:lineRule="auto"/>
              <w:jc w:val="left"/>
              <w:rPr>
                <w:rFonts w:cs="Arial"/>
                <w:sz w:val="17"/>
                <w:szCs w:val="17"/>
                <w:lang w:val="fr-FR" w:eastAsia="zh-CN"/>
              </w:rPr>
            </w:pPr>
            <w:r w:rsidRPr="00BA1CEF">
              <w:rPr>
                <w:rFonts w:cs="Arial"/>
                <w:sz w:val="17"/>
                <w:szCs w:val="17"/>
                <w:lang w:val="fr-FR" w:eastAsia="zh-CN"/>
              </w:rPr>
              <w:t>MME/CPS</w:t>
            </w:r>
          </w:p>
        </w:tc>
        <w:tc>
          <w:tcPr>
            <w:tcW w:w="2520" w:type="dxa"/>
            <w:vAlign w:val="center"/>
          </w:tcPr>
          <w:p w14:paraId="6C941CED" w14:textId="77777777" w:rsidR="002C61CA" w:rsidRPr="00BA1CEF" w:rsidRDefault="002C61CA" w:rsidP="00B72A95">
            <w:pPr>
              <w:spacing w:after="0" w:line="240" w:lineRule="auto"/>
              <w:rPr>
                <w:rFonts w:cs="Arial"/>
                <w:sz w:val="17"/>
                <w:szCs w:val="17"/>
                <w:lang w:val="fr-FR" w:eastAsia="zh-CN"/>
              </w:rPr>
            </w:pPr>
            <w:r w:rsidRPr="00BA1CEF">
              <w:rPr>
                <w:rFonts w:cs="Arial"/>
                <w:sz w:val="17"/>
                <w:szCs w:val="17"/>
                <w:lang w:val="fr-FR" w:eastAsia="zh-CN"/>
              </w:rPr>
              <w:t xml:space="preserve">Point focal AEDD </w:t>
            </w:r>
          </w:p>
        </w:tc>
        <w:tc>
          <w:tcPr>
            <w:tcW w:w="3420" w:type="dxa"/>
          </w:tcPr>
          <w:p w14:paraId="09268F69" w14:textId="77777777" w:rsidR="002C61CA" w:rsidRPr="00BA1CEF" w:rsidRDefault="002C61CA" w:rsidP="002C61CA">
            <w:pPr>
              <w:spacing w:after="0" w:line="240" w:lineRule="auto"/>
              <w:rPr>
                <w:rFonts w:cs="Arial"/>
                <w:sz w:val="17"/>
                <w:szCs w:val="17"/>
                <w:lang w:val="fr-FR" w:eastAsia="zh-CN"/>
              </w:rPr>
            </w:pPr>
            <w:r w:rsidRPr="00BA1CEF">
              <w:rPr>
                <w:rFonts w:cs="Arial"/>
                <w:sz w:val="17"/>
                <w:szCs w:val="17"/>
                <w:lang w:val="fr-FR" w:eastAsia="zh-CN"/>
              </w:rPr>
              <w:t>Tél : 78 41 02 09</w:t>
            </w:r>
          </w:p>
          <w:p w14:paraId="2758646C" w14:textId="77777777" w:rsidR="002C61CA" w:rsidRPr="008E0431" w:rsidRDefault="002C61CA" w:rsidP="002C61CA">
            <w:pPr>
              <w:spacing w:after="0" w:line="240" w:lineRule="auto"/>
              <w:rPr>
                <w:rFonts w:cs="Arial"/>
                <w:sz w:val="17"/>
                <w:szCs w:val="17"/>
                <w:lang w:val="fr-FR" w:eastAsia="zh-CN"/>
              </w:rPr>
            </w:pPr>
            <w:r w:rsidRPr="008E0431">
              <w:rPr>
                <w:rFonts w:cs="Arial"/>
                <w:sz w:val="17"/>
                <w:szCs w:val="17"/>
                <w:lang w:val="fr-FR" w:eastAsia="zh-CN"/>
              </w:rPr>
              <w:t>e-mail : pauladobbelaar@gmail.com</w:t>
            </w:r>
          </w:p>
        </w:tc>
      </w:tr>
      <w:tr w:rsidR="00BA1CEF" w:rsidRPr="00074BCA" w14:paraId="49D179C1" w14:textId="77777777" w:rsidTr="008F27C9">
        <w:tblPrEx>
          <w:tblLook w:val="04A0" w:firstRow="1" w:lastRow="0" w:firstColumn="1" w:lastColumn="0" w:noHBand="0" w:noVBand="1"/>
        </w:tblPrEx>
        <w:trPr>
          <w:trHeight w:val="20"/>
          <w:jc w:val="center"/>
        </w:trPr>
        <w:tc>
          <w:tcPr>
            <w:tcW w:w="1910" w:type="dxa"/>
          </w:tcPr>
          <w:p w14:paraId="01444C18" w14:textId="77777777" w:rsidR="008B2B8B" w:rsidRPr="00BA1CEF" w:rsidRDefault="008B2B8B" w:rsidP="00B72A95">
            <w:pPr>
              <w:spacing w:after="0" w:line="240" w:lineRule="auto"/>
              <w:rPr>
                <w:rFonts w:cs="Arial"/>
                <w:sz w:val="17"/>
                <w:szCs w:val="17"/>
                <w:lang w:val="fr-FR" w:eastAsia="zh-CN"/>
              </w:rPr>
            </w:pPr>
            <w:r w:rsidRPr="00BA1CEF">
              <w:rPr>
                <w:rFonts w:cs="Arial"/>
                <w:sz w:val="17"/>
                <w:szCs w:val="17"/>
                <w:lang w:val="fr-FR" w:eastAsia="zh-CN"/>
              </w:rPr>
              <w:t>Oumar TAMBOURA</w:t>
            </w:r>
          </w:p>
        </w:tc>
        <w:tc>
          <w:tcPr>
            <w:tcW w:w="1978" w:type="dxa"/>
          </w:tcPr>
          <w:p w14:paraId="3427E593" w14:textId="77777777" w:rsidR="008B2B8B" w:rsidRPr="00BA1CEF" w:rsidRDefault="008B2B8B" w:rsidP="00B93360">
            <w:pPr>
              <w:spacing w:after="0" w:line="240" w:lineRule="auto"/>
              <w:jc w:val="left"/>
              <w:rPr>
                <w:rFonts w:cs="Arial"/>
                <w:sz w:val="17"/>
                <w:szCs w:val="17"/>
                <w:lang w:val="fr-FR" w:eastAsia="zh-CN"/>
              </w:rPr>
            </w:pPr>
            <w:r w:rsidRPr="00BA1CEF">
              <w:rPr>
                <w:rFonts w:cs="Arial"/>
                <w:sz w:val="17"/>
                <w:szCs w:val="17"/>
                <w:lang w:val="fr-FR" w:eastAsia="zh-CN"/>
              </w:rPr>
              <w:t xml:space="preserve">Direction Nationale </w:t>
            </w:r>
            <w:r w:rsidRPr="00BA1CEF">
              <w:rPr>
                <w:rFonts w:cs="Arial"/>
                <w:sz w:val="17"/>
                <w:szCs w:val="17"/>
                <w:lang w:val="fr-FR" w:eastAsia="zh-CN"/>
              </w:rPr>
              <w:lastRenderedPageBreak/>
              <w:t>Agriculture (DNA)</w:t>
            </w:r>
          </w:p>
        </w:tc>
        <w:tc>
          <w:tcPr>
            <w:tcW w:w="2520" w:type="dxa"/>
          </w:tcPr>
          <w:p w14:paraId="799EFC5C" w14:textId="77777777" w:rsidR="008B2B8B" w:rsidRPr="00BA1CEF" w:rsidRDefault="008B2B8B" w:rsidP="00B72A95">
            <w:pPr>
              <w:spacing w:after="0" w:line="240" w:lineRule="auto"/>
              <w:rPr>
                <w:rFonts w:cs="Arial"/>
                <w:sz w:val="17"/>
                <w:szCs w:val="17"/>
                <w:lang w:val="fr-FR" w:eastAsia="zh-CN"/>
              </w:rPr>
            </w:pPr>
            <w:r w:rsidRPr="00BA1CEF">
              <w:rPr>
                <w:rFonts w:cs="Arial"/>
                <w:sz w:val="17"/>
                <w:szCs w:val="17"/>
                <w:lang w:val="fr-FR" w:eastAsia="zh-CN"/>
              </w:rPr>
              <w:lastRenderedPageBreak/>
              <w:t>Directeur National Adjoint</w:t>
            </w:r>
          </w:p>
        </w:tc>
        <w:tc>
          <w:tcPr>
            <w:tcW w:w="3420" w:type="dxa"/>
          </w:tcPr>
          <w:p w14:paraId="63445775" w14:textId="77777777" w:rsidR="008B2B8B" w:rsidRPr="00BA1CEF" w:rsidRDefault="008B2B8B" w:rsidP="00B72A95">
            <w:pPr>
              <w:spacing w:after="0" w:line="240" w:lineRule="auto"/>
              <w:rPr>
                <w:rFonts w:cs="Arial"/>
                <w:sz w:val="17"/>
                <w:szCs w:val="17"/>
                <w:lang w:val="fr-FR" w:eastAsia="zh-CN"/>
              </w:rPr>
            </w:pPr>
            <w:r w:rsidRPr="00BA1CEF">
              <w:rPr>
                <w:rFonts w:cs="Arial"/>
                <w:sz w:val="17"/>
                <w:szCs w:val="17"/>
                <w:lang w:val="fr-FR" w:eastAsia="zh-CN"/>
              </w:rPr>
              <w:t>Tél : 76 38 26 38</w:t>
            </w:r>
          </w:p>
          <w:p w14:paraId="4FDC19AA" w14:textId="77777777" w:rsidR="008B2B8B" w:rsidRPr="008E0431" w:rsidRDefault="008B2B8B" w:rsidP="00B72A95">
            <w:pPr>
              <w:spacing w:after="0" w:line="240" w:lineRule="auto"/>
              <w:rPr>
                <w:rFonts w:cs="Arial"/>
                <w:sz w:val="17"/>
                <w:szCs w:val="17"/>
                <w:lang w:val="fr-FR" w:eastAsia="zh-CN"/>
              </w:rPr>
            </w:pPr>
            <w:r w:rsidRPr="008E0431">
              <w:rPr>
                <w:rFonts w:cs="Arial"/>
                <w:sz w:val="17"/>
                <w:szCs w:val="17"/>
                <w:lang w:val="fr-FR" w:eastAsia="zh-CN"/>
              </w:rPr>
              <w:lastRenderedPageBreak/>
              <w:t xml:space="preserve">e-mail : </w:t>
            </w:r>
            <w:hyperlink r:id="rId75" w:history="1">
              <w:r w:rsidRPr="008E0431">
                <w:rPr>
                  <w:rStyle w:val="Lienhypertexte"/>
                  <w:rFonts w:cs="Arial"/>
                  <w:color w:val="auto"/>
                  <w:sz w:val="17"/>
                  <w:szCs w:val="17"/>
                  <w:lang w:val="fr-FR" w:eastAsia="zh-CN"/>
                </w:rPr>
                <w:t>baroutam@yahoo.fr</w:t>
              </w:r>
            </w:hyperlink>
          </w:p>
        </w:tc>
      </w:tr>
      <w:tr w:rsidR="00BA1CEF" w:rsidRPr="00BA1CEF" w14:paraId="634F728E" w14:textId="77777777" w:rsidTr="008F27C9">
        <w:tblPrEx>
          <w:tblLook w:val="04A0" w:firstRow="1" w:lastRow="0" w:firstColumn="1" w:lastColumn="0" w:noHBand="0" w:noVBand="1"/>
        </w:tblPrEx>
        <w:trPr>
          <w:trHeight w:val="20"/>
          <w:jc w:val="center"/>
        </w:trPr>
        <w:tc>
          <w:tcPr>
            <w:tcW w:w="1910" w:type="dxa"/>
          </w:tcPr>
          <w:p w14:paraId="0438C9A4" w14:textId="77777777" w:rsidR="008B2B8B" w:rsidRPr="00BA1CEF" w:rsidRDefault="00B93360" w:rsidP="00B72A95">
            <w:pPr>
              <w:spacing w:after="0" w:line="240" w:lineRule="auto"/>
              <w:rPr>
                <w:rFonts w:cs="Arial"/>
                <w:sz w:val="17"/>
                <w:szCs w:val="17"/>
                <w:lang w:val="fr-FR" w:eastAsia="zh-CN"/>
              </w:rPr>
            </w:pPr>
            <w:r w:rsidRPr="00BA1CEF">
              <w:rPr>
                <w:rFonts w:cs="Arial"/>
                <w:sz w:val="17"/>
                <w:szCs w:val="17"/>
                <w:lang w:val="fr-FR" w:eastAsia="zh-CN"/>
              </w:rPr>
              <w:lastRenderedPageBreak/>
              <w:t>Siaka DEMBELE</w:t>
            </w:r>
          </w:p>
        </w:tc>
        <w:tc>
          <w:tcPr>
            <w:tcW w:w="1978" w:type="dxa"/>
          </w:tcPr>
          <w:p w14:paraId="119C5AF8" w14:textId="77777777" w:rsidR="008B2B8B" w:rsidRPr="00BA1CEF" w:rsidRDefault="008B2B8B" w:rsidP="00B93360">
            <w:pPr>
              <w:spacing w:after="0" w:line="240" w:lineRule="auto"/>
              <w:jc w:val="left"/>
              <w:rPr>
                <w:rFonts w:cs="Arial"/>
                <w:sz w:val="17"/>
                <w:szCs w:val="17"/>
                <w:lang w:val="fr-FR" w:eastAsia="zh-CN"/>
              </w:rPr>
            </w:pPr>
            <w:r w:rsidRPr="00BA1CEF">
              <w:rPr>
                <w:rFonts w:cs="Arial"/>
                <w:sz w:val="17"/>
                <w:szCs w:val="17"/>
                <w:lang w:val="fr-FR" w:eastAsia="zh-CN"/>
              </w:rPr>
              <w:t>DNA</w:t>
            </w:r>
          </w:p>
        </w:tc>
        <w:tc>
          <w:tcPr>
            <w:tcW w:w="2520" w:type="dxa"/>
          </w:tcPr>
          <w:p w14:paraId="365A8D06" w14:textId="77777777" w:rsidR="008B2B8B" w:rsidRPr="00BA1CEF" w:rsidRDefault="00B93360" w:rsidP="00B72A95">
            <w:pPr>
              <w:spacing w:after="0" w:line="240" w:lineRule="auto"/>
              <w:rPr>
                <w:rFonts w:cs="Arial"/>
                <w:sz w:val="17"/>
                <w:szCs w:val="17"/>
                <w:lang w:val="fr-FR" w:eastAsia="zh-CN"/>
              </w:rPr>
            </w:pPr>
            <w:r w:rsidRPr="00BA1CEF">
              <w:rPr>
                <w:rFonts w:cs="Arial"/>
                <w:sz w:val="17"/>
                <w:szCs w:val="17"/>
                <w:lang w:val="fr-FR" w:eastAsia="zh-CN"/>
              </w:rPr>
              <w:t>Chargé de programme à la division conseil et vulgarisation agricole</w:t>
            </w:r>
          </w:p>
        </w:tc>
        <w:tc>
          <w:tcPr>
            <w:tcW w:w="3420" w:type="dxa"/>
          </w:tcPr>
          <w:p w14:paraId="4AE0EA1C" w14:textId="77777777" w:rsidR="008B2B8B" w:rsidRPr="00BA1CEF" w:rsidRDefault="008B2B8B" w:rsidP="00B72A95">
            <w:pPr>
              <w:spacing w:after="0" w:line="240" w:lineRule="auto"/>
              <w:rPr>
                <w:rFonts w:cs="Arial"/>
                <w:sz w:val="17"/>
                <w:szCs w:val="17"/>
                <w:lang w:val="fr-FR" w:eastAsia="zh-CN"/>
              </w:rPr>
            </w:pPr>
            <w:r w:rsidRPr="00BA1CEF">
              <w:rPr>
                <w:rFonts w:cs="Arial"/>
                <w:sz w:val="17"/>
                <w:szCs w:val="17"/>
                <w:lang w:val="fr-FR" w:eastAsia="zh-CN"/>
              </w:rPr>
              <w:t>Tél :</w:t>
            </w:r>
            <w:r w:rsidR="00B93360" w:rsidRPr="00BA1CEF">
              <w:rPr>
                <w:rFonts w:cs="Arial"/>
                <w:sz w:val="17"/>
                <w:szCs w:val="17"/>
                <w:lang w:val="fr-FR" w:eastAsia="zh-CN"/>
              </w:rPr>
              <w:t xml:space="preserve"> 66 88 75 33 / 73 18 94 69</w:t>
            </w:r>
          </w:p>
          <w:p w14:paraId="3182003A" w14:textId="77777777" w:rsidR="008B2B8B" w:rsidRPr="00BA1CEF" w:rsidRDefault="008B2B8B" w:rsidP="00B72A95">
            <w:pPr>
              <w:spacing w:after="0" w:line="240" w:lineRule="auto"/>
              <w:rPr>
                <w:rFonts w:cs="Arial"/>
                <w:sz w:val="17"/>
                <w:szCs w:val="17"/>
                <w:lang w:val="fr-FR" w:eastAsia="zh-CN"/>
              </w:rPr>
            </w:pPr>
          </w:p>
        </w:tc>
      </w:tr>
      <w:tr w:rsidR="00BA1CEF" w:rsidRPr="00074BCA" w14:paraId="1529F6E1" w14:textId="77777777" w:rsidTr="008F27C9">
        <w:tblPrEx>
          <w:tblLook w:val="04A0" w:firstRow="1" w:lastRow="0" w:firstColumn="1" w:lastColumn="0" w:noHBand="0" w:noVBand="1"/>
        </w:tblPrEx>
        <w:trPr>
          <w:trHeight w:val="20"/>
          <w:jc w:val="center"/>
        </w:trPr>
        <w:tc>
          <w:tcPr>
            <w:tcW w:w="1910" w:type="dxa"/>
          </w:tcPr>
          <w:p w14:paraId="79EAA858" w14:textId="77777777" w:rsidR="00B93360" w:rsidRPr="00BA1CEF" w:rsidRDefault="00B93360" w:rsidP="00B93360">
            <w:pPr>
              <w:spacing w:after="0" w:line="240" w:lineRule="auto"/>
              <w:jc w:val="left"/>
              <w:rPr>
                <w:rFonts w:cs="Arial"/>
                <w:sz w:val="17"/>
                <w:szCs w:val="17"/>
                <w:lang w:val="fr-FR" w:eastAsia="zh-CN"/>
              </w:rPr>
            </w:pPr>
            <w:r w:rsidRPr="00BA1CEF">
              <w:rPr>
                <w:rFonts w:cs="Arial"/>
                <w:sz w:val="17"/>
                <w:szCs w:val="17"/>
                <w:lang w:val="fr-FR" w:eastAsia="zh-CN"/>
              </w:rPr>
              <w:t>Mahamadou Namori KEITA</w:t>
            </w:r>
          </w:p>
        </w:tc>
        <w:tc>
          <w:tcPr>
            <w:tcW w:w="1978" w:type="dxa"/>
          </w:tcPr>
          <w:p w14:paraId="3A49345A" w14:textId="77777777" w:rsidR="00B93360" w:rsidRPr="00BA1CEF" w:rsidRDefault="00B93360" w:rsidP="00B93360">
            <w:pPr>
              <w:spacing w:after="0" w:line="240" w:lineRule="auto"/>
              <w:jc w:val="left"/>
              <w:rPr>
                <w:rFonts w:cs="Arial"/>
                <w:sz w:val="17"/>
                <w:szCs w:val="17"/>
                <w:lang w:val="fr-FR" w:eastAsia="zh-CN"/>
              </w:rPr>
            </w:pPr>
            <w:r w:rsidRPr="00BA1CEF">
              <w:rPr>
                <w:rFonts w:cs="Arial"/>
                <w:sz w:val="17"/>
                <w:szCs w:val="17"/>
                <w:lang w:val="fr-FR" w:eastAsia="zh-CN"/>
              </w:rPr>
              <w:t>DNA</w:t>
            </w:r>
          </w:p>
        </w:tc>
        <w:tc>
          <w:tcPr>
            <w:tcW w:w="2520" w:type="dxa"/>
          </w:tcPr>
          <w:p w14:paraId="256A2841" w14:textId="77777777" w:rsidR="00B93360" w:rsidRPr="00BA1CEF" w:rsidRDefault="00B93360" w:rsidP="00B93360">
            <w:pPr>
              <w:spacing w:after="0" w:line="240" w:lineRule="auto"/>
              <w:jc w:val="left"/>
              <w:rPr>
                <w:rFonts w:cs="Arial"/>
                <w:sz w:val="17"/>
                <w:szCs w:val="17"/>
                <w:lang w:val="fr-FR" w:eastAsia="zh-CN"/>
              </w:rPr>
            </w:pPr>
            <w:r w:rsidRPr="00BA1CEF">
              <w:rPr>
                <w:rFonts w:cs="Arial"/>
                <w:sz w:val="17"/>
                <w:szCs w:val="17"/>
                <w:lang w:val="fr-FR" w:eastAsia="zh-CN"/>
              </w:rPr>
              <w:t>Bureau statistique Suivi Evaluation</w:t>
            </w:r>
          </w:p>
        </w:tc>
        <w:tc>
          <w:tcPr>
            <w:tcW w:w="3420" w:type="dxa"/>
          </w:tcPr>
          <w:p w14:paraId="74970AFE" w14:textId="77777777" w:rsidR="00B93360" w:rsidRPr="00BA1CEF" w:rsidRDefault="00B93360" w:rsidP="00B93360">
            <w:pPr>
              <w:spacing w:after="0" w:line="240" w:lineRule="auto"/>
              <w:jc w:val="left"/>
              <w:rPr>
                <w:rFonts w:cs="Arial"/>
                <w:sz w:val="17"/>
                <w:szCs w:val="17"/>
                <w:lang w:val="fr-FR" w:eastAsia="zh-CN"/>
              </w:rPr>
            </w:pPr>
            <w:r w:rsidRPr="00BA1CEF">
              <w:rPr>
                <w:rFonts w:cs="Arial"/>
                <w:sz w:val="17"/>
                <w:szCs w:val="17"/>
                <w:lang w:val="fr-FR" w:eastAsia="zh-CN"/>
              </w:rPr>
              <w:t xml:space="preserve">Tél : 76 47 </w:t>
            </w:r>
            <w:r w:rsidR="00367207" w:rsidRPr="00BA1CEF">
              <w:rPr>
                <w:rFonts w:cs="Arial"/>
                <w:sz w:val="17"/>
                <w:szCs w:val="17"/>
                <w:lang w:val="fr-FR" w:eastAsia="zh-CN"/>
              </w:rPr>
              <w:t>17 43</w:t>
            </w:r>
          </w:p>
          <w:p w14:paraId="618DBA1E" w14:textId="77777777" w:rsidR="00367207" w:rsidRPr="008E0431" w:rsidRDefault="00367207" w:rsidP="00B93360">
            <w:pPr>
              <w:spacing w:after="0" w:line="240" w:lineRule="auto"/>
              <w:jc w:val="left"/>
              <w:rPr>
                <w:rFonts w:cs="Arial"/>
                <w:sz w:val="17"/>
                <w:szCs w:val="17"/>
                <w:lang w:val="fr-FR" w:eastAsia="zh-CN"/>
              </w:rPr>
            </w:pPr>
            <w:r w:rsidRPr="008E0431">
              <w:rPr>
                <w:rFonts w:cs="Arial"/>
                <w:sz w:val="17"/>
                <w:szCs w:val="17"/>
                <w:lang w:val="fr-FR" w:eastAsia="zh-CN"/>
              </w:rPr>
              <w:t>e-mail : mohakeita@hotmail.com</w:t>
            </w:r>
          </w:p>
        </w:tc>
      </w:tr>
      <w:tr w:rsidR="00BA1CEF" w:rsidRPr="00BA1CEF" w14:paraId="17B97FD4" w14:textId="77777777" w:rsidTr="008F27C9">
        <w:tblPrEx>
          <w:tblLook w:val="04A0" w:firstRow="1" w:lastRow="0" w:firstColumn="1" w:lastColumn="0" w:noHBand="0" w:noVBand="1"/>
        </w:tblPrEx>
        <w:trPr>
          <w:trHeight w:val="20"/>
          <w:jc w:val="center"/>
        </w:trPr>
        <w:tc>
          <w:tcPr>
            <w:tcW w:w="1910" w:type="dxa"/>
          </w:tcPr>
          <w:p w14:paraId="05F0D163" w14:textId="77777777" w:rsidR="00367207" w:rsidRPr="00BA1CEF" w:rsidRDefault="00367207" w:rsidP="00B93360">
            <w:pPr>
              <w:spacing w:after="0" w:line="240" w:lineRule="auto"/>
              <w:jc w:val="left"/>
              <w:rPr>
                <w:rFonts w:cs="Arial"/>
                <w:sz w:val="17"/>
                <w:szCs w:val="17"/>
                <w:lang w:val="fr-FR" w:eastAsia="zh-CN"/>
              </w:rPr>
            </w:pPr>
            <w:r w:rsidRPr="00BA1CEF">
              <w:rPr>
                <w:rFonts w:cs="Arial"/>
                <w:sz w:val="17"/>
                <w:szCs w:val="17"/>
                <w:lang w:val="fr-FR" w:eastAsia="zh-CN"/>
              </w:rPr>
              <w:t>Dramane DIARRA</w:t>
            </w:r>
          </w:p>
        </w:tc>
        <w:tc>
          <w:tcPr>
            <w:tcW w:w="1978" w:type="dxa"/>
          </w:tcPr>
          <w:p w14:paraId="029D668F" w14:textId="77777777" w:rsidR="00367207" w:rsidRPr="00BA1CEF" w:rsidRDefault="00367207" w:rsidP="00B93360">
            <w:pPr>
              <w:spacing w:after="0" w:line="240" w:lineRule="auto"/>
              <w:jc w:val="left"/>
              <w:rPr>
                <w:rFonts w:cs="Arial"/>
                <w:sz w:val="17"/>
                <w:szCs w:val="17"/>
                <w:lang w:val="fr-FR" w:eastAsia="zh-CN"/>
              </w:rPr>
            </w:pPr>
            <w:r w:rsidRPr="00BA1CEF">
              <w:rPr>
                <w:rFonts w:cs="Arial"/>
                <w:sz w:val="17"/>
                <w:szCs w:val="17"/>
                <w:lang w:val="fr-FR" w:eastAsia="zh-CN"/>
              </w:rPr>
              <w:t>DNA</w:t>
            </w:r>
          </w:p>
        </w:tc>
        <w:tc>
          <w:tcPr>
            <w:tcW w:w="2520" w:type="dxa"/>
          </w:tcPr>
          <w:p w14:paraId="6B743A23" w14:textId="77777777" w:rsidR="00367207" w:rsidRPr="00BA1CEF" w:rsidRDefault="00367207" w:rsidP="00B93360">
            <w:pPr>
              <w:spacing w:after="0" w:line="240" w:lineRule="auto"/>
              <w:jc w:val="left"/>
              <w:rPr>
                <w:rFonts w:cs="Arial"/>
                <w:sz w:val="17"/>
                <w:szCs w:val="17"/>
                <w:lang w:val="fr-FR" w:eastAsia="zh-CN"/>
              </w:rPr>
            </w:pPr>
            <w:r w:rsidRPr="00BA1CEF">
              <w:rPr>
                <w:rFonts w:cs="Arial"/>
                <w:sz w:val="17"/>
                <w:szCs w:val="17"/>
                <w:lang w:val="fr-FR" w:eastAsia="zh-CN"/>
              </w:rPr>
              <w:t>Chef de section législation et norme</w:t>
            </w:r>
          </w:p>
        </w:tc>
        <w:tc>
          <w:tcPr>
            <w:tcW w:w="3420" w:type="dxa"/>
          </w:tcPr>
          <w:p w14:paraId="64E747C7" w14:textId="77777777" w:rsidR="00367207" w:rsidRPr="00BA1CEF" w:rsidRDefault="00367207" w:rsidP="00B93360">
            <w:pPr>
              <w:spacing w:after="0" w:line="240" w:lineRule="auto"/>
              <w:jc w:val="left"/>
              <w:rPr>
                <w:rFonts w:cs="Arial"/>
                <w:sz w:val="17"/>
                <w:szCs w:val="17"/>
                <w:lang w:val="fr-FR" w:eastAsia="zh-CN"/>
              </w:rPr>
            </w:pPr>
            <w:r w:rsidRPr="00BA1CEF">
              <w:rPr>
                <w:rFonts w:cs="Arial"/>
                <w:sz w:val="17"/>
                <w:szCs w:val="17"/>
                <w:lang w:val="fr-FR" w:eastAsia="zh-CN"/>
              </w:rPr>
              <w:t>Tél : 76 43 71 33 / 65 82 13 14</w:t>
            </w:r>
          </w:p>
        </w:tc>
      </w:tr>
      <w:tr w:rsidR="00BA1CEF" w:rsidRPr="00074BCA" w14:paraId="6FCF3C5A" w14:textId="77777777" w:rsidTr="008F27C9">
        <w:trPr>
          <w:cantSplit/>
          <w:trHeight w:val="20"/>
          <w:jc w:val="center"/>
        </w:trPr>
        <w:tc>
          <w:tcPr>
            <w:tcW w:w="1910" w:type="dxa"/>
            <w:vAlign w:val="center"/>
          </w:tcPr>
          <w:p w14:paraId="42699606" w14:textId="77777777" w:rsidR="008B2B8B" w:rsidRPr="00BA1CEF" w:rsidRDefault="008B2B8B" w:rsidP="00B72A95">
            <w:pPr>
              <w:spacing w:after="0" w:line="240" w:lineRule="auto"/>
              <w:rPr>
                <w:rFonts w:cs="Arial"/>
                <w:sz w:val="17"/>
                <w:szCs w:val="17"/>
                <w:lang w:val="fr-FR" w:eastAsia="zh-CN"/>
              </w:rPr>
            </w:pPr>
            <w:r w:rsidRPr="00BA1CEF">
              <w:rPr>
                <w:rFonts w:cs="Arial"/>
                <w:sz w:val="17"/>
                <w:szCs w:val="17"/>
                <w:lang w:val="fr-FR" w:eastAsia="zh-CN"/>
              </w:rPr>
              <w:t>Abdoulbacou ABDOURHAMANE</w:t>
            </w:r>
          </w:p>
        </w:tc>
        <w:tc>
          <w:tcPr>
            <w:tcW w:w="1978" w:type="dxa"/>
            <w:vAlign w:val="center"/>
          </w:tcPr>
          <w:p w14:paraId="67AD2BE2" w14:textId="77777777" w:rsidR="008B2B8B" w:rsidRPr="00BA1CEF" w:rsidRDefault="008B2B8B" w:rsidP="00B72A95">
            <w:pPr>
              <w:spacing w:after="0" w:line="240" w:lineRule="auto"/>
              <w:rPr>
                <w:rFonts w:cs="Arial"/>
                <w:sz w:val="17"/>
                <w:szCs w:val="17"/>
                <w:lang w:val="fr-FR" w:eastAsia="zh-CN"/>
              </w:rPr>
            </w:pPr>
            <w:r w:rsidRPr="00BA1CEF">
              <w:rPr>
                <w:rFonts w:cs="Arial"/>
                <w:sz w:val="17"/>
                <w:szCs w:val="17"/>
                <w:lang w:val="fr-FR" w:eastAsia="zh-CN"/>
              </w:rPr>
              <w:t>DNR (routes)</w:t>
            </w:r>
          </w:p>
        </w:tc>
        <w:tc>
          <w:tcPr>
            <w:tcW w:w="2520" w:type="dxa"/>
            <w:vAlign w:val="center"/>
          </w:tcPr>
          <w:p w14:paraId="797976C8" w14:textId="77777777" w:rsidR="008B2B8B" w:rsidRPr="00BA1CEF" w:rsidRDefault="008B2B8B" w:rsidP="00B72A95">
            <w:pPr>
              <w:spacing w:after="0" w:line="240" w:lineRule="auto"/>
              <w:rPr>
                <w:rFonts w:cs="Arial"/>
                <w:sz w:val="17"/>
                <w:szCs w:val="17"/>
                <w:lang w:val="fr-FR" w:eastAsia="zh-CN"/>
              </w:rPr>
            </w:pPr>
            <w:r w:rsidRPr="00BA1CEF">
              <w:rPr>
                <w:rFonts w:cs="Arial"/>
                <w:sz w:val="17"/>
                <w:szCs w:val="17"/>
                <w:lang w:val="fr-FR" w:eastAsia="zh-CN"/>
              </w:rPr>
              <w:t>Chef de division études et planification</w:t>
            </w:r>
          </w:p>
        </w:tc>
        <w:tc>
          <w:tcPr>
            <w:tcW w:w="3420" w:type="dxa"/>
            <w:vAlign w:val="center"/>
          </w:tcPr>
          <w:p w14:paraId="43CED642" w14:textId="77777777" w:rsidR="008B2B8B" w:rsidRPr="00BA1CEF" w:rsidRDefault="008B2B8B" w:rsidP="00B72A95">
            <w:pPr>
              <w:spacing w:after="0" w:line="240" w:lineRule="auto"/>
              <w:rPr>
                <w:rFonts w:cs="Arial"/>
                <w:sz w:val="17"/>
                <w:szCs w:val="17"/>
                <w:lang w:val="fr-FR" w:eastAsia="zh-CN"/>
              </w:rPr>
            </w:pPr>
            <w:r w:rsidRPr="00BA1CEF">
              <w:rPr>
                <w:rFonts w:cs="Arial"/>
                <w:sz w:val="17"/>
                <w:szCs w:val="17"/>
                <w:lang w:val="fr-FR" w:eastAsia="zh-CN"/>
              </w:rPr>
              <w:t>Tél : 66 71 85 09</w:t>
            </w:r>
          </w:p>
          <w:p w14:paraId="70FE88B3" w14:textId="77777777" w:rsidR="008B2B8B" w:rsidRPr="008E0431" w:rsidRDefault="008B2B8B" w:rsidP="00B72A95">
            <w:pPr>
              <w:spacing w:after="0" w:line="240" w:lineRule="auto"/>
              <w:rPr>
                <w:rFonts w:cs="Arial"/>
                <w:sz w:val="17"/>
                <w:szCs w:val="17"/>
                <w:lang w:val="fr-FR" w:eastAsia="zh-CN"/>
              </w:rPr>
            </w:pPr>
            <w:r w:rsidRPr="008E0431">
              <w:rPr>
                <w:rFonts w:cs="Arial"/>
                <w:sz w:val="17"/>
                <w:szCs w:val="17"/>
                <w:lang w:val="fr-FR" w:eastAsia="zh-CN"/>
              </w:rPr>
              <w:t>e-mail : kdjouguel@gmail.com</w:t>
            </w:r>
          </w:p>
        </w:tc>
      </w:tr>
      <w:tr w:rsidR="00BA1CEF" w:rsidRPr="00074BCA" w14:paraId="000E1A9B" w14:textId="77777777" w:rsidTr="008F27C9">
        <w:trPr>
          <w:cantSplit/>
          <w:trHeight w:val="20"/>
          <w:jc w:val="center"/>
        </w:trPr>
        <w:tc>
          <w:tcPr>
            <w:tcW w:w="1910" w:type="dxa"/>
            <w:vAlign w:val="center"/>
          </w:tcPr>
          <w:p w14:paraId="7C4B3650" w14:textId="77777777" w:rsidR="003C18E8" w:rsidRPr="00BA1CEF" w:rsidRDefault="003C18E8" w:rsidP="00B72A95">
            <w:pPr>
              <w:spacing w:after="0" w:line="240" w:lineRule="auto"/>
              <w:rPr>
                <w:rFonts w:cs="Arial"/>
                <w:sz w:val="17"/>
                <w:szCs w:val="17"/>
                <w:lang w:val="fr-FR" w:eastAsia="zh-CN"/>
              </w:rPr>
            </w:pPr>
            <w:r w:rsidRPr="00BA1CEF">
              <w:rPr>
                <w:rFonts w:cs="Arial"/>
                <w:sz w:val="17"/>
                <w:szCs w:val="17"/>
                <w:lang w:val="fr-FR" w:eastAsia="zh-CN"/>
              </w:rPr>
              <w:t>Mamadou TRAORE</w:t>
            </w:r>
          </w:p>
        </w:tc>
        <w:tc>
          <w:tcPr>
            <w:tcW w:w="1978" w:type="dxa"/>
            <w:vAlign w:val="center"/>
          </w:tcPr>
          <w:p w14:paraId="6C6F915F" w14:textId="77777777" w:rsidR="003C18E8" w:rsidRPr="00BA1CEF" w:rsidRDefault="003C18E8" w:rsidP="00B72A95">
            <w:pPr>
              <w:spacing w:after="0" w:line="240" w:lineRule="auto"/>
              <w:rPr>
                <w:rFonts w:cs="Arial"/>
                <w:sz w:val="17"/>
                <w:szCs w:val="17"/>
                <w:lang w:val="fr-FR" w:eastAsia="zh-CN"/>
              </w:rPr>
            </w:pPr>
            <w:r w:rsidRPr="00BA1CEF">
              <w:rPr>
                <w:rFonts w:cs="Arial"/>
                <w:sz w:val="17"/>
                <w:szCs w:val="17"/>
                <w:lang w:val="fr-FR" w:eastAsia="zh-CN"/>
              </w:rPr>
              <w:t>DNPIA</w:t>
            </w:r>
          </w:p>
        </w:tc>
        <w:tc>
          <w:tcPr>
            <w:tcW w:w="2520" w:type="dxa"/>
            <w:vAlign w:val="center"/>
          </w:tcPr>
          <w:p w14:paraId="0F28E286" w14:textId="77777777" w:rsidR="003C18E8" w:rsidRPr="00BA1CEF" w:rsidRDefault="003C18E8" w:rsidP="00B72A95">
            <w:pPr>
              <w:spacing w:after="0" w:line="240" w:lineRule="auto"/>
              <w:rPr>
                <w:rFonts w:cs="Arial"/>
                <w:sz w:val="17"/>
                <w:szCs w:val="17"/>
                <w:lang w:val="fr-FR" w:eastAsia="zh-CN"/>
              </w:rPr>
            </w:pPr>
            <w:r w:rsidRPr="00BA1CEF">
              <w:rPr>
                <w:rFonts w:cs="Arial"/>
                <w:sz w:val="17"/>
                <w:szCs w:val="17"/>
                <w:lang w:val="fr-FR" w:eastAsia="zh-CN"/>
              </w:rPr>
              <w:t>Directeur adjoint</w:t>
            </w:r>
          </w:p>
        </w:tc>
        <w:tc>
          <w:tcPr>
            <w:tcW w:w="3420" w:type="dxa"/>
            <w:vAlign w:val="center"/>
          </w:tcPr>
          <w:p w14:paraId="2E86EFA5" w14:textId="77777777" w:rsidR="003C18E8" w:rsidRPr="00BA1CEF" w:rsidRDefault="003C18E8" w:rsidP="00B72A95">
            <w:pPr>
              <w:spacing w:after="0" w:line="240" w:lineRule="auto"/>
              <w:rPr>
                <w:rFonts w:cs="Arial"/>
                <w:sz w:val="17"/>
                <w:szCs w:val="17"/>
                <w:lang w:val="fr-FR" w:eastAsia="zh-CN"/>
              </w:rPr>
            </w:pPr>
            <w:r w:rsidRPr="00BA1CEF">
              <w:rPr>
                <w:rFonts w:cs="Arial"/>
                <w:sz w:val="17"/>
                <w:szCs w:val="17"/>
                <w:lang w:val="fr-FR" w:eastAsia="zh-CN"/>
              </w:rPr>
              <w:t>Tél : 66 87 70 95 / 73 35 61 59</w:t>
            </w:r>
          </w:p>
          <w:p w14:paraId="09A452EE" w14:textId="77777777" w:rsidR="003C18E8" w:rsidRPr="008E0431" w:rsidRDefault="003C18E8" w:rsidP="00B72A95">
            <w:pPr>
              <w:spacing w:after="0" w:line="240" w:lineRule="auto"/>
              <w:rPr>
                <w:rFonts w:cs="Arial"/>
                <w:sz w:val="17"/>
                <w:szCs w:val="17"/>
                <w:lang w:val="fr-FR" w:eastAsia="zh-CN"/>
              </w:rPr>
            </w:pPr>
            <w:r w:rsidRPr="008E0431">
              <w:rPr>
                <w:rFonts w:cs="Arial"/>
                <w:sz w:val="17"/>
                <w:szCs w:val="17"/>
                <w:lang w:val="fr-FR" w:eastAsia="zh-CN"/>
              </w:rPr>
              <w:t xml:space="preserve">e-mail : </w:t>
            </w:r>
            <w:hyperlink r:id="rId76" w:history="1">
              <w:r w:rsidRPr="008E0431">
                <w:rPr>
                  <w:rStyle w:val="Lienhypertexte"/>
                  <w:rFonts w:cs="Arial"/>
                  <w:color w:val="auto"/>
                  <w:sz w:val="17"/>
                  <w:szCs w:val="17"/>
                  <w:lang w:val="fr-FR" w:eastAsia="zh-CN"/>
                </w:rPr>
                <w:t>traoremd@yahoo.fr</w:t>
              </w:r>
            </w:hyperlink>
            <w:r w:rsidRPr="008E0431">
              <w:rPr>
                <w:rFonts w:cs="Arial"/>
                <w:sz w:val="17"/>
                <w:szCs w:val="17"/>
                <w:lang w:val="fr-FR" w:eastAsia="zh-CN"/>
              </w:rPr>
              <w:t xml:space="preserve"> </w:t>
            </w:r>
          </w:p>
        </w:tc>
      </w:tr>
      <w:tr w:rsidR="00BA1CEF" w:rsidRPr="00074BCA" w14:paraId="712B5817" w14:textId="77777777" w:rsidTr="008F27C9">
        <w:trPr>
          <w:cantSplit/>
          <w:trHeight w:val="20"/>
          <w:jc w:val="center"/>
        </w:trPr>
        <w:tc>
          <w:tcPr>
            <w:tcW w:w="1910" w:type="dxa"/>
            <w:vAlign w:val="center"/>
          </w:tcPr>
          <w:p w14:paraId="381F4AE1" w14:textId="77777777" w:rsidR="003C18E8" w:rsidRPr="00BA1CEF" w:rsidRDefault="003C18E8" w:rsidP="003C18E8">
            <w:pPr>
              <w:spacing w:after="0" w:line="240" w:lineRule="auto"/>
              <w:jc w:val="left"/>
              <w:rPr>
                <w:rFonts w:cs="Arial"/>
                <w:sz w:val="17"/>
                <w:szCs w:val="17"/>
                <w:lang w:val="fr-FR" w:eastAsia="zh-CN"/>
              </w:rPr>
            </w:pPr>
            <w:r w:rsidRPr="00BA1CEF">
              <w:rPr>
                <w:rFonts w:cs="Arial"/>
                <w:sz w:val="17"/>
                <w:szCs w:val="17"/>
                <w:lang w:val="fr-FR" w:eastAsia="zh-CN"/>
              </w:rPr>
              <w:t>Lassina DIALLO</w:t>
            </w:r>
          </w:p>
        </w:tc>
        <w:tc>
          <w:tcPr>
            <w:tcW w:w="1978" w:type="dxa"/>
            <w:vAlign w:val="center"/>
          </w:tcPr>
          <w:p w14:paraId="238877C7" w14:textId="77777777" w:rsidR="003C18E8" w:rsidRPr="00BA1CEF" w:rsidRDefault="003C18E8" w:rsidP="003C18E8">
            <w:pPr>
              <w:spacing w:after="0" w:line="240" w:lineRule="auto"/>
              <w:jc w:val="left"/>
              <w:rPr>
                <w:rFonts w:cs="Arial"/>
                <w:sz w:val="17"/>
                <w:szCs w:val="17"/>
                <w:lang w:val="fr-FR" w:eastAsia="zh-CN"/>
              </w:rPr>
            </w:pPr>
            <w:r w:rsidRPr="00BA1CEF">
              <w:rPr>
                <w:rFonts w:cs="Arial"/>
                <w:sz w:val="17"/>
                <w:szCs w:val="17"/>
                <w:lang w:val="fr-FR" w:eastAsia="zh-CN"/>
              </w:rPr>
              <w:t>DNPIA</w:t>
            </w:r>
          </w:p>
        </w:tc>
        <w:tc>
          <w:tcPr>
            <w:tcW w:w="2520" w:type="dxa"/>
            <w:vAlign w:val="center"/>
          </w:tcPr>
          <w:p w14:paraId="4567CCD5" w14:textId="77777777" w:rsidR="003C18E8" w:rsidRPr="00BA1CEF" w:rsidRDefault="003C18E8" w:rsidP="003C18E8">
            <w:pPr>
              <w:spacing w:after="0" w:line="240" w:lineRule="auto"/>
              <w:jc w:val="left"/>
              <w:rPr>
                <w:rFonts w:cs="Arial"/>
                <w:sz w:val="17"/>
                <w:szCs w:val="17"/>
                <w:lang w:val="fr-FR" w:eastAsia="zh-CN"/>
              </w:rPr>
            </w:pPr>
            <w:r w:rsidRPr="00BA1CEF">
              <w:rPr>
                <w:rFonts w:cs="Arial"/>
                <w:sz w:val="17"/>
                <w:szCs w:val="17"/>
                <w:lang w:val="fr-FR" w:eastAsia="zh-CN"/>
              </w:rPr>
              <w:t xml:space="preserve">Chef division des filières productions animales </w:t>
            </w:r>
          </w:p>
        </w:tc>
        <w:tc>
          <w:tcPr>
            <w:tcW w:w="3420" w:type="dxa"/>
            <w:vAlign w:val="center"/>
          </w:tcPr>
          <w:p w14:paraId="3A29E26B" w14:textId="77777777" w:rsidR="003C18E8" w:rsidRPr="00BA1CEF" w:rsidRDefault="003C18E8" w:rsidP="003C18E8">
            <w:pPr>
              <w:spacing w:after="0" w:line="240" w:lineRule="auto"/>
              <w:jc w:val="left"/>
              <w:rPr>
                <w:rFonts w:cs="Arial"/>
                <w:sz w:val="17"/>
                <w:szCs w:val="17"/>
                <w:lang w:val="fr-FR" w:eastAsia="zh-CN"/>
              </w:rPr>
            </w:pPr>
            <w:r w:rsidRPr="00BA1CEF">
              <w:rPr>
                <w:rFonts w:cs="Arial"/>
                <w:sz w:val="17"/>
                <w:szCs w:val="17"/>
                <w:lang w:val="fr-FR" w:eastAsia="zh-CN"/>
              </w:rPr>
              <w:t>Tél : 66 55 57 59 / 76 08 94 66</w:t>
            </w:r>
          </w:p>
          <w:p w14:paraId="73DFF0F2" w14:textId="77777777" w:rsidR="003C18E8" w:rsidRPr="008E0431" w:rsidRDefault="003C18E8" w:rsidP="003C18E8">
            <w:pPr>
              <w:spacing w:after="0" w:line="240" w:lineRule="auto"/>
              <w:jc w:val="left"/>
              <w:rPr>
                <w:rFonts w:cs="Arial"/>
                <w:sz w:val="17"/>
                <w:szCs w:val="17"/>
                <w:lang w:val="fr-FR" w:eastAsia="zh-CN"/>
              </w:rPr>
            </w:pPr>
            <w:r w:rsidRPr="008E0431">
              <w:rPr>
                <w:rFonts w:cs="Arial"/>
                <w:sz w:val="17"/>
                <w:szCs w:val="17"/>
                <w:lang w:val="fr-FR" w:eastAsia="zh-CN"/>
              </w:rPr>
              <w:t xml:space="preserve">e-mail : </w:t>
            </w:r>
            <w:hyperlink r:id="rId77" w:history="1">
              <w:r w:rsidRPr="008E0431">
                <w:rPr>
                  <w:rStyle w:val="Lienhypertexte"/>
                  <w:rFonts w:cs="Arial"/>
                  <w:color w:val="auto"/>
                  <w:sz w:val="17"/>
                  <w:szCs w:val="17"/>
                  <w:lang w:val="fr-FR" w:eastAsia="zh-CN"/>
                </w:rPr>
                <w:t>lassinadiallo2009@yahoo.fr</w:t>
              </w:r>
            </w:hyperlink>
            <w:r w:rsidRPr="008E0431">
              <w:rPr>
                <w:rFonts w:cs="Arial"/>
                <w:sz w:val="17"/>
                <w:szCs w:val="17"/>
                <w:lang w:val="fr-FR" w:eastAsia="zh-CN"/>
              </w:rPr>
              <w:t xml:space="preserve"> </w:t>
            </w:r>
          </w:p>
        </w:tc>
      </w:tr>
      <w:tr w:rsidR="00BA1CEF" w:rsidRPr="00074BCA" w14:paraId="41B61FAF" w14:textId="77777777" w:rsidTr="008F27C9">
        <w:trPr>
          <w:cantSplit/>
          <w:trHeight w:val="20"/>
          <w:jc w:val="center"/>
        </w:trPr>
        <w:tc>
          <w:tcPr>
            <w:tcW w:w="1910" w:type="dxa"/>
            <w:vAlign w:val="center"/>
          </w:tcPr>
          <w:p w14:paraId="26DF6504" w14:textId="77777777" w:rsidR="003C18E8" w:rsidRPr="00BA1CEF" w:rsidRDefault="003C18E8" w:rsidP="003C18E8">
            <w:pPr>
              <w:spacing w:after="0" w:line="240" w:lineRule="auto"/>
              <w:jc w:val="left"/>
              <w:rPr>
                <w:rFonts w:cs="Arial"/>
                <w:sz w:val="17"/>
                <w:szCs w:val="17"/>
                <w:lang w:val="de-DE" w:eastAsia="zh-CN"/>
              </w:rPr>
            </w:pPr>
            <w:r w:rsidRPr="00BA1CEF">
              <w:rPr>
                <w:rFonts w:cs="Arial"/>
                <w:sz w:val="17"/>
                <w:szCs w:val="17"/>
                <w:lang w:val="de-DE" w:eastAsia="zh-CN"/>
              </w:rPr>
              <w:t>Otogolo KONE</w:t>
            </w:r>
          </w:p>
        </w:tc>
        <w:tc>
          <w:tcPr>
            <w:tcW w:w="1978" w:type="dxa"/>
            <w:vAlign w:val="center"/>
          </w:tcPr>
          <w:p w14:paraId="63330B44" w14:textId="77777777" w:rsidR="003C18E8" w:rsidRPr="00BA1CEF" w:rsidRDefault="003C18E8" w:rsidP="003C18E8">
            <w:pPr>
              <w:spacing w:after="0" w:line="240" w:lineRule="auto"/>
              <w:jc w:val="left"/>
              <w:rPr>
                <w:rFonts w:cs="Arial"/>
                <w:sz w:val="17"/>
                <w:szCs w:val="17"/>
                <w:lang w:val="de-DE" w:eastAsia="zh-CN"/>
              </w:rPr>
            </w:pPr>
            <w:r w:rsidRPr="00BA1CEF">
              <w:rPr>
                <w:rFonts w:cs="Arial"/>
                <w:sz w:val="17"/>
                <w:szCs w:val="17"/>
                <w:lang w:val="de-DE" w:eastAsia="zh-CN"/>
              </w:rPr>
              <w:t>DNPIA</w:t>
            </w:r>
          </w:p>
        </w:tc>
        <w:tc>
          <w:tcPr>
            <w:tcW w:w="2520" w:type="dxa"/>
            <w:vAlign w:val="center"/>
          </w:tcPr>
          <w:p w14:paraId="38440E1D" w14:textId="77777777" w:rsidR="003C18E8" w:rsidRPr="00BA1CEF" w:rsidRDefault="003C18E8" w:rsidP="003C18E8">
            <w:pPr>
              <w:spacing w:after="0" w:line="240" w:lineRule="auto"/>
              <w:jc w:val="left"/>
              <w:rPr>
                <w:rFonts w:cs="Arial"/>
                <w:sz w:val="17"/>
                <w:szCs w:val="17"/>
                <w:lang w:val="fr-FR" w:eastAsia="zh-CN"/>
              </w:rPr>
            </w:pPr>
            <w:r w:rsidRPr="00BA1CEF">
              <w:rPr>
                <w:rFonts w:cs="Arial"/>
                <w:sz w:val="17"/>
                <w:szCs w:val="17"/>
                <w:lang w:val="fr-FR" w:eastAsia="zh-CN"/>
              </w:rPr>
              <w:t>Chef division aménagement et hydraulique pastoraux</w:t>
            </w:r>
          </w:p>
        </w:tc>
        <w:tc>
          <w:tcPr>
            <w:tcW w:w="3420" w:type="dxa"/>
            <w:vAlign w:val="center"/>
          </w:tcPr>
          <w:p w14:paraId="25DE4348" w14:textId="77777777" w:rsidR="003C18E8" w:rsidRPr="00BA1CEF" w:rsidRDefault="003C18E8" w:rsidP="003C18E8">
            <w:pPr>
              <w:spacing w:after="0" w:line="240" w:lineRule="auto"/>
              <w:jc w:val="left"/>
              <w:rPr>
                <w:rFonts w:cs="Arial"/>
                <w:sz w:val="17"/>
                <w:szCs w:val="17"/>
                <w:lang w:val="fr-FR" w:eastAsia="zh-CN"/>
              </w:rPr>
            </w:pPr>
            <w:r w:rsidRPr="00BA1CEF">
              <w:rPr>
                <w:rFonts w:cs="Arial"/>
                <w:sz w:val="17"/>
                <w:szCs w:val="17"/>
                <w:lang w:val="fr-FR" w:eastAsia="zh-CN"/>
              </w:rPr>
              <w:t xml:space="preserve">Tél : 76 31 </w:t>
            </w:r>
            <w:r w:rsidR="00756958" w:rsidRPr="00BA1CEF">
              <w:rPr>
                <w:rFonts w:cs="Arial"/>
                <w:sz w:val="17"/>
                <w:szCs w:val="17"/>
                <w:lang w:val="fr-FR" w:eastAsia="zh-CN"/>
              </w:rPr>
              <w:t>43 31 / 65 50 65 01</w:t>
            </w:r>
          </w:p>
          <w:p w14:paraId="5AC7E557" w14:textId="77777777" w:rsidR="00756958" w:rsidRPr="008E0431" w:rsidRDefault="00756958" w:rsidP="003C18E8">
            <w:pPr>
              <w:spacing w:after="0" w:line="240" w:lineRule="auto"/>
              <w:jc w:val="left"/>
              <w:rPr>
                <w:rFonts w:cs="Arial"/>
                <w:sz w:val="17"/>
                <w:szCs w:val="17"/>
                <w:lang w:val="fr-FR" w:eastAsia="zh-CN"/>
              </w:rPr>
            </w:pPr>
            <w:r w:rsidRPr="008E0431">
              <w:rPr>
                <w:rFonts w:cs="Arial"/>
                <w:sz w:val="17"/>
                <w:szCs w:val="17"/>
                <w:lang w:val="fr-FR" w:eastAsia="zh-CN"/>
              </w:rPr>
              <w:t xml:space="preserve">e-mail : </w:t>
            </w:r>
            <w:hyperlink r:id="rId78" w:history="1">
              <w:r w:rsidRPr="008E0431">
                <w:rPr>
                  <w:rStyle w:val="Lienhypertexte"/>
                  <w:rFonts w:cs="Arial"/>
                  <w:color w:val="auto"/>
                  <w:sz w:val="17"/>
                  <w:szCs w:val="17"/>
                  <w:lang w:val="fr-FR" w:eastAsia="zh-CN"/>
                </w:rPr>
                <w:t>otogolo_kone@yahoo.fr</w:t>
              </w:r>
            </w:hyperlink>
            <w:r w:rsidRPr="008E0431">
              <w:rPr>
                <w:rFonts w:cs="Arial"/>
                <w:sz w:val="17"/>
                <w:szCs w:val="17"/>
                <w:lang w:val="fr-FR" w:eastAsia="zh-CN"/>
              </w:rPr>
              <w:t xml:space="preserve"> </w:t>
            </w:r>
          </w:p>
        </w:tc>
      </w:tr>
      <w:tr w:rsidR="00BA1CEF" w:rsidRPr="00F6481E" w14:paraId="495484BE" w14:textId="77777777" w:rsidTr="008F27C9">
        <w:trPr>
          <w:cantSplit/>
          <w:trHeight w:val="20"/>
          <w:jc w:val="center"/>
        </w:trPr>
        <w:tc>
          <w:tcPr>
            <w:tcW w:w="1910" w:type="dxa"/>
            <w:vAlign w:val="center"/>
          </w:tcPr>
          <w:p w14:paraId="02EA57B1" w14:textId="77777777" w:rsidR="008B2B8B" w:rsidRPr="00BA1CEF" w:rsidRDefault="008B2B8B" w:rsidP="00B72A95">
            <w:pPr>
              <w:spacing w:after="0" w:line="240" w:lineRule="auto"/>
              <w:rPr>
                <w:rFonts w:cs="Arial"/>
                <w:sz w:val="17"/>
                <w:szCs w:val="17"/>
                <w:lang w:val="fr-FR" w:eastAsia="zh-CN"/>
              </w:rPr>
            </w:pPr>
            <w:r w:rsidRPr="00BA1CEF">
              <w:rPr>
                <w:rFonts w:cs="Arial"/>
                <w:sz w:val="17"/>
                <w:szCs w:val="17"/>
                <w:lang w:val="fr-FR" w:eastAsia="zh-CN"/>
              </w:rPr>
              <w:t>Paula DOBBELAAR</w:t>
            </w:r>
          </w:p>
        </w:tc>
        <w:tc>
          <w:tcPr>
            <w:tcW w:w="1978" w:type="dxa"/>
            <w:vAlign w:val="center"/>
          </w:tcPr>
          <w:p w14:paraId="7332CFFA" w14:textId="77777777" w:rsidR="008B2B8B" w:rsidRPr="00BA1CEF" w:rsidRDefault="008B2B8B" w:rsidP="00B72A95">
            <w:pPr>
              <w:spacing w:after="0" w:line="240" w:lineRule="auto"/>
              <w:rPr>
                <w:rFonts w:cs="Arial"/>
                <w:sz w:val="17"/>
                <w:szCs w:val="17"/>
                <w:lang w:val="fr-FR" w:eastAsia="zh-CN"/>
              </w:rPr>
            </w:pPr>
            <w:r w:rsidRPr="00BA1CEF">
              <w:rPr>
                <w:rFonts w:cs="Arial"/>
                <w:sz w:val="17"/>
                <w:szCs w:val="17"/>
                <w:lang w:val="fr-FR" w:eastAsia="zh-CN"/>
              </w:rPr>
              <w:t>DN Hydraulique (GIRE)</w:t>
            </w:r>
          </w:p>
        </w:tc>
        <w:tc>
          <w:tcPr>
            <w:tcW w:w="2520" w:type="dxa"/>
            <w:vAlign w:val="center"/>
          </w:tcPr>
          <w:p w14:paraId="7F61B03E" w14:textId="77777777" w:rsidR="008B2B8B" w:rsidRPr="00BA1CEF" w:rsidRDefault="008B2B8B" w:rsidP="00B72A95">
            <w:pPr>
              <w:spacing w:after="0" w:line="240" w:lineRule="auto"/>
              <w:rPr>
                <w:rFonts w:cs="Arial"/>
                <w:sz w:val="17"/>
                <w:szCs w:val="17"/>
                <w:lang w:val="fr-FR" w:eastAsia="zh-CN"/>
              </w:rPr>
            </w:pPr>
            <w:r w:rsidRPr="00BA1CEF">
              <w:rPr>
                <w:rFonts w:cs="Arial"/>
                <w:sz w:val="17"/>
                <w:szCs w:val="17"/>
                <w:lang w:val="fr-FR" w:eastAsia="zh-CN"/>
              </w:rPr>
              <w:t>CTP GIRE</w:t>
            </w:r>
          </w:p>
        </w:tc>
        <w:tc>
          <w:tcPr>
            <w:tcW w:w="3420" w:type="dxa"/>
            <w:vAlign w:val="center"/>
          </w:tcPr>
          <w:p w14:paraId="61B32632" w14:textId="77777777" w:rsidR="008B2B8B" w:rsidRPr="00BA1CEF" w:rsidRDefault="008B2B8B" w:rsidP="00B72A95">
            <w:pPr>
              <w:spacing w:after="0" w:line="240" w:lineRule="auto"/>
              <w:rPr>
                <w:rFonts w:cs="Arial"/>
                <w:sz w:val="17"/>
                <w:szCs w:val="17"/>
                <w:lang w:val="pt-PT" w:eastAsia="zh-CN"/>
              </w:rPr>
            </w:pPr>
            <w:r w:rsidRPr="00BA1CEF">
              <w:rPr>
                <w:rFonts w:cs="Arial"/>
                <w:sz w:val="17"/>
                <w:szCs w:val="17"/>
                <w:lang w:val="pt-PT" w:eastAsia="zh-CN"/>
              </w:rPr>
              <w:t>Tél : 78 41 02 09</w:t>
            </w:r>
          </w:p>
          <w:p w14:paraId="30CD26C1" w14:textId="77777777" w:rsidR="008B2B8B" w:rsidRPr="00BA1CEF" w:rsidRDefault="008B2B8B" w:rsidP="00F6481E">
            <w:pPr>
              <w:spacing w:after="0" w:line="240" w:lineRule="auto"/>
              <w:rPr>
                <w:rFonts w:cs="Arial"/>
                <w:sz w:val="17"/>
                <w:szCs w:val="17"/>
                <w:lang w:val="pt-PT" w:eastAsia="zh-CN"/>
              </w:rPr>
            </w:pPr>
            <w:r w:rsidRPr="00BA1CEF">
              <w:rPr>
                <w:rFonts w:cs="Arial"/>
                <w:sz w:val="17"/>
                <w:szCs w:val="17"/>
                <w:lang w:val="pt-PT" w:eastAsia="zh-CN"/>
              </w:rPr>
              <w:t>e-mail</w:t>
            </w:r>
            <w:r w:rsidR="00F6481E">
              <w:rPr>
                <w:rFonts w:cs="Arial"/>
                <w:sz w:val="17"/>
                <w:szCs w:val="17"/>
                <w:lang w:val="pt-PT" w:eastAsia="zh-CN"/>
              </w:rPr>
              <w:t xml:space="preserve"> : </w:t>
            </w:r>
            <w:r w:rsidR="00F6481E" w:rsidRPr="00F6481E">
              <w:rPr>
                <w:rFonts w:cs="Arial"/>
                <w:sz w:val="17"/>
                <w:szCs w:val="17"/>
                <w:lang w:val="pt-PT" w:eastAsia="zh-CN"/>
              </w:rPr>
              <w:t>pauladobbelaar@gmail.com</w:t>
            </w:r>
          </w:p>
        </w:tc>
      </w:tr>
      <w:tr w:rsidR="00BA1CEF" w:rsidRPr="00BA1CEF" w14:paraId="419B5BB8" w14:textId="77777777" w:rsidTr="008F27C9">
        <w:trPr>
          <w:cantSplit/>
          <w:trHeight w:val="20"/>
          <w:jc w:val="center"/>
        </w:trPr>
        <w:tc>
          <w:tcPr>
            <w:tcW w:w="1910" w:type="dxa"/>
            <w:vAlign w:val="center"/>
          </w:tcPr>
          <w:p w14:paraId="4A754391" w14:textId="77777777" w:rsidR="008B2B8B" w:rsidRPr="00BA1CEF" w:rsidRDefault="008B2B8B" w:rsidP="003C6885">
            <w:pPr>
              <w:spacing w:after="0" w:line="240" w:lineRule="auto"/>
              <w:rPr>
                <w:rFonts w:cs="Arial"/>
                <w:sz w:val="17"/>
                <w:szCs w:val="17"/>
                <w:lang w:val="fr-FR" w:eastAsia="zh-CN"/>
              </w:rPr>
            </w:pPr>
            <w:r w:rsidRPr="00BA1CEF">
              <w:rPr>
                <w:rFonts w:cs="Arial"/>
                <w:sz w:val="17"/>
                <w:szCs w:val="17"/>
                <w:lang w:val="fr-FR" w:eastAsia="zh-CN"/>
              </w:rPr>
              <w:t xml:space="preserve">Oumar </w:t>
            </w:r>
            <w:r w:rsidR="003C6885" w:rsidRPr="00BA1CEF">
              <w:rPr>
                <w:rFonts w:cs="Arial"/>
                <w:sz w:val="17"/>
                <w:szCs w:val="17"/>
                <w:lang w:val="fr-FR" w:eastAsia="zh-CN"/>
              </w:rPr>
              <w:t>Alassane MAIGA</w:t>
            </w:r>
          </w:p>
        </w:tc>
        <w:tc>
          <w:tcPr>
            <w:tcW w:w="1978" w:type="dxa"/>
            <w:vAlign w:val="center"/>
          </w:tcPr>
          <w:p w14:paraId="0FADE3A7" w14:textId="77777777" w:rsidR="008B2B8B" w:rsidRPr="00BA1CEF" w:rsidRDefault="008B2B8B" w:rsidP="00B72A95">
            <w:pPr>
              <w:spacing w:after="0" w:line="240" w:lineRule="auto"/>
              <w:rPr>
                <w:rFonts w:cs="Arial"/>
                <w:sz w:val="17"/>
                <w:szCs w:val="17"/>
                <w:lang w:val="fr-FR" w:eastAsia="zh-CN"/>
              </w:rPr>
            </w:pPr>
            <w:r w:rsidRPr="00BA1CEF">
              <w:rPr>
                <w:rFonts w:cs="Arial"/>
                <w:sz w:val="17"/>
                <w:szCs w:val="17"/>
                <w:lang w:val="fr-FR" w:eastAsia="zh-CN"/>
              </w:rPr>
              <w:t>DN de l’Energie (DNE)</w:t>
            </w:r>
          </w:p>
        </w:tc>
        <w:tc>
          <w:tcPr>
            <w:tcW w:w="2520" w:type="dxa"/>
            <w:vAlign w:val="center"/>
          </w:tcPr>
          <w:p w14:paraId="1D032635" w14:textId="77777777" w:rsidR="008B2B8B" w:rsidRPr="00BA1CEF" w:rsidRDefault="008B2B8B" w:rsidP="00B72A95">
            <w:pPr>
              <w:spacing w:after="0" w:line="240" w:lineRule="auto"/>
              <w:rPr>
                <w:rFonts w:cs="Arial"/>
                <w:sz w:val="17"/>
                <w:szCs w:val="17"/>
                <w:lang w:val="fr-FR" w:eastAsia="zh-CN"/>
              </w:rPr>
            </w:pPr>
          </w:p>
        </w:tc>
        <w:tc>
          <w:tcPr>
            <w:tcW w:w="3420" w:type="dxa"/>
            <w:vAlign w:val="center"/>
          </w:tcPr>
          <w:p w14:paraId="1CDD7CFF" w14:textId="77777777" w:rsidR="008B2B8B" w:rsidRPr="00BA1CEF" w:rsidRDefault="003C6885" w:rsidP="00B72A95">
            <w:pPr>
              <w:spacing w:after="0" w:line="240" w:lineRule="auto"/>
              <w:rPr>
                <w:rFonts w:cs="Arial"/>
                <w:sz w:val="17"/>
                <w:szCs w:val="17"/>
                <w:lang w:val="pt-PT" w:eastAsia="zh-CN"/>
              </w:rPr>
            </w:pPr>
            <w:r w:rsidRPr="00BA1CEF">
              <w:rPr>
                <w:rFonts w:cs="Arial"/>
                <w:sz w:val="17"/>
                <w:szCs w:val="17"/>
                <w:lang w:val="pt-PT" w:eastAsia="zh-CN"/>
              </w:rPr>
              <w:t>Tél : 69 25 18 67</w:t>
            </w:r>
          </w:p>
          <w:p w14:paraId="78110FE2" w14:textId="77777777" w:rsidR="008B2B8B" w:rsidRPr="00BA1CEF" w:rsidRDefault="008B2B8B" w:rsidP="00B72A95">
            <w:pPr>
              <w:spacing w:after="0" w:line="240" w:lineRule="auto"/>
              <w:rPr>
                <w:rFonts w:cs="Arial"/>
                <w:sz w:val="17"/>
                <w:szCs w:val="17"/>
                <w:lang w:val="pt-PT" w:eastAsia="zh-CN"/>
              </w:rPr>
            </w:pPr>
            <w:r w:rsidRPr="00BA1CEF">
              <w:rPr>
                <w:rFonts w:cs="Arial"/>
                <w:sz w:val="17"/>
                <w:szCs w:val="17"/>
                <w:lang w:val="pt-PT" w:eastAsia="zh-CN"/>
              </w:rPr>
              <w:t xml:space="preserve">e-mail : </w:t>
            </w:r>
            <w:r w:rsidR="003C6885" w:rsidRPr="00BA1CEF">
              <w:rPr>
                <w:rFonts w:cs="Arial"/>
                <w:sz w:val="17"/>
                <w:szCs w:val="17"/>
                <w:lang w:val="pt-PT" w:eastAsia="zh-CN"/>
              </w:rPr>
              <w:t>maiga_oumaral@yahoo.fr</w:t>
            </w:r>
          </w:p>
        </w:tc>
      </w:tr>
      <w:tr w:rsidR="00BA1CEF" w:rsidRPr="00BA1CEF" w14:paraId="29E2BCA6" w14:textId="77777777" w:rsidTr="008F27C9">
        <w:trPr>
          <w:cantSplit/>
          <w:trHeight w:val="20"/>
          <w:jc w:val="center"/>
        </w:trPr>
        <w:tc>
          <w:tcPr>
            <w:tcW w:w="1910" w:type="dxa"/>
            <w:vAlign w:val="center"/>
          </w:tcPr>
          <w:p w14:paraId="001A7D30" w14:textId="77777777" w:rsidR="008B2B8B" w:rsidRPr="00BA1CEF" w:rsidRDefault="008B2B8B" w:rsidP="003C18E8">
            <w:pPr>
              <w:spacing w:after="0" w:line="240" w:lineRule="auto"/>
              <w:jc w:val="left"/>
              <w:rPr>
                <w:rFonts w:cs="Arial"/>
                <w:sz w:val="17"/>
                <w:szCs w:val="17"/>
                <w:lang w:val="fr-FR" w:eastAsia="zh-CN"/>
              </w:rPr>
            </w:pPr>
            <w:r w:rsidRPr="00BA1CEF">
              <w:rPr>
                <w:rFonts w:cs="Arial"/>
                <w:sz w:val="17"/>
                <w:szCs w:val="17"/>
                <w:lang w:val="fr-FR" w:eastAsia="zh-CN"/>
              </w:rPr>
              <w:t>Abdoulaye Shérif TRAORE</w:t>
            </w:r>
          </w:p>
        </w:tc>
        <w:tc>
          <w:tcPr>
            <w:tcW w:w="1978" w:type="dxa"/>
            <w:vAlign w:val="center"/>
          </w:tcPr>
          <w:p w14:paraId="134137AA" w14:textId="77777777" w:rsidR="008B2B8B" w:rsidRPr="00BA1CEF" w:rsidRDefault="008B2B8B" w:rsidP="003C18E8">
            <w:pPr>
              <w:spacing w:after="0" w:line="240" w:lineRule="auto"/>
              <w:jc w:val="left"/>
              <w:rPr>
                <w:rFonts w:cs="Arial"/>
                <w:sz w:val="17"/>
                <w:szCs w:val="17"/>
                <w:lang w:val="fr-FR" w:eastAsia="zh-CN"/>
              </w:rPr>
            </w:pPr>
            <w:r w:rsidRPr="00BA1CEF">
              <w:rPr>
                <w:rFonts w:cs="Arial"/>
                <w:sz w:val="17"/>
                <w:szCs w:val="17"/>
                <w:lang w:val="fr-FR" w:eastAsia="zh-CN"/>
              </w:rPr>
              <w:t>DNUH (Urbanisme et Habitat)</w:t>
            </w:r>
          </w:p>
        </w:tc>
        <w:tc>
          <w:tcPr>
            <w:tcW w:w="2520" w:type="dxa"/>
            <w:vAlign w:val="center"/>
          </w:tcPr>
          <w:p w14:paraId="48012217" w14:textId="77777777" w:rsidR="008B2B8B" w:rsidRPr="00BA1CEF" w:rsidRDefault="008B2B8B" w:rsidP="003C18E8">
            <w:pPr>
              <w:spacing w:after="0" w:line="240" w:lineRule="auto"/>
              <w:jc w:val="left"/>
              <w:rPr>
                <w:rFonts w:cs="Arial"/>
                <w:sz w:val="17"/>
                <w:szCs w:val="17"/>
                <w:lang w:val="fr-FR" w:eastAsia="zh-CN"/>
              </w:rPr>
            </w:pPr>
            <w:r w:rsidRPr="00BA1CEF">
              <w:rPr>
                <w:rFonts w:cs="Arial"/>
                <w:sz w:val="17"/>
                <w:szCs w:val="17"/>
                <w:lang w:val="fr-FR" w:eastAsia="zh-CN"/>
              </w:rPr>
              <w:t>Chef de la Division Urbanisme</w:t>
            </w:r>
          </w:p>
        </w:tc>
        <w:tc>
          <w:tcPr>
            <w:tcW w:w="3420" w:type="dxa"/>
            <w:vAlign w:val="center"/>
          </w:tcPr>
          <w:p w14:paraId="6E85B070" w14:textId="77777777" w:rsidR="008B2B8B" w:rsidRPr="00BA1CEF" w:rsidRDefault="008B2B8B" w:rsidP="003C18E8">
            <w:pPr>
              <w:spacing w:after="0" w:line="240" w:lineRule="auto"/>
              <w:jc w:val="left"/>
              <w:rPr>
                <w:rFonts w:cs="Arial"/>
                <w:sz w:val="17"/>
                <w:szCs w:val="17"/>
                <w:lang w:val="fr-FR" w:eastAsia="zh-CN"/>
              </w:rPr>
            </w:pPr>
            <w:r w:rsidRPr="00BA1CEF">
              <w:rPr>
                <w:rFonts w:cs="Arial"/>
                <w:sz w:val="17"/>
                <w:szCs w:val="17"/>
                <w:lang w:val="fr-FR" w:eastAsia="zh-CN"/>
              </w:rPr>
              <w:t>Tél : 76 3</w:t>
            </w:r>
            <w:r w:rsidR="003C18E8" w:rsidRPr="00BA1CEF">
              <w:rPr>
                <w:rFonts w:cs="Arial"/>
                <w:sz w:val="17"/>
                <w:szCs w:val="17"/>
                <w:lang w:val="fr-FR" w:eastAsia="zh-CN"/>
              </w:rPr>
              <w:t>6</w:t>
            </w:r>
            <w:r w:rsidRPr="00BA1CEF">
              <w:rPr>
                <w:rFonts w:cs="Arial"/>
                <w:sz w:val="17"/>
                <w:szCs w:val="17"/>
                <w:lang w:val="fr-FR" w:eastAsia="zh-CN"/>
              </w:rPr>
              <w:t xml:space="preserve"> </w:t>
            </w:r>
            <w:r w:rsidR="003C18E8" w:rsidRPr="00BA1CEF">
              <w:rPr>
                <w:rFonts w:cs="Arial"/>
                <w:sz w:val="17"/>
                <w:szCs w:val="17"/>
                <w:lang w:val="fr-FR" w:eastAsia="zh-CN"/>
              </w:rPr>
              <w:t>05</w:t>
            </w:r>
            <w:r w:rsidRPr="00BA1CEF">
              <w:rPr>
                <w:rFonts w:cs="Arial"/>
                <w:sz w:val="17"/>
                <w:szCs w:val="17"/>
                <w:lang w:val="fr-FR" w:eastAsia="zh-CN"/>
              </w:rPr>
              <w:t xml:space="preserve"> </w:t>
            </w:r>
            <w:r w:rsidR="003C18E8" w:rsidRPr="00BA1CEF">
              <w:rPr>
                <w:rFonts w:cs="Arial"/>
                <w:sz w:val="17"/>
                <w:szCs w:val="17"/>
                <w:lang w:val="fr-FR" w:eastAsia="zh-CN"/>
              </w:rPr>
              <w:t>22</w:t>
            </w:r>
          </w:p>
          <w:p w14:paraId="19CEB42C" w14:textId="77777777" w:rsidR="008B2B8B" w:rsidRPr="00BA1CEF" w:rsidRDefault="008B2B8B" w:rsidP="003C18E8">
            <w:pPr>
              <w:spacing w:after="0" w:line="240" w:lineRule="auto"/>
              <w:jc w:val="left"/>
              <w:rPr>
                <w:rFonts w:cs="Arial"/>
                <w:sz w:val="17"/>
                <w:szCs w:val="17"/>
                <w:lang w:val="fr-FR" w:eastAsia="zh-CN"/>
              </w:rPr>
            </w:pPr>
            <w:r w:rsidRPr="00BA1CEF">
              <w:rPr>
                <w:rFonts w:cs="Arial"/>
                <w:sz w:val="17"/>
                <w:szCs w:val="17"/>
                <w:lang w:val="fr-FR" w:eastAsia="zh-CN"/>
              </w:rPr>
              <w:t>e-mail :</w:t>
            </w:r>
          </w:p>
        </w:tc>
      </w:tr>
      <w:tr w:rsidR="00BA1CEF" w:rsidRPr="00074BCA" w14:paraId="43647628" w14:textId="77777777" w:rsidTr="008F27C9">
        <w:tblPrEx>
          <w:tblLook w:val="04A0" w:firstRow="1" w:lastRow="0" w:firstColumn="1" w:lastColumn="0" w:noHBand="0" w:noVBand="1"/>
        </w:tblPrEx>
        <w:trPr>
          <w:trHeight w:val="20"/>
          <w:jc w:val="center"/>
        </w:trPr>
        <w:tc>
          <w:tcPr>
            <w:tcW w:w="1910" w:type="dxa"/>
          </w:tcPr>
          <w:p w14:paraId="7A6BFCC6" w14:textId="77777777" w:rsidR="008B2B8B" w:rsidRPr="00BA1CEF" w:rsidRDefault="008B2B8B" w:rsidP="00B72A95">
            <w:pPr>
              <w:spacing w:after="0" w:line="240" w:lineRule="auto"/>
              <w:rPr>
                <w:rFonts w:eastAsia="Georgia" w:cs="Arial"/>
                <w:sz w:val="17"/>
                <w:szCs w:val="17"/>
                <w:lang w:val="fr-FR" w:eastAsia="en-GB"/>
              </w:rPr>
            </w:pPr>
            <w:r w:rsidRPr="00BA1CEF">
              <w:rPr>
                <w:rFonts w:eastAsia="Georgia" w:cs="Arial"/>
                <w:sz w:val="17"/>
                <w:szCs w:val="17"/>
                <w:lang w:val="fr-FR" w:eastAsia="en-GB"/>
              </w:rPr>
              <w:t>Mahamadou BOIRE</w:t>
            </w:r>
          </w:p>
        </w:tc>
        <w:tc>
          <w:tcPr>
            <w:tcW w:w="1978" w:type="dxa"/>
          </w:tcPr>
          <w:p w14:paraId="1BCD3B48" w14:textId="77777777" w:rsidR="008B2B8B" w:rsidRPr="00BA1CEF" w:rsidRDefault="008B2B8B" w:rsidP="00B72A95">
            <w:pPr>
              <w:spacing w:after="0" w:line="240" w:lineRule="auto"/>
              <w:rPr>
                <w:rFonts w:eastAsia="Georgia" w:cs="Arial"/>
                <w:sz w:val="17"/>
                <w:szCs w:val="17"/>
                <w:lang w:val="fr-FR" w:eastAsia="en-GB"/>
              </w:rPr>
            </w:pPr>
            <w:r w:rsidRPr="00BA1CEF">
              <w:rPr>
                <w:rFonts w:eastAsia="Georgia" w:cs="Arial"/>
                <w:sz w:val="17"/>
                <w:szCs w:val="17"/>
                <w:lang w:val="fr-FR" w:eastAsia="en-GB"/>
              </w:rPr>
              <w:t>ANICT</w:t>
            </w:r>
          </w:p>
        </w:tc>
        <w:tc>
          <w:tcPr>
            <w:tcW w:w="2520" w:type="dxa"/>
          </w:tcPr>
          <w:p w14:paraId="2B67FCAB" w14:textId="77777777" w:rsidR="008B2B8B" w:rsidRPr="00BA1CEF" w:rsidRDefault="008B2B8B" w:rsidP="00B72A95">
            <w:pPr>
              <w:spacing w:after="0" w:line="240" w:lineRule="auto"/>
              <w:rPr>
                <w:rFonts w:eastAsia="Georgia" w:cs="Arial"/>
                <w:sz w:val="17"/>
                <w:szCs w:val="17"/>
                <w:lang w:val="fr-FR" w:eastAsia="en-GB"/>
              </w:rPr>
            </w:pPr>
            <w:r w:rsidRPr="00BA1CEF">
              <w:rPr>
                <w:rFonts w:eastAsia="Georgia" w:cs="Arial"/>
                <w:sz w:val="17"/>
                <w:szCs w:val="17"/>
                <w:lang w:val="fr-FR" w:eastAsia="en-GB"/>
              </w:rPr>
              <w:t>Directeur Général Adjoint</w:t>
            </w:r>
          </w:p>
        </w:tc>
        <w:tc>
          <w:tcPr>
            <w:tcW w:w="3420" w:type="dxa"/>
          </w:tcPr>
          <w:p w14:paraId="4F54F8D9" w14:textId="77777777" w:rsidR="008B2B8B" w:rsidRPr="00BA1CEF" w:rsidRDefault="008B2B8B" w:rsidP="00B72A95">
            <w:pPr>
              <w:spacing w:after="0" w:line="240" w:lineRule="auto"/>
              <w:rPr>
                <w:rFonts w:eastAsia="Georgia" w:cs="Arial"/>
                <w:sz w:val="17"/>
                <w:szCs w:val="17"/>
                <w:lang w:val="fr-FR" w:eastAsia="en-GB"/>
              </w:rPr>
            </w:pPr>
            <w:r w:rsidRPr="00BA1CEF">
              <w:rPr>
                <w:rFonts w:eastAsia="Georgia" w:cs="Arial"/>
                <w:sz w:val="17"/>
                <w:szCs w:val="17"/>
                <w:lang w:val="fr-FR" w:eastAsia="en-GB"/>
              </w:rPr>
              <w:t xml:space="preserve">Tél : 66 </w:t>
            </w:r>
            <w:r w:rsidR="00527C24" w:rsidRPr="00BA1CEF">
              <w:rPr>
                <w:rFonts w:eastAsia="Georgia" w:cs="Arial"/>
                <w:sz w:val="17"/>
                <w:szCs w:val="17"/>
                <w:lang w:val="fr-FR" w:eastAsia="en-GB"/>
              </w:rPr>
              <w:t>7</w:t>
            </w:r>
            <w:r w:rsidRPr="00BA1CEF">
              <w:rPr>
                <w:rFonts w:eastAsia="Georgia" w:cs="Arial"/>
                <w:sz w:val="17"/>
                <w:szCs w:val="17"/>
                <w:lang w:val="fr-FR" w:eastAsia="en-GB"/>
              </w:rPr>
              <w:t>9 51 01</w:t>
            </w:r>
          </w:p>
          <w:p w14:paraId="09DB76AD" w14:textId="77777777" w:rsidR="008B2B8B" w:rsidRPr="008E0431" w:rsidRDefault="008B2B8B" w:rsidP="00B72A95">
            <w:pPr>
              <w:spacing w:after="0" w:line="240" w:lineRule="auto"/>
              <w:rPr>
                <w:rFonts w:eastAsia="Georgia" w:cs="Arial"/>
                <w:sz w:val="17"/>
                <w:szCs w:val="17"/>
                <w:lang w:val="fr-FR" w:eastAsia="en-GB"/>
              </w:rPr>
            </w:pPr>
            <w:r w:rsidRPr="008E0431">
              <w:rPr>
                <w:rFonts w:eastAsia="Georgia" w:cs="Arial"/>
                <w:sz w:val="17"/>
                <w:szCs w:val="17"/>
                <w:lang w:val="fr-FR" w:eastAsia="en-GB"/>
              </w:rPr>
              <w:t xml:space="preserve">e-mail : </w:t>
            </w:r>
            <w:hyperlink r:id="rId79" w:history="1">
              <w:r w:rsidRPr="008E0431">
                <w:rPr>
                  <w:rStyle w:val="Lienhypertexte"/>
                  <w:rFonts w:eastAsia="Georgia" w:cs="Arial"/>
                  <w:color w:val="auto"/>
                  <w:sz w:val="17"/>
                  <w:szCs w:val="17"/>
                  <w:lang w:val="fr-FR" w:eastAsia="en-GB"/>
                </w:rPr>
                <w:t>niagay@yahoo.fr</w:t>
              </w:r>
            </w:hyperlink>
          </w:p>
        </w:tc>
      </w:tr>
      <w:tr w:rsidR="00BA1CEF" w:rsidRPr="00074BCA" w14:paraId="2A9F45B1" w14:textId="77777777" w:rsidTr="008F27C9">
        <w:tblPrEx>
          <w:tblLook w:val="04A0" w:firstRow="1" w:lastRow="0" w:firstColumn="1" w:lastColumn="0" w:noHBand="0" w:noVBand="1"/>
        </w:tblPrEx>
        <w:trPr>
          <w:trHeight w:val="20"/>
          <w:jc w:val="center"/>
        </w:trPr>
        <w:tc>
          <w:tcPr>
            <w:tcW w:w="1910" w:type="dxa"/>
          </w:tcPr>
          <w:p w14:paraId="0015B5ED" w14:textId="77777777" w:rsidR="00527C24" w:rsidRPr="00BA1CEF" w:rsidRDefault="007A153D" w:rsidP="007A153D">
            <w:pPr>
              <w:spacing w:after="0" w:line="240" w:lineRule="auto"/>
              <w:jc w:val="left"/>
              <w:rPr>
                <w:rFonts w:eastAsia="Georgia" w:cs="Arial"/>
                <w:sz w:val="17"/>
                <w:szCs w:val="17"/>
                <w:lang w:val="fr-FR" w:eastAsia="en-GB"/>
              </w:rPr>
            </w:pPr>
            <w:r w:rsidRPr="00BA1CEF">
              <w:rPr>
                <w:rFonts w:eastAsia="Georgia" w:cs="Arial"/>
                <w:sz w:val="17"/>
                <w:szCs w:val="17"/>
                <w:lang w:val="fr-FR" w:eastAsia="en-GB"/>
              </w:rPr>
              <w:t>Sory Ibrahim DIAGOURAGA</w:t>
            </w:r>
          </w:p>
        </w:tc>
        <w:tc>
          <w:tcPr>
            <w:tcW w:w="1978" w:type="dxa"/>
          </w:tcPr>
          <w:p w14:paraId="5BF0ECF5" w14:textId="77777777" w:rsidR="00527C24" w:rsidRPr="00BA1CEF" w:rsidRDefault="007A153D" w:rsidP="007A153D">
            <w:pPr>
              <w:spacing w:after="0" w:line="240" w:lineRule="auto"/>
              <w:jc w:val="left"/>
              <w:rPr>
                <w:rFonts w:eastAsia="Georgia" w:cs="Arial"/>
                <w:sz w:val="17"/>
                <w:szCs w:val="17"/>
                <w:lang w:val="fr-FR" w:eastAsia="en-GB"/>
              </w:rPr>
            </w:pPr>
            <w:r w:rsidRPr="00BA1CEF">
              <w:rPr>
                <w:rFonts w:eastAsia="Georgia" w:cs="Arial"/>
                <w:sz w:val="17"/>
                <w:szCs w:val="17"/>
                <w:lang w:val="fr-FR" w:eastAsia="en-GB"/>
              </w:rPr>
              <w:t>ANICT</w:t>
            </w:r>
          </w:p>
        </w:tc>
        <w:tc>
          <w:tcPr>
            <w:tcW w:w="2520" w:type="dxa"/>
          </w:tcPr>
          <w:p w14:paraId="44BF651F" w14:textId="77777777" w:rsidR="00527C24" w:rsidRPr="00BA1CEF" w:rsidRDefault="007A153D" w:rsidP="007A153D">
            <w:pPr>
              <w:spacing w:after="0" w:line="240" w:lineRule="auto"/>
              <w:jc w:val="left"/>
              <w:rPr>
                <w:rFonts w:eastAsia="Georgia" w:cs="Arial"/>
                <w:sz w:val="17"/>
                <w:szCs w:val="17"/>
                <w:lang w:val="fr-FR" w:eastAsia="en-GB"/>
              </w:rPr>
            </w:pPr>
            <w:r w:rsidRPr="00BA1CEF">
              <w:rPr>
                <w:rFonts w:eastAsia="Georgia" w:cs="Arial"/>
                <w:sz w:val="17"/>
                <w:szCs w:val="17"/>
                <w:lang w:val="fr-FR" w:eastAsia="en-GB"/>
              </w:rPr>
              <w:t>Chef Division Suivi &amp; Evaluation</w:t>
            </w:r>
          </w:p>
        </w:tc>
        <w:tc>
          <w:tcPr>
            <w:tcW w:w="3420" w:type="dxa"/>
          </w:tcPr>
          <w:p w14:paraId="7D972FDF" w14:textId="77777777" w:rsidR="00527C24" w:rsidRPr="00BA1CEF" w:rsidRDefault="007A153D" w:rsidP="007A153D">
            <w:pPr>
              <w:spacing w:after="0" w:line="240" w:lineRule="auto"/>
              <w:jc w:val="left"/>
              <w:rPr>
                <w:rFonts w:eastAsia="Georgia" w:cs="Arial"/>
                <w:sz w:val="17"/>
                <w:szCs w:val="17"/>
                <w:lang w:val="fr-FR" w:eastAsia="en-GB"/>
              </w:rPr>
            </w:pPr>
            <w:r w:rsidRPr="00BA1CEF">
              <w:rPr>
                <w:rFonts w:eastAsia="Georgia" w:cs="Arial"/>
                <w:sz w:val="17"/>
                <w:szCs w:val="17"/>
                <w:lang w:val="fr-FR" w:eastAsia="en-GB"/>
              </w:rPr>
              <w:t>Tél : 66 71 74 76</w:t>
            </w:r>
          </w:p>
          <w:p w14:paraId="2C148782" w14:textId="77777777" w:rsidR="007A153D" w:rsidRPr="008E0431" w:rsidRDefault="007A153D" w:rsidP="007A153D">
            <w:pPr>
              <w:spacing w:after="0" w:line="240" w:lineRule="auto"/>
              <w:jc w:val="left"/>
              <w:rPr>
                <w:rFonts w:eastAsia="Georgia" w:cs="Arial"/>
                <w:sz w:val="17"/>
                <w:szCs w:val="17"/>
                <w:lang w:val="fr-FR" w:eastAsia="en-GB"/>
              </w:rPr>
            </w:pPr>
            <w:r w:rsidRPr="008E0431">
              <w:rPr>
                <w:rFonts w:eastAsia="Georgia" w:cs="Arial"/>
                <w:sz w:val="17"/>
                <w:szCs w:val="17"/>
                <w:lang w:val="fr-FR" w:eastAsia="en-GB"/>
              </w:rPr>
              <w:t xml:space="preserve">e-mail : </w:t>
            </w:r>
            <w:hyperlink r:id="rId80" w:history="1">
              <w:r w:rsidRPr="008E0431">
                <w:rPr>
                  <w:rStyle w:val="Lienhypertexte"/>
                  <w:rFonts w:eastAsia="Georgia" w:cs="Arial"/>
                  <w:color w:val="auto"/>
                  <w:sz w:val="17"/>
                  <w:szCs w:val="17"/>
                  <w:lang w:val="fr-FR" w:eastAsia="en-GB"/>
                </w:rPr>
                <w:t>nidiagouraga@anict.com</w:t>
              </w:r>
            </w:hyperlink>
            <w:r w:rsidRPr="008E0431">
              <w:rPr>
                <w:rFonts w:eastAsia="Georgia" w:cs="Arial"/>
                <w:sz w:val="17"/>
                <w:szCs w:val="17"/>
                <w:lang w:val="fr-FR" w:eastAsia="en-GB"/>
              </w:rPr>
              <w:t xml:space="preserve"> </w:t>
            </w:r>
          </w:p>
        </w:tc>
      </w:tr>
      <w:tr w:rsidR="00BA1CEF" w:rsidRPr="00074BCA" w14:paraId="0BBE038A" w14:textId="77777777" w:rsidTr="008F27C9">
        <w:tblPrEx>
          <w:tblLook w:val="04A0" w:firstRow="1" w:lastRow="0" w:firstColumn="1" w:lastColumn="0" w:noHBand="0" w:noVBand="1"/>
        </w:tblPrEx>
        <w:trPr>
          <w:trHeight w:val="20"/>
          <w:jc w:val="center"/>
        </w:trPr>
        <w:tc>
          <w:tcPr>
            <w:tcW w:w="1910" w:type="dxa"/>
          </w:tcPr>
          <w:p w14:paraId="3B416B5F" w14:textId="77777777" w:rsidR="007A153D" w:rsidRPr="00BA1CEF" w:rsidRDefault="00AA68DA" w:rsidP="007A153D">
            <w:pPr>
              <w:spacing w:after="0" w:line="240" w:lineRule="auto"/>
              <w:jc w:val="left"/>
              <w:rPr>
                <w:rFonts w:eastAsia="Georgia" w:cs="Arial"/>
                <w:sz w:val="17"/>
                <w:szCs w:val="17"/>
                <w:lang w:val="fr-FR" w:eastAsia="en-GB"/>
              </w:rPr>
            </w:pPr>
            <w:r w:rsidRPr="00BA1CEF">
              <w:rPr>
                <w:rFonts w:eastAsia="Georgia" w:cs="Arial"/>
                <w:sz w:val="17"/>
                <w:szCs w:val="17"/>
                <w:lang w:val="fr-FR" w:eastAsia="en-GB"/>
              </w:rPr>
              <w:t>Zenebou AW</w:t>
            </w:r>
          </w:p>
        </w:tc>
        <w:tc>
          <w:tcPr>
            <w:tcW w:w="1978" w:type="dxa"/>
          </w:tcPr>
          <w:p w14:paraId="57C0EDB5" w14:textId="77777777" w:rsidR="007A153D" w:rsidRPr="00BA1CEF" w:rsidRDefault="00AA68DA" w:rsidP="007A153D">
            <w:pPr>
              <w:spacing w:after="0" w:line="240" w:lineRule="auto"/>
              <w:jc w:val="left"/>
              <w:rPr>
                <w:rFonts w:eastAsia="Georgia" w:cs="Arial"/>
                <w:sz w:val="17"/>
                <w:szCs w:val="17"/>
                <w:lang w:val="fr-FR" w:eastAsia="en-GB"/>
              </w:rPr>
            </w:pPr>
            <w:r w:rsidRPr="00BA1CEF">
              <w:rPr>
                <w:rFonts w:eastAsia="Georgia" w:cs="Arial"/>
                <w:sz w:val="17"/>
                <w:szCs w:val="17"/>
                <w:lang w:val="fr-FR" w:eastAsia="en-GB"/>
              </w:rPr>
              <w:t>ANICT</w:t>
            </w:r>
          </w:p>
        </w:tc>
        <w:tc>
          <w:tcPr>
            <w:tcW w:w="2520" w:type="dxa"/>
          </w:tcPr>
          <w:p w14:paraId="1F6C1C90" w14:textId="77777777" w:rsidR="007A153D" w:rsidRPr="00BA1CEF" w:rsidRDefault="00AA68DA" w:rsidP="007A153D">
            <w:pPr>
              <w:spacing w:after="0" w:line="240" w:lineRule="auto"/>
              <w:jc w:val="left"/>
              <w:rPr>
                <w:rFonts w:eastAsia="Georgia" w:cs="Arial"/>
                <w:sz w:val="17"/>
                <w:szCs w:val="17"/>
                <w:lang w:val="fr-FR" w:eastAsia="en-GB"/>
              </w:rPr>
            </w:pPr>
            <w:r w:rsidRPr="00BA1CEF">
              <w:rPr>
                <w:rFonts w:eastAsia="Georgia" w:cs="Arial"/>
                <w:sz w:val="17"/>
                <w:szCs w:val="17"/>
                <w:lang w:val="fr-FR" w:eastAsia="en-GB"/>
              </w:rPr>
              <w:t>Conseillère climat</w:t>
            </w:r>
          </w:p>
        </w:tc>
        <w:tc>
          <w:tcPr>
            <w:tcW w:w="3420" w:type="dxa"/>
          </w:tcPr>
          <w:p w14:paraId="119071B2" w14:textId="77777777" w:rsidR="007A153D" w:rsidRPr="00BA1CEF" w:rsidRDefault="00AA68DA" w:rsidP="007A153D">
            <w:pPr>
              <w:spacing w:after="0" w:line="240" w:lineRule="auto"/>
              <w:jc w:val="left"/>
              <w:rPr>
                <w:rFonts w:eastAsia="Georgia" w:cs="Arial"/>
                <w:sz w:val="17"/>
                <w:szCs w:val="17"/>
                <w:lang w:val="fr-FR" w:eastAsia="en-GB"/>
              </w:rPr>
            </w:pPr>
            <w:r w:rsidRPr="00BA1CEF">
              <w:rPr>
                <w:rFonts w:eastAsia="Georgia" w:cs="Arial"/>
                <w:sz w:val="17"/>
                <w:szCs w:val="17"/>
                <w:lang w:val="fr-FR" w:eastAsia="en-GB"/>
              </w:rPr>
              <w:t>Tél : 66 72 72 66</w:t>
            </w:r>
          </w:p>
          <w:p w14:paraId="6D6661AC" w14:textId="77777777" w:rsidR="00AA68DA" w:rsidRPr="008E0431" w:rsidRDefault="00AA68DA" w:rsidP="007A153D">
            <w:pPr>
              <w:spacing w:after="0" w:line="240" w:lineRule="auto"/>
              <w:jc w:val="left"/>
              <w:rPr>
                <w:rFonts w:eastAsia="Georgia" w:cs="Arial"/>
                <w:sz w:val="17"/>
                <w:szCs w:val="17"/>
                <w:lang w:val="fr-FR" w:eastAsia="en-GB"/>
              </w:rPr>
            </w:pPr>
            <w:r w:rsidRPr="008E0431">
              <w:rPr>
                <w:rFonts w:eastAsia="Georgia" w:cs="Arial"/>
                <w:sz w:val="17"/>
                <w:szCs w:val="17"/>
                <w:lang w:val="fr-FR" w:eastAsia="en-GB"/>
              </w:rPr>
              <w:t xml:space="preserve">e-mail : </w:t>
            </w:r>
            <w:hyperlink r:id="rId81" w:history="1">
              <w:r w:rsidRPr="008E0431">
                <w:rPr>
                  <w:rStyle w:val="Lienhypertexte"/>
                  <w:rFonts w:eastAsia="Georgia" w:cs="Arial"/>
                  <w:color w:val="auto"/>
                  <w:sz w:val="17"/>
                  <w:szCs w:val="17"/>
                  <w:lang w:val="fr-FR" w:eastAsia="en-GB"/>
                </w:rPr>
                <w:t>azenbou@hotmail.com</w:t>
              </w:r>
            </w:hyperlink>
            <w:r w:rsidRPr="008E0431">
              <w:rPr>
                <w:rFonts w:eastAsia="Georgia" w:cs="Arial"/>
                <w:sz w:val="17"/>
                <w:szCs w:val="17"/>
                <w:lang w:val="fr-FR" w:eastAsia="en-GB"/>
              </w:rPr>
              <w:t xml:space="preserve"> </w:t>
            </w:r>
          </w:p>
        </w:tc>
      </w:tr>
      <w:tr w:rsidR="00BA1CEF" w:rsidRPr="00074BCA" w14:paraId="310D271B" w14:textId="77777777" w:rsidTr="008F27C9">
        <w:tblPrEx>
          <w:tblLook w:val="04A0" w:firstRow="1" w:lastRow="0" w:firstColumn="1" w:lastColumn="0" w:noHBand="0" w:noVBand="1"/>
        </w:tblPrEx>
        <w:trPr>
          <w:trHeight w:val="20"/>
          <w:jc w:val="center"/>
        </w:trPr>
        <w:tc>
          <w:tcPr>
            <w:tcW w:w="1910" w:type="dxa"/>
          </w:tcPr>
          <w:p w14:paraId="139A88F2" w14:textId="77777777" w:rsidR="00DF6524" w:rsidRPr="00BA1CEF" w:rsidRDefault="00DF6524" w:rsidP="007A153D">
            <w:pPr>
              <w:spacing w:after="0" w:line="240" w:lineRule="auto"/>
              <w:jc w:val="left"/>
              <w:rPr>
                <w:rFonts w:eastAsia="Georgia" w:cs="Arial"/>
                <w:sz w:val="17"/>
                <w:szCs w:val="17"/>
                <w:lang w:val="fr-FR" w:eastAsia="en-GB"/>
              </w:rPr>
            </w:pPr>
            <w:r w:rsidRPr="00BA1CEF">
              <w:rPr>
                <w:rFonts w:eastAsia="Georgia" w:cs="Arial"/>
                <w:sz w:val="17"/>
                <w:szCs w:val="17"/>
                <w:lang w:val="fr-FR" w:eastAsia="en-GB"/>
              </w:rPr>
              <w:t>Baba Faradji N’DIAYE</w:t>
            </w:r>
          </w:p>
        </w:tc>
        <w:tc>
          <w:tcPr>
            <w:tcW w:w="1978" w:type="dxa"/>
          </w:tcPr>
          <w:p w14:paraId="2A846E27" w14:textId="77777777" w:rsidR="00DF6524" w:rsidRPr="00BA1CEF" w:rsidRDefault="00DF6524" w:rsidP="007A153D">
            <w:pPr>
              <w:spacing w:after="0" w:line="240" w:lineRule="auto"/>
              <w:jc w:val="left"/>
              <w:rPr>
                <w:rFonts w:eastAsia="Georgia" w:cs="Arial"/>
                <w:sz w:val="17"/>
                <w:szCs w:val="17"/>
                <w:lang w:val="fr-FR" w:eastAsia="en-GB"/>
              </w:rPr>
            </w:pPr>
            <w:r w:rsidRPr="00BA1CEF">
              <w:rPr>
                <w:rFonts w:eastAsia="Georgia" w:cs="Arial"/>
                <w:sz w:val="17"/>
                <w:szCs w:val="17"/>
                <w:lang w:val="fr-FR" w:eastAsia="en-GB"/>
              </w:rPr>
              <w:t>ABFN</w:t>
            </w:r>
          </w:p>
        </w:tc>
        <w:tc>
          <w:tcPr>
            <w:tcW w:w="2520" w:type="dxa"/>
          </w:tcPr>
          <w:p w14:paraId="35829786" w14:textId="77777777" w:rsidR="00DF6524" w:rsidRPr="00BA1CEF" w:rsidRDefault="00DF6524" w:rsidP="007A153D">
            <w:pPr>
              <w:spacing w:after="0" w:line="240" w:lineRule="auto"/>
              <w:jc w:val="left"/>
              <w:rPr>
                <w:rFonts w:eastAsia="Georgia" w:cs="Arial"/>
                <w:sz w:val="17"/>
                <w:szCs w:val="17"/>
                <w:lang w:val="fr-FR" w:eastAsia="en-GB"/>
              </w:rPr>
            </w:pPr>
            <w:r w:rsidRPr="00BA1CEF">
              <w:rPr>
                <w:rFonts w:eastAsia="Georgia" w:cs="Arial"/>
                <w:sz w:val="17"/>
                <w:szCs w:val="17"/>
                <w:lang w:val="fr-FR" w:eastAsia="en-GB"/>
              </w:rPr>
              <w:t xml:space="preserve">Chef </w:t>
            </w:r>
            <w:r w:rsidR="00C97090" w:rsidRPr="00BA1CEF">
              <w:rPr>
                <w:rFonts w:eastAsia="Georgia" w:cs="Arial"/>
                <w:sz w:val="17"/>
                <w:szCs w:val="17"/>
                <w:lang w:val="fr-FR" w:eastAsia="en-GB"/>
              </w:rPr>
              <w:t>département Protection</w:t>
            </w:r>
            <w:r w:rsidRPr="00BA1CEF">
              <w:rPr>
                <w:rFonts w:eastAsia="Georgia" w:cs="Arial"/>
                <w:sz w:val="17"/>
                <w:szCs w:val="17"/>
                <w:lang w:val="fr-FR" w:eastAsia="en-GB"/>
              </w:rPr>
              <w:t xml:space="preserve"> et Gestion des Ecosystèmes</w:t>
            </w:r>
          </w:p>
        </w:tc>
        <w:tc>
          <w:tcPr>
            <w:tcW w:w="3420" w:type="dxa"/>
          </w:tcPr>
          <w:p w14:paraId="6DFBC2D9" w14:textId="77777777" w:rsidR="00DF6524" w:rsidRPr="00BA1CEF" w:rsidRDefault="00DF6524" w:rsidP="00DF6524">
            <w:pPr>
              <w:spacing w:after="0" w:line="240" w:lineRule="auto"/>
              <w:jc w:val="left"/>
              <w:rPr>
                <w:rFonts w:eastAsia="Georgia" w:cs="Arial"/>
                <w:sz w:val="17"/>
                <w:szCs w:val="17"/>
                <w:lang w:val="fr-FR" w:eastAsia="en-GB"/>
              </w:rPr>
            </w:pPr>
            <w:r w:rsidRPr="00BA1CEF">
              <w:rPr>
                <w:rFonts w:eastAsia="Georgia" w:cs="Arial"/>
                <w:sz w:val="17"/>
                <w:szCs w:val="17"/>
                <w:lang w:val="fr-FR" w:eastAsia="en-GB"/>
              </w:rPr>
              <w:t>Tél : 76 46 09 83 / 64 77 32 35</w:t>
            </w:r>
          </w:p>
          <w:p w14:paraId="6E6EF07F" w14:textId="77777777" w:rsidR="00DF6524" w:rsidRPr="008E0431" w:rsidRDefault="00DF6524" w:rsidP="00DF6524">
            <w:pPr>
              <w:spacing w:after="0" w:line="240" w:lineRule="auto"/>
              <w:jc w:val="left"/>
              <w:rPr>
                <w:rFonts w:eastAsia="Georgia" w:cs="Arial"/>
                <w:sz w:val="17"/>
                <w:szCs w:val="17"/>
                <w:lang w:val="fr-FR" w:eastAsia="en-GB"/>
              </w:rPr>
            </w:pPr>
            <w:r w:rsidRPr="008E0431">
              <w:rPr>
                <w:rFonts w:eastAsia="Georgia" w:cs="Arial"/>
                <w:sz w:val="17"/>
                <w:szCs w:val="17"/>
                <w:lang w:val="fr-FR" w:eastAsia="en-GB"/>
              </w:rPr>
              <w:t xml:space="preserve">e-mail : baba_faradji@yahoo.fr  </w:t>
            </w:r>
          </w:p>
        </w:tc>
      </w:tr>
      <w:tr w:rsidR="00BA1CEF" w:rsidRPr="00074BCA" w14:paraId="00D8D834" w14:textId="77777777" w:rsidTr="008F27C9">
        <w:tblPrEx>
          <w:tblLook w:val="04A0" w:firstRow="1" w:lastRow="0" w:firstColumn="1" w:lastColumn="0" w:noHBand="0" w:noVBand="1"/>
        </w:tblPrEx>
        <w:trPr>
          <w:trHeight w:val="20"/>
          <w:jc w:val="center"/>
        </w:trPr>
        <w:tc>
          <w:tcPr>
            <w:tcW w:w="1910" w:type="dxa"/>
          </w:tcPr>
          <w:p w14:paraId="60A21118" w14:textId="77777777" w:rsidR="00367207" w:rsidRPr="00BA1CEF" w:rsidRDefault="00367207" w:rsidP="007A153D">
            <w:pPr>
              <w:spacing w:after="0" w:line="240" w:lineRule="auto"/>
              <w:jc w:val="left"/>
              <w:rPr>
                <w:rFonts w:eastAsia="Georgia" w:cs="Arial"/>
                <w:sz w:val="17"/>
                <w:szCs w:val="17"/>
                <w:lang w:val="fr-FR" w:eastAsia="en-GB"/>
              </w:rPr>
            </w:pPr>
            <w:r w:rsidRPr="00BA1CEF">
              <w:rPr>
                <w:rFonts w:eastAsia="Georgia" w:cs="Arial"/>
                <w:sz w:val="17"/>
                <w:szCs w:val="17"/>
                <w:lang w:val="fr-FR" w:eastAsia="en-GB"/>
              </w:rPr>
              <w:t>Youssouf COULIBALY</w:t>
            </w:r>
          </w:p>
        </w:tc>
        <w:tc>
          <w:tcPr>
            <w:tcW w:w="1978" w:type="dxa"/>
          </w:tcPr>
          <w:p w14:paraId="4476C133" w14:textId="77777777" w:rsidR="00367207" w:rsidRPr="00BA1CEF" w:rsidRDefault="00367207" w:rsidP="007A153D">
            <w:pPr>
              <w:spacing w:after="0" w:line="240" w:lineRule="auto"/>
              <w:jc w:val="left"/>
              <w:rPr>
                <w:rFonts w:eastAsia="Georgia" w:cs="Arial"/>
                <w:sz w:val="17"/>
                <w:szCs w:val="17"/>
                <w:lang w:val="fr-FR" w:eastAsia="en-GB"/>
              </w:rPr>
            </w:pPr>
            <w:r w:rsidRPr="00BA1CEF">
              <w:rPr>
                <w:rFonts w:eastAsia="Georgia" w:cs="Arial"/>
                <w:sz w:val="17"/>
                <w:szCs w:val="17"/>
                <w:lang w:val="fr-FR" w:eastAsia="en-GB"/>
              </w:rPr>
              <w:t>ABFN</w:t>
            </w:r>
          </w:p>
        </w:tc>
        <w:tc>
          <w:tcPr>
            <w:tcW w:w="2520" w:type="dxa"/>
          </w:tcPr>
          <w:p w14:paraId="1ADEA88E" w14:textId="77777777" w:rsidR="00367207" w:rsidRPr="00BA1CEF" w:rsidRDefault="00367207" w:rsidP="007A153D">
            <w:pPr>
              <w:spacing w:after="0" w:line="240" w:lineRule="auto"/>
              <w:jc w:val="left"/>
              <w:rPr>
                <w:rFonts w:eastAsia="Georgia" w:cs="Arial"/>
                <w:sz w:val="17"/>
                <w:szCs w:val="17"/>
                <w:lang w:val="fr-FR" w:eastAsia="en-GB"/>
              </w:rPr>
            </w:pPr>
            <w:r w:rsidRPr="00BA1CEF">
              <w:rPr>
                <w:rFonts w:eastAsia="Georgia" w:cs="Arial"/>
                <w:sz w:val="17"/>
                <w:szCs w:val="17"/>
                <w:lang w:val="fr-FR" w:eastAsia="en-GB"/>
              </w:rPr>
              <w:t>Chef département Partenariat et Mobilisation des Ressources Forestières</w:t>
            </w:r>
          </w:p>
        </w:tc>
        <w:tc>
          <w:tcPr>
            <w:tcW w:w="3420" w:type="dxa"/>
          </w:tcPr>
          <w:p w14:paraId="6AF5200E" w14:textId="77777777" w:rsidR="00367207" w:rsidRPr="00BA1CEF" w:rsidRDefault="00367207" w:rsidP="007A153D">
            <w:pPr>
              <w:spacing w:after="0" w:line="240" w:lineRule="auto"/>
              <w:jc w:val="left"/>
              <w:rPr>
                <w:rFonts w:eastAsia="Georgia" w:cs="Arial"/>
                <w:sz w:val="17"/>
                <w:szCs w:val="17"/>
                <w:lang w:val="fr-FR" w:eastAsia="en-GB"/>
              </w:rPr>
            </w:pPr>
            <w:r w:rsidRPr="00BA1CEF">
              <w:rPr>
                <w:rFonts w:eastAsia="Georgia" w:cs="Arial"/>
                <w:sz w:val="17"/>
                <w:szCs w:val="17"/>
                <w:lang w:val="fr-FR" w:eastAsia="en-GB"/>
              </w:rPr>
              <w:t xml:space="preserve">Tél : </w:t>
            </w:r>
            <w:r w:rsidR="00AF1FE1" w:rsidRPr="00BA1CEF">
              <w:rPr>
                <w:rFonts w:eastAsia="Georgia" w:cs="Arial"/>
                <w:sz w:val="17"/>
                <w:szCs w:val="17"/>
                <w:lang w:val="fr-FR" w:eastAsia="en-GB"/>
              </w:rPr>
              <w:t>76 43 97 74 / 65 01</w:t>
            </w:r>
          </w:p>
          <w:p w14:paraId="58DBBC6F" w14:textId="77777777" w:rsidR="00DF6524" w:rsidRPr="008E0431" w:rsidRDefault="00DF6524" w:rsidP="007A153D">
            <w:pPr>
              <w:spacing w:after="0" w:line="240" w:lineRule="auto"/>
              <w:jc w:val="left"/>
              <w:rPr>
                <w:rFonts w:eastAsia="Georgia" w:cs="Arial"/>
                <w:sz w:val="17"/>
                <w:szCs w:val="17"/>
                <w:lang w:val="fr-FR" w:eastAsia="en-GB"/>
              </w:rPr>
            </w:pPr>
            <w:r w:rsidRPr="008E0431">
              <w:rPr>
                <w:rFonts w:eastAsia="Georgia" w:cs="Arial"/>
                <w:sz w:val="17"/>
                <w:szCs w:val="17"/>
                <w:lang w:val="fr-FR" w:eastAsia="en-GB"/>
              </w:rPr>
              <w:t>e-mail : youcoulibaly1@gmail.com</w:t>
            </w:r>
          </w:p>
        </w:tc>
      </w:tr>
      <w:tr w:rsidR="00BA1CEF" w:rsidRPr="00074BCA" w14:paraId="3FEA3795" w14:textId="77777777" w:rsidTr="008F27C9">
        <w:tblPrEx>
          <w:tblLook w:val="04A0" w:firstRow="1" w:lastRow="0" w:firstColumn="1" w:lastColumn="0" w:noHBand="0" w:noVBand="1"/>
        </w:tblPrEx>
        <w:trPr>
          <w:trHeight w:val="20"/>
          <w:jc w:val="center"/>
        </w:trPr>
        <w:tc>
          <w:tcPr>
            <w:tcW w:w="1910" w:type="dxa"/>
          </w:tcPr>
          <w:p w14:paraId="19EAE942" w14:textId="77777777" w:rsidR="00367207" w:rsidRPr="00BA1CEF" w:rsidRDefault="00DF6524" w:rsidP="007A153D">
            <w:pPr>
              <w:spacing w:after="0" w:line="240" w:lineRule="auto"/>
              <w:jc w:val="left"/>
              <w:rPr>
                <w:rFonts w:eastAsia="Georgia" w:cs="Arial"/>
                <w:sz w:val="17"/>
                <w:szCs w:val="17"/>
                <w:lang w:val="de-DE" w:eastAsia="en-GB"/>
              </w:rPr>
            </w:pPr>
            <w:r w:rsidRPr="00BA1CEF">
              <w:rPr>
                <w:rFonts w:eastAsia="Georgia" w:cs="Arial"/>
                <w:sz w:val="17"/>
                <w:szCs w:val="17"/>
                <w:lang w:val="de-DE" w:eastAsia="en-GB"/>
              </w:rPr>
              <w:t>Boubakar Sidiki BERTHE</w:t>
            </w:r>
          </w:p>
        </w:tc>
        <w:tc>
          <w:tcPr>
            <w:tcW w:w="1978" w:type="dxa"/>
          </w:tcPr>
          <w:p w14:paraId="64033C74" w14:textId="77777777" w:rsidR="00367207" w:rsidRPr="00BA1CEF" w:rsidRDefault="00DF6524" w:rsidP="007A153D">
            <w:pPr>
              <w:spacing w:after="0" w:line="240" w:lineRule="auto"/>
              <w:jc w:val="left"/>
              <w:rPr>
                <w:rFonts w:eastAsia="Georgia" w:cs="Arial"/>
                <w:sz w:val="17"/>
                <w:szCs w:val="17"/>
                <w:lang w:val="de-DE" w:eastAsia="en-GB"/>
              </w:rPr>
            </w:pPr>
            <w:r w:rsidRPr="00BA1CEF">
              <w:rPr>
                <w:rFonts w:eastAsia="Georgia" w:cs="Arial"/>
                <w:sz w:val="17"/>
                <w:szCs w:val="17"/>
                <w:lang w:val="de-DE" w:eastAsia="en-GB"/>
              </w:rPr>
              <w:t>ABFN</w:t>
            </w:r>
          </w:p>
        </w:tc>
        <w:tc>
          <w:tcPr>
            <w:tcW w:w="2520" w:type="dxa"/>
          </w:tcPr>
          <w:p w14:paraId="6B330B50" w14:textId="77777777" w:rsidR="00367207" w:rsidRPr="00BA1CEF" w:rsidRDefault="00DF6524" w:rsidP="007A153D">
            <w:pPr>
              <w:spacing w:after="0" w:line="240" w:lineRule="auto"/>
              <w:jc w:val="left"/>
              <w:rPr>
                <w:rFonts w:eastAsia="Georgia" w:cs="Arial"/>
                <w:sz w:val="17"/>
                <w:szCs w:val="17"/>
                <w:lang w:val="fr-FR" w:eastAsia="en-GB"/>
              </w:rPr>
            </w:pPr>
            <w:r w:rsidRPr="00BA1CEF">
              <w:rPr>
                <w:rFonts w:eastAsia="Georgia" w:cs="Arial"/>
                <w:sz w:val="17"/>
                <w:szCs w:val="17"/>
                <w:lang w:val="fr-FR" w:eastAsia="en-GB"/>
              </w:rPr>
              <w:t xml:space="preserve">Chef bureau </w:t>
            </w:r>
            <w:r w:rsidR="00C97090" w:rsidRPr="00BA1CEF">
              <w:rPr>
                <w:rFonts w:eastAsia="Georgia" w:cs="Arial"/>
                <w:sz w:val="17"/>
                <w:szCs w:val="17"/>
                <w:lang w:val="fr-FR" w:eastAsia="en-GB"/>
              </w:rPr>
              <w:t>statistiques -</w:t>
            </w:r>
            <w:r w:rsidRPr="00BA1CEF">
              <w:rPr>
                <w:rFonts w:eastAsia="Georgia" w:cs="Arial"/>
                <w:sz w:val="17"/>
                <w:szCs w:val="17"/>
                <w:lang w:val="fr-FR" w:eastAsia="en-GB"/>
              </w:rPr>
              <w:t xml:space="preserve"> Suivi Evaluation et Prospective</w:t>
            </w:r>
          </w:p>
        </w:tc>
        <w:tc>
          <w:tcPr>
            <w:tcW w:w="3420" w:type="dxa"/>
          </w:tcPr>
          <w:p w14:paraId="2045E411" w14:textId="77777777" w:rsidR="00367207" w:rsidRPr="00BA1CEF" w:rsidRDefault="00DF6524" w:rsidP="007A153D">
            <w:pPr>
              <w:spacing w:after="0" w:line="240" w:lineRule="auto"/>
              <w:jc w:val="left"/>
              <w:rPr>
                <w:rFonts w:eastAsia="Georgia" w:cs="Arial"/>
                <w:sz w:val="17"/>
                <w:szCs w:val="17"/>
                <w:lang w:val="fr-FR" w:eastAsia="en-GB"/>
              </w:rPr>
            </w:pPr>
            <w:r w:rsidRPr="00BA1CEF">
              <w:rPr>
                <w:rFonts w:eastAsia="Georgia" w:cs="Arial"/>
                <w:sz w:val="17"/>
                <w:szCs w:val="17"/>
                <w:lang w:val="fr-FR" w:eastAsia="en-GB"/>
              </w:rPr>
              <w:t>Tél : 63 49 25 80</w:t>
            </w:r>
          </w:p>
          <w:p w14:paraId="344B1826" w14:textId="77777777" w:rsidR="00DF6524" w:rsidRPr="008E0431" w:rsidRDefault="00DF6524" w:rsidP="007A153D">
            <w:pPr>
              <w:spacing w:after="0" w:line="240" w:lineRule="auto"/>
              <w:jc w:val="left"/>
              <w:rPr>
                <w:rFonts w:eastAsia="Georgia" w:cs="Arial"/>
                <w:sz w:val="17"/>
                <w:szCs w:val="17"/>
                <w:lang w:val="fr-FR" w:eastAsia="en-GB"/>
              </w:rPr>
            </w:pPr>
            <w:r w:rsidRPr="008E0431">
              <w:rPr>
                <w:rFonts w:eastAsia="Georgia" w:cs="Arial"/>
                <w:sz w:val="17"/>
                <w:szCs w:val="17"/>
                <w:lang w:val="fr-FR" w:eastAsia="en-GB"/>
              </w:rPr>
              <w:t xml:space="preserve">e-mail : </w:t>
            </w:r>
            <w:hyperlink r:id="rId82" w:history="1">
              <w:r w:rsidR="008F27C9" w:rsidRPr="008E0431">
                <w:rPr>
                  <w:rStyle w:val="Lienhypertexte"/>
                  <w:rFonts w:eastAsia="Georgia" w:cs="Arial"/>
                  <w:color w:val="auto"/>
                  <w:sz w:val="17"/>
                  <w:szCs w:val="17"/>
                  <w:lang w:val="fr-FR" w:eastAsia="en-GB"/>
                </w:rPr>
                <w:t>berthebouba@yahoo.fr</w:t>
              </w:r>
            </w:hyperlink>
            <w:r w:rsidR="008F27C9" w:rsidRPr="008E0431">
              <w:rPr>
                <w:rFonts w:eastAsia="Georgia" w:cs="Arial"/>
                <w:sz w:val="17"/>
                <w:szCs w:val="17"/>
                <w:lang w:val="fr-FR" w:eastAsia="en-GB"/>
              </w:rPr>
              <w:t xml:space="preserve"> </w:t>
            </w:r>
          </w:p>
        </w:tc>
      </w:tr>
      <w:tr w:rsidR="00BA1CEF" w:rsidRPr="00BA1CEF" w14:paraId="69BFACD2" w14:textId="77777777" w:rsidTr="004563C1">
        <w:tblPrEx>
          <w:tblLook w:val="04A0" w:firstRow="1" w:lastRow="0" w:firstColumn="1" w:lastColumn="0" w:noHBand="0" w:noVBand="1"/>
        </w:tblPrEx>
        <w:trPr>
          <w:trHeight w:val="20"/>
          <w:jc w:val="center"/>
        </w:trPr>
        <w:tc>
          <w:tcPr>
            <w:tcW w:w="1910" w:type="dxa"/>
          </w:tcPr>
          <w:p w14:paraId="17631770" w14:textId="77777777" w:rsidR="00C97090" w:rsidRPr="00BA1CEF" w:rsidRDefault="00C97090" w:rsidP="004563C1">
            <w:pPr>
              <w:spacing w:after="0" w:line="240" w:lineRule="auto"/>
              <w:rPr>
                <w:rFonts w:cs="Arial"/>
                <w:sz w:val="17"/>
                <w:szCs w:val="17"/>
                <w:lang w:val="fr-FR" w:eastAsia="zh-CN"/>
              </w:rPr>
            </w:pPr>
            <w:r w:rsidRPr="00BA1CEF">
              <w:rPr>
                <w:rFonts w:cs="Arial"/>
                <w:sz w:val="17"/>
                <w:szCs w:val="17"/>
                <w:lang w:val="fr-FR" w:eastAsia="zh-CN"/>
              </w:rPr>
              <w:t>Djribrill SIDIBE</w:t>
            </w:r>
          </w:p>
        </w:tc>
        <w:tc>
          <w:tcPr>
            <w:tcW w:w="1978" w:type="dxa"/>
          </w:tcPr>
          <w:p w14:paraId="4F86E207" w14:textId="77777777" w:rsidR="00C97090" w:rsidRPr="00BA1CEF" w:rsidRDefault="00C97090" w:rsidP="004563C1">
            <w:pPr>
              <w:spacing w:after="0" w:line="240" w:lineRule="auto"/>
              <w:rPr>
                <w:rFonts w:cs="Arial"/>
                <w:sz w:val="17"/>
                <w:szCs w:val="17"/>
                <w:lang w:val="fr-FR" w:eastAsia="zh-CN"/>
              </w:rPr>
            </w:pPr>
            <w:r w:rsidRPr="00BA1CEF">
              <w:rPr>
                <w:rFonts w:cs="Arial"/>
                <w:sz w:val="17"/>
                <w:szCs w:val="17"/>
                <w:lang w:val="fr-FR" w:eastAsia="zh-CN"/>
              </w:rPr>
              <w:t>District Bamako</w:t>
            </w:r>
          </w:p>
        </w:tc>
        <w:tc>
          <w:tcPr>
            <w:tcW w:w="2520" w:type="dxa"/>
          </w:tcPr>
          <w:p w14:paraId="049A052E" w14:textId="77777777" w:rsidR="00C97090" w:rsidRPr="00BA1CEF" w:rsidRDefault="00C97090" w:rsidP="004563C1">
            <w:pPr>
              <w:spacing w:after="0" w:line="240" w:lineRule="auto"/>
              <w:rPr>
                <w:rFonts w:cs="Arial"/>
                <w:sz w:val="17"/>
                <w:szCs w:val="17"/>
                <w:lang w:val="fr-FR" w:eastAsia="zh-CN"/>
              </w:rPr>
            </w:pPr>
            <w:r w:rsidRPr="00BA1CEF">
              <w:rPr>
                <w:rFonts w:cs="Arial"/>
                <w:sz w:val="17"/>
                <w:szCs w:val="17"/>
                <w:lang w:val="fr-FR" w:eastAsia="zh-CN"/>
              </w:rPr>
              <w:t>Directeur de la circulation</w:t>
            </w:r>
          </w:p>
        </w:tc>
        <w:tc>
          <w:tcPr>
            <w:tcW w:w="3420" w:type="dxa"/>
          </w:tcPr>
          <w:p w14:paraId="23C57900" w14:textId="77777777" w:rsidR="00C97090" w:rsidRPr="00983A2A" w:rsidRDefault="00736FE4" w:rsidP="004563C1">
            <w:pPr>
              <w:spacing w:after="0" w:line="240" w:lineRule="auto"/>
              <w:rPr>
                <w:rFonts w:cs="Arial"/>
                <w:sz w:val="17"/>
                <w:szCs w:val="17"/>
                <w:lang w:val="fr-FR" w:eastAsia="zh-CN"/>
              </w:rPr>
            </w:pPr>
            <w:hyperlink r:id="rId83" w:history="1">
              <w:r w:rsidR="00C97090" w:rsidRPr="00983A2A">
                <w:rPr>
                  <w:rStyle w:val="Lienhypertexte"/>
                  <w:rFonts w:cs="Arial"/>
                  <w:color w:val="auto"/>
                  <w:sz w:val="17"/>
                  <w:szCs w:val="17"/>
                  <w:lang w:val="fr-FR" w:eastAsia="zh-CN"/>
                </w:rPr>
                <w:t>djibril_a_sidibe@yahoo.fr</w:t>
              </w:r>
            </w:hyperlink>
            <w:r w:rsidR="00C97090" w:rsidRPr="00983A2A">
              <w:rPr>
                <w:rFonts w:cs="Arial"/>
                <w:sz w:val="17"/>
                <w:szCs w:val="17"/>
                <w:lang w:val="fr-FR" w:eastAsia="zh-CN"/>
              </w:rPr>
              <w:t xml:space="preserve"> </w:t>
            </w:r>
          </w:p>
        </w:tc>
      </w:tr>
      <w:tr w:rsidR="00BA1CEF" w:rsidRPr="00BA1CEF" w14:paraId="4C18BF15" w14:textId="77777777" w:rsidTr="004563C1">
        <w:tblPrEx>
          <w:tblLook w:val="04A0" w:firstRow="1" w:lastRow="0" w:firstColumn="1" w:lastColumn="0" w:noHBand="0" w:noVBand="1"/>
        </w:tblPrEx>
        <w:trPr>
          <w:trHeight w:val="20"/>
          <w:jc w:val="center"/>
        </w:trPr>
        <w:tc>
          <w:tcPr>
            <w:tcW w:w="1910" w:type="dxa"/>
          </w:tcPr>
          <w:p w14:paraId="7955DA7D" w14:textId="77777777" w:rsidR="00C97090" w:rsidRPr="00BA1CEF" w:rsidRDefault="00C97090" w:rsidP="004563C1">
            <w:pPr>
              <w:spacing w:after="0" w:line="240" w:lineRule="auto"/>
              <w:rPr>
                <w:rFonts w:cs="Arial"/>
                <w:sz w:val="17"/>
                <w:szCs w:val="17"/>
                <w:lang w:val="fr-FR" w:eastAsia="zh-CN"/>
              </w:rPr>
            </w:pPr>
            <w:r w:rsidRPr="00BA1CEF">
              <w:rPr>
                <w:rFonts w:cs="Arial"/>
                <w:sz w:val="17"/>
                <w:szCs w:val="17"/>
                <w:lang w:val="fr-FR" w:eastAsia="zh-CN"/>
              </w:rPr>
              <w:t>Modibo ZERBO</w:t>
            </w:r>
          </w:p>
        </w:tc>
        <w:tc>
          <w:tcPr>
            <w:tcW w:w="1978" w:type="dxa"/>
          </w:tcPr>
          <w:p w14:paraId="6DABE452" w14:textId="77777777" w:rsidR="00C97090" w:rsidRPr="00BA1CEF" w:rsidRDefault="00C97090" w:rsidP="004563C1">
            <w:pPr>
              <w:spacing w:after="0" w:line="240" w:lineRule="auto"/>
              <w:rPr>
                <w:rFonts w:cs="Arial"/>
                <w:sz w:val="17"/>
                <w:szCs w:val="17"/>
                <w:lang w:val="fr-FR" w:eastAsia="zh-CN"/>
              </w:rPr>
            </w:pPr>
            <w:r w:rsidRPr="00BA1CEF">
              <w:rPr>
                <w:rFonts w:cs="Arial"/>
                <w:sz w:val="17"/>
                <w:szCs w:val="17"/>
                <w:lang w:val="fr-FR" w:eastAsia="zh-CN"/>
              </w:rPr>
              <w:t>District Bamako</w:t>
            </w:r>
          </w:p>
        </w:tc>
        <w:tc>
          <w:tcPr>
            <w:tcW w:w="2520" w:type="dxa"/>
          </w:tcPr>
          <w:p w14:paraId="766301D1" w14:textId="77777777" w:rsidR="00C97090" w:rsidRPr="00BA1CEF" w:rsidRDefault="00C97090" w:rsidP="004563C1">
            <w:pPr>
              <w:spacing w:after="0" w:line="240" w:lineRule="auto"/>
              <w:rPr>
                <w:rFonts w:cs="Arial"/>
                <w:sz w:val="17"/>
                <w:szCs w:val="17"/>
                <w:lang w:val="fr-FR" w:eastAsia="zh-CN"/>
              </w:rPr>
            </w:pPr>
            <w:r w:rsidRPr="00BA1CEF">
              <w:rPr>
                <w:rFonts w:cs="Arial"/>
                <w:sz w:val="17"/>
                <w:szCs w:val="17"/>
                <w:lang w:val="fr-FR" w:eastAsia="zh-CN"/>
              </w:rPr>
              <w:t>Directeur de la circulation</w:t>
            </w:r>
          </w:p>
        </w:tc>
        <w:tc>
          <w:tcPr>
            <w:tcW w:w="3420" w:type="dxa"/>
          </w:tcPr>
          <w:p w14:paraId="4F499BA5" w14:textId="77777777" w:rsidR="00C97090" w:rsidRPr="00BA1CEF" w:rsidRDefault="00C97090" w:rsidP="004563C1">
            <w:pPr>
              <w:spacing w:after="0" w:line="240" w:lineRule="auto"/>
              <w:rPr>
                <w:rFonts w:cs="Arial"/>
                <w:sz w:val="17"/>
                <w:szCs w:val="17"/>
                <w:lang w:val="pt-PT" w:eastAsia="zh-CN"/>
              </w:rPr>
            </w:pPr>
            <w:r w:rsidRPr="00BA1CEF">
              <w:rPr>
                <w:rFonts w:cs="Arial"/>
                <w:sz w:val="17"/>
                <w:szCs w:val="17"/>
                <w:lang w:val="pt-PT" w:eastAsia="zh-CN"/>
              </w:rPr>
              <w:t>Tél : 76 47 52 50 / 64 55 88 87</w:t>
            </w:r>
          </w:p>
          <w:p w14:paraId="55E4F85C" w14:textId="77777777" w:rsidR="00C97090" w:rsidRPr="00BA1CEF" w:rsidRDefault="00736FE4" w:rsidP="004563C1">
            <w:pPr>
              <w:spacing w:after="0" w:line="240" w:lineRule="auto"/>
              <w:rPr>
                <w:rFonts w:cs="Arial"/>
                <w:sz w:val="17"/>
                <w:szCs w:val="17"/>
                <w:lang w:val="pt-PT" w:eastAsia="zh-CN"/>
              </w:rPr>
            </w:pPr>
            <w:hyperlink r:id="rId84" w:history="1">
              <w:r w:rsidR="00C97090" w:rsidRPr="00BA1CEF">
                <w:rPr>
                  <w:rStyle w:val="Lienhypertexte"/>
                  <w:rFonts w:cs="Arial"/>
                  <w:color w:val="auto"/>
                  <w:sz w:val="17"/>
                  <w:szCs w:val="17"/>
                  <w:lang w:val="pt-PT" w:eastAsia="zh-CN"/>
                </w:rPr>
                <w:t>modibozerbo@yahoo.fr</w:t>
              </w:r>
            </w:hyperlink>
            <w:r w:rsidR="00C97090" w:rsidRPr="00BA1CEF">
              <w:rPr>
                <w:rFonts w:cs="Arial"/>
                <w:sz w:val="17"/>
                <w:szCs w:val="17"/>
                <w:lang w:val="pt-PT" w:eastAsia="zh-CN"/>
              </w:rPr>
              <w:t xml:space="preserve"> </w:t>
            </w:r>
          </w:p>
        </w:tc>
      </w:tr>
      <w:tr w:rsidR="00BA1CEF" w:rsidRPr="00BA1CEF" w14:paraId="655509AA" w14:textId="77777777" w:rsidTr="004563C1">
        <w:tblPrEx>
          <w:tblLook w:val="04A0" w:firstRow="1" w:lastRow="0" w:firstColumn="1" w:lastColumn="0" w:noHBand="0" w:noVBand="1"/>
        </w:tblPrEx>
        <w:trPr>
          <w:trHeight w:val="20"/>
          <w:jc w:val="center"/>
        </w:trPr>
        <w:tc>
          <w:tcPr>
            <w:tcW w:w="1910" w:type="dxa"/>
          </w:tcPr>
          <w:p w14:paraId="6C67646A" w14:textId="77777777" w:rsidR="00C97090" w:rsidRPr="00BA1CEF" w:rsidRDefault="00C97090" w:rsidP="004563C1">
            <w:pPr>
              <w:spacing w:after="0" w:line="240" w:lineRule="auto"/>
              <w:rPr>
                <w:rFonts w:cs="Arial"/>
                <w:sz w:val="17"/>
                <w:szCs w:val="17"/>
                <w:lang w:val="fr-FR" w:eastAsia="zh-CN"/>
              </w:rPr>
            </w:pPr>
            <w:r w:rsidRPr="00BA1CEF">
              <w:rPr>
                <w:rFonts w:cs="Arial"/>
                <w:sz w:val="17"/>
                <w:szCs w:val="17"/>
                <w:lang w:val="fr-FR" w:eastAsia="zh-CN"/>
              </w:rPr>
              <w:t>Diouka Hadioarotou KEITA</w:t>
            </w:r>
          </w:p>
        </w:tc>
        <w:tc>
          <w:tcPr>
            <w:tcW w:w="1978" w:type="dxa"/>
          </w:tcPr>
          <w:p w14:paraId="558423E7" w14:textId="77777777" w:rsidR="00C97090" w:rsidRPr="00BA1CEF" w:rsidRDefault="00C97090" w:rsidP="004563C1">
            <w:pPr>
              <w:spacing w:after="0" w:line="240" w:lineRule="auto"/>
              <w:rPr>
                <w:rFonts w:cs="Arial"/>
                <w:sz w:val="17"/>
                <w:szCs w:val="17"/>
                <w:lang w:val="fr-FR" w:eastAsia="zh-CN"/>
              </w:rPr>
            </w:pPr>
            <w:r w:rsidRPr="00BA1CEF">
              <w:rPr>
                <w:rFonts w:cs="Arial"/>
                <w:sz w:val="17"/>
                <w:szCs w:val="17"/>
                <w:lang w:val="fr-FR" w:eastAsia="zh-CN"/>
              </w:rPr>
              <w:t>District Bamako</w:t>
            </w:r>
          </w:p>
        </w:tc>
        <w:tc>
          <w:tcPr>
            <w:tcW w:w="2520" w:type="dxa"/>
          </w:tcPr>
          <w:p w14:paraId="49623640" w14:textId="77777777" w:rsidR="00C97090" w:rsidRPr="00BA1CEF" w:rsidRDefault="00C97090" w:rsidP="004563C1">
            <w:pPr>
              <w:spacing w:after="0" w:line="240" w:lineRule="auto"/>
              <w:rPr>
                <w:rFonts w:cs="Arial"/>
                <w:sz w:val="17"/>
                <w:szCs w:val="17"/>
                <w:lang w:val="fr-FR" w:eastAsia="zh-CN"/>
              </w:rPr>
            </w:pPr>
            <w:r w:rsidRPr="00BA1CEF">
              <w:rPr>
                <w:rFonts w:cs="Arial"/>
                <w:sz w:val="17"/>
                <w:szCs w:val="17"/>
                <w:lang w:val="fr-FR" w:eastAsia="zh-CN"/>
              </w:rPr>
              <w:t>Chef division transport</w:t>
            </w:r>
          </w:p>
        </w:tc>
        <w:tc>
          <w:tcPr>
            <w:tcW w:w="3420" w:type="dxa"/>
          </w:tcPr>
          <w:p w14:paraId="57C80D37" w14:textId="77777777" w:rsidR="00C97090" w:rsidRPr="00983A2A" w:rsidRDefault="00C97090" w:rsidP="004563C1">
            <w:pPr>
              <w:spacing w:after="0" w:line="240" w:lineRule="auto"/>
              <w:rPr>
                <w:rFonts w:cs="Arial"/>
                <w:sz w:val="17"/>
                <w:szCs w:val="17"/>
                <w:lang w:val="fr-FR" w:eastAsia="zh-CN"/>
              </w:rPr>
            </w:pPr>
            <w:r w:rsidRPr="00983A2A">
              <w:rPr>
                <w:rFonts w:cs="Arial"/>
                <w:sz w:val="17"/>
                <w:szCs w:val="17"/>
                <w:lang w:val="fr-FR" w:eastAsia="zh-CN"/>
              </w:rPr>
              <w:t>Tél : 76 50 51 82</w:t>
            </w:r>
          </w:p>
          <w:p w14:paraId="30AFDA43" w14:textId="77777777" w:rsidR="00C97090" w:rsidRPr="00983A2A" w:rsidRDefault="00736FE4" w:rsidP="004563C1">
            <w:pPr>
              <w:spacing w:after="0" w:line="240" w:lineRule="auto"/>
              <w:rPr>
                <w:rFonts w:cs="Arial"/>
                <w:sz w:val="17"/>
                <w:szCs w:val="17"/>
                <w:lang w:val="fr-FR" w:eastAsia="zh-CN"/>
              </w:rPr>
            </w:pPr>
            <w:hyperlink r:id="rId85" w:history="1">
              <w:r w:rsidR="00C97090" w:rsidRPr="00983A2A">
                <w:rPr>
                  <w:rStyle w:val="Lienhypertexte"/>
                  <w:rFonts w:cs="Arial"/>
                  <w:color w:val="auto"/>
                  <w:sz w:val="17"/>
                  <w:szCs w:val="17"/>
                  <w:lang w:val="fr-FR" w:eastAsia="zh-CN"/>
                </w:rPr>
                <w:t>adioratou.keita@yahoo.fr</w:t>
              </w:r>
            </w:hyperlink>
            <w:r w:rsidR="00C97090" w:rsidRPr="00983A2A">
              <w:rPr>
                <w:rFonts w:cs="Arial"/>
                <w:sz w:val="17"/>
                <w:szCs w:val="17"/>
                <w:lang w:val="fr-FR" w:eastAsia="zh-CN"/>
              </w:rPr>
              <w:t xml:space="preserve"> </w:t>
            </w:r>
          </w:p>
        </w:tc>
      </w:tr>
      <w:tr w:rsidR="00BA1CEF" w:rsidRPr="00BA1CEF" w14:paraId="16843905" w14:textId="77777777" w:rsidTr="004563C1">
        <w:tblPrEx>
          <w:tblLook w:val="04A0" w:firstRow="1" w:lastRow="0" w:firstColumn="1" w:lastColumn="0" w:noHBand="0" w:noVBand="1"/>
        </w:tblPrEx>
        <w:trPr>
          <w:trHeight w:val="20"/>
          <w:jc w:val="center"/>
        </w:trPr>
        <w:tc>
          <w:tcPr>
            <w:tcW w:w="1910" w:type="dxa"/>
          </w:tcPr>
          <w:p w14:paraId="0A60A9FC" w14:textId="77777777" w:rsidR="00C97090" w:rsidRPr="00BA1CEF" w:rsidRDefault="00C97090" w:rsidP="004563C1">
            <w:pPr>
              <w:spacing w:after="0" w:line="240" w:lineRule="auto"/>
              <w:rPr>
                <w:rFonts w:cs="Arial"/>
                <w:sz w:val="17"/>
                <w:szCs w:val="17"/>
                <w:lang w:val="fr-FR" w:eastAsia="zh-CN"/>
              </w:rPr>
            </w:pPr>
            <w:r w:rsidRPr="00BA1CEF">
              <w:rPr>
                <w:rFonts w:cs="Arial"/>
                <w:sz w:val="17"/>
                <w:szCs w:val="17"/>
                <w:lang w:val="fr-FR" w:eastAsia="zh-CN"/>
              </w:rPr>
              <w:t>Oumar KONATE</w:t>
            </w:r>
          </w:p>
        </w:tc>
        <w:tc>
          <w:tcPr>
            <w:tcW w:w="1978" w:type="dxa"/>
          </w:tcPr>
          <w:p w14:paraId="3965D940" w14:textId="77777777" w:rsidR="00C97090" w:rsidRPr="00BA1CEF" w:rsidRDefault="00C97090" w:rsidP="004563C1">
            <w:pPr>
              <w:spacing w:after="0" w:line="240" w:lineRule="auto"/>
              <w:rPr>
                <w:rFonts w:cs="Arial"/>
                <w:sz w:val="17"/>
                <w:szCs w:val="17"/>
                <w:lang w:val="fr-FR" w:eastAsia="zh-CN"/>
              </w:rPr>
            </w:pPr>
            <w:r w:rsidRPr="00BA1CEF">
              <w:rPr>
                <w:rFonts w:cs="Arial"/>
                <w:sz w:val="17"/>
                <w:szCs w:val="17"/>
                <w:lang w:val="fr-FR" w:eastAsia="zh-CN"/>
              </w:rPr>
              <w:t>District Bamako DSVUA</w:t>
            </w:r>
          </w:p>
        </w:tc>
        <w:tc>
          <w:tcPr>
            <w:tcW w:w="2520" w:type="dxa"/>
          </w:tcPr>
          <w:p w14:paraId="134C48A4" w14:textId="77777777" w:rsidR="00C97090" w:rsidRPr="00BA1CEF" w:rsidRDefault="00C97090" w:rsidP="004563C1">
            <w:pPr>
              <w:spacing w:after="0" w:line="240" w:lineRule="auto"/>
              <w:rPr>
                <w:rFonts w:cs="Arial"/>
                <w:sz w:val="17"/>
                <w:szCs w:val="17"/>
                <w:lang w:val="fr-FR" w:eastAsia="zh-CN"/>
              </w:rPr>
            </w:pPr>
            <w:r w:rsidRPr="00BA1CEF">
              <w:rPr>
                <w:rFonts w:cs="Arial"/>
                <w:sz w:val="17"/>
                <w:szCs w:val="17"/>
                <w:lang w:val="fr-FR" w:eastAsia="zh-CN"/>
              </w:rPr>
              <w:t>Directeur</w:t>
            </w:r>
          </w:p>
        </w:tc>
        <w:tc>
          <w:tcPr>
            <w:tcW w:w="3420" w:type="dxa"/>
          </w:tcPr>
          <w:p w14:paraId="708B6DA1" w14:textId="77777777" w:rsidR="00C97090" w:rsidRPr="00BA1CEF" w:rsidRDefault="00C97090" w:rsidP="004563C1">
            <w:pPr>
              <w:spacing w:after="0" w:line="240" w:lineRule="auto"/>
              <w:rPr>
                <w:rFonts w:cs="Arial"/>
                <w:sz w:val="17"/>
                <w:szCs w:val="17"/>
                <w:lang w:val="pt-PT" w:eastAsia="zh-CN"/>
              </w:rPr>
            </w:pPr>
            <w:r w:rsidRPr="00BA1CEF">
              <w:rPr>
                <w:rFonts w:cs="Arial"/>
                <w:sz w:val="17"/>
                <w:szCs w:val="17"/>
                <w:lang w:val="pt-PT" w:eastAsia="zh-CN"/>
              </w:rPr>
              <w:t>Tél : 66 78 15 68 / 79 09 36 46</w:t>
            </w:r>
          </w:p>
          <w:p w14:paraId="2FF9A037" w14:textId="77777777" w:rsidR="00C97090" w:rsidRPr="00BA1CEF" w:rsidRDefault="00736FE4" w:rsidP="004563C1">
            <w:pPr>
              <w:spacing w:after="0" w:line="240" w:lineRule="auto"/>
              <w:rPr>
                <w:rFonts w:cs="Arial"/>
                <w:sz w:val="17"/>
                <w:szCs w:val="17"/>
                <w:lang w:val="pt-PT" w:eastAsia="zh-CN"/>
              </w:rPr>
            </w:pPr>
            <w:hyperlink r:id="rId86" w:history="1">
              <w:r w:rsidR="00C97090" w:rsidRPr="00BA1CEF">
                <w:rPr>
                  <w:rStyle w:val="Lienhypertexte"/>
                  <w:rFonts w:cs="Arial"/>
                  <w:color w:val="auto"/>
                  <w:sz w:val="17"/>
                  <w:szCs w:val="17"/>
                  <w:lang w:val="pt-PT" w:eastAsia="zh-CN"/>
                </w:rPr>
                <w:t>oumarkonat@yahoo.fr</w:t>
              </w:r>
            </w:hyperlink>
            <w:r w:rsidR="00C97090" w:rsidRPr="00BA1CEF">
              <w:rPr>
                <w:rFonts w:cs="Arial"/>
                <w:sz w:val="17"/>
                <w:szCs w:val="17"/>
                <w:lang w:val="pt-PT" w:eastAsia="zh-CN"/>
              </w:rPr>
              <w:t xml:space="preserve"> </w:t>
            </w:r>
          </w:p>
        </w:tc>
      </w:tr>
      <w:tr w:rsidR="00BA1CEF" w:rsidRPr="00BA1CEF" w14:paraId="17E208ED" w14:textId="77777777" w:rsidTr="008F27C9">
        <w:tblPrEx>
          <w:tblLook w:val="04A0" w:firstRow="1" w:lastRow="0" w:firstColumn="1" w:lastColumn="0" w:noHBand="0" w:noVBand="1"/>
        </w:tblPrEx>
        <w:trPr>
          <w:trHeight w:val="20"/>
          <w:jc w:val="center"/>
        </w:trPr>
        <w:tc>
          <w:tcPr>
            <w:tcW w:w="1910" w:type="dxa"/>
          </w:tcPr>
          <w:p w14:paraId="698C42E4" w14:textId="77777777" w:rsidR="008B2B8B" w:rsidRPr="00BA1CEF" w:rsidRDefault="008B2B8B" w:rsidP="00B72A95">
            <w:pPr>
              <w:spacing w:after="0" w:line="240" w:lineRule="auto"/>
              <w:rPr>
                <w:rFonts w:cs="Arial"/>
                <w:sz w:val="17"/>
                <w:szCs w:val="17"/>
                <w:lang w:val="fr-FR" w:eastAsia="zh-CN"/>
              </w:rPr>
            </w:pPr>
            <w:r w:rsidRPr="00BA1CEF">
              <w:rPr>
                <w:rFonts w:cs="Arial"/>
                <w:sz w:val="17"/>
                <w:szCs w:val="17"/>
                <w:lang w:val="fr-FR" w:eastAsia="zh-CN"/>
              </w:rPr>
              <w:t>Ibrahim TOGOLA</w:t>
            </w:r>
          </w:p>
        </w:tc>
        <w:tc>
          <w:tcPr>
            <w:tcW w:w="1978" w:type="dxa"/>
          </w:tcPr>
          <w:p w14:paraId="44EF0902" w14:textId="77777777" w:rsidR="008B2B8B" w:rsidRPr="00BA1CEF" w:rsidRDefault="008B2B8B" w:rsidP="00C97090">
            <w:pPr>
              <w:spacing w:after="0" w:line="240" w:lineRule="auto"/>
              <w:jc w:val="left"/>
              <w:rPr>
                <w:rFonts w:cs="Arial"/>
                <w:sz w:val="17"/>
                <w:szCs w:val="17"/>
                <w:lang w:val="fr-FR" w:eastAsia="zh-CN"/>
              </w:rPr>
            </w:pPr>
            <w:r w:rsidRPr="00BA1CEF">
              <w:rPr>
                <w:rFonts w:cs="Arial"/>
                <w:sz w:val="17"/>
                <w:szCs w:val="17"/>
                <w:lang w:val="fr-FR" w:eastAsia="zh-CN"/>
              </w:rPr>
              <w:t>Reso Climat Mali (ONGs CC) et Mali Folkecenter (ONG MFC)</w:t>
            </w:r>
          </w:p>
        </w:tc>
        <w:tc>
          <w:tcPr>
            <w:tcW w:w="2520" w:type="dxa"/>
          </w:tcPr>
          <w:p w14:paraId="213965F3" w14:textId="77777777" w:rsidR="008B2B8B" w:rsidRPr="00BA1CEF" w:rsidRDefault="008B2B8B" w:rsidP="00C97090">
            <w:pPr>
              <w:spacing w:after="0" w:line="240" w:lineRule="auto"/>
              <w:jc w:val="left"/>
              <w:rPr>
                <w:rFonts w:cs="Arial"/>
                <w:sz w:val="17"/>
                <w:szCs w:val="17"/>
                <w:lang w:val="fr-FR" w:eastAsia="zh-CN"/>
              </w:rPr>
            </w:pPr>
            <w:r w:rsidRPr="00BA1CEF">
              <w:rPr>
                <w:rFonts w:cs="Arial"/>
                <w:sz w:val="17"/>
                <w:szCs w:val="17"/>
                <w:lang w:val="fr-FR" w:eastAsia="zh-CN"/>
              </w:rPr>
              <w:t>Président du réseau et directeur MFC</w:t>
            </w:r>
          </w:p>
        </w:tc>
        <w:tc>
          <w:tcPr>
            <w:tcW w:w="3420" w:type="dxa"/>
          </w:tcPr>
          <w:p w14:paraId="3208D50C" w14:textId="77777777" w:rsidR="008B2B8B" w:rsidRPr="00BA1CEF" w:rsidRDefault="008B2B8B" w:rsidP="00B72A95">
            <w:pPr>
              <w:spacing w:after="0" w:line="240" w:lineRule="auto"/>
              <w:rPr>
                <w:rFonts w:cs="Arial"/>
                <w:sz w:val="17"/>
                <w:szCs w:val="17"/>
                <w:lang w:val="pt-PT" w:eastAsia="zh-CN"/>
              </w:rPr>
            </w:pPr>
            <w:r w:rsidRPr="00BA1CEF">
              <w:rPr>
                <w:rFonts w:cs="Arial"/>
                <w:sz w:val="17"/>
                <w:szCs w:val="17"/>
                <w:lang w:val="pt-PT" w:eastAsia="zh-CN"/>
              </w:rPr>
              <w:t>Tél : 66 74 26 09 ou 20 20 06 17</w:t>
            </w:r>
          </w:p>
        </w:tc>
      </w:tr>
      <w:tr w:rsidR="00BA1CEF" w:rsidRPr="00BA1CEF" w14:paraId="45C8F548" w14:textId="77777777" w:rsidTr="00C97090">
        <w:tblPrEx>
          <w:tblLook w:val="04A0" w:firstRow="1" w:lastRow="0" w:firstColumn="1" w:lastColumn="0" w:noHBand="0" w:noVBand="1"/>
        </w:tblPrEx>
        <w:trPr>
          <w:trHeight w:val="20"/>
          <w:jc w:val="center"/>
        </w:trPr>
        <w:tc>
          <w:tcPr>
            <w:tcW w:w="1910" w:type="dxa"/>
          </w:tcPr>
          <w:p w14:paraId="557D1E39" w14:textId="77777777" w:rsidR="008B2B8B" w:rsidRPr="00BA1CEF" w:rsidRDefault="008B2B8B" w:rsidP="00B72A95">
            <w:pPr>
              <w:spacing w:after="0" w:line="240" w:lineRule="auto"/>
              <w:rPr>
                <w:rFonts w:cs="Arial"/>
                <w:sz w:val="17"/>
                <w:szCs w:val="17"/>
                <w:lang w:val="fr-FR" w:eastAsia="zh-CN"/>
              </w:rPr>
            </w:pPr>
            <w:r w:rsidRPr="00BA1CEF">
              <w:rPr>
                <w:rFonts w:cs="Arial"/>
                <w:sz w:val="17"/>
                <w:szCs w:val="17"/>
                <w:lang w:val="fr-FR" w:eastAsia="zh-CN"/>
              </w:rPr>
              <w:t xml:space="preserve">Ousmane </w:t>
            </w:r>
          </w:p>
          <w:p w14:paraId="3BFD5E67" w14:textId="77777777" w:rsidR="008B2B8B" w:rsidRPr="00BA1CEF" w:rsidRDefault="008B2B8B" w:rsidP="00B72A95">
            <w:pPr>
              <w:spacing w:after="0" w:line="240" w:lineRule="auto"/>
              <w:rPr>
                <w:rFonts w:cs="Arial"/>
                <w:sz w:val="17"/>
                <w:szCs w:val="17"/>
                <w:lang w:val="fr-FR" w:eastAsia="zh-CN"/>
              </w:rPr>
            </w:pPr>
            <w:r w:rsidRPr="00BA1CEF">
              <w:rPr>
                <w:rFonts w:cs="Arial"/>
                <w:sz w:val="17"/>
                <w:szCs w:val="17"/>
                <w:lang w:val="fr-FR" w:eastAsia="zh-CN"/>
              </w:rPr>
              <w:t>OUATTARA</w:t>
            </w:r>
          </w:p>
        </w:tc>
        <w:tc>
          <w:tcPr>
            <w:tcW w:w="1978" w:type="dxa"/>
          </w:tcPr>
          <w:p w14:paraId="021B6C44" w14:textId="77777777" w:rsidR="008B2B8B" w:rsidRPr="00BA1CEF" w:rsidRDefault="008B2B8B" w:rsidP="00B72A95">
            <w:pPr>
              <w:spacing w:after="0" w:line="240" w:lineRule="auto"/>
              <w:rPr>
                <w:rFonts w:cs="Arial"/>
                <w:sz w:val="17"/>
                <w:szCs w:val="17"/>
                <w:lang w:val="fr-FR" w:eastAsia="zh-CN"/>
              </w:rPr>
            </w:pPr>
            <w:r w:rsidRPr="00BA1CEF">
              <w:rPr>
                <w:rFonts w:cs="Arial"/>
                <w:sz w:val="17"/>
                <w:szCs w:val="17"/>
                <w:lang w:val="fr-FR" w:eastAsia="zh-CN"/>
              </w:rPr>
              <w:t>Mali Folkecenter (ONG MFC)</w:t>
            </w:r>
          </w:p>
        </w:tc>
        <w:tc>
          <w:tcPr>
            <w:tcW w:w="2520" w:type="dxa"/>
            <w:vAlign w:val="center"/>
          </w:tcPr>
          <w:p w14:paraId="71150DD2" w14:textId="77777777" w:rsidR="008B2B8B" w:rsidRPr="00BA1CEF" w:rsidRDefault="008B2B8B" w:rsidP="00B72A95">
            <w:pPr>
              <w:spacing w:after="0" w:line="240" w:lineRule="auto"/>
              <w:rPr>
                <w:rFonts w:cs="Arial"/>
                <w:sz w:val="17"/>
                <w:szCs w:val="17"/>
                <w:lang w:val="fr-FR" w:eastAsia="zh-CN"/>
              </w:rPr>
            </w:pPr>
            <w:r w:rsidRPr="00BA1CEF">
              <w:rPr>
                <w:rFonts w:cs="Arial"/>
                <w:sz w:val="17"/>
                <w:szCs w:val="17"/>
                <w:lang w:val="fr-FR" w:eastAsia="zh-CN"/>
              </w:rPr>
              <w:t>Secrétaire Exécutif</w:t>
            </w:r>
          </w:p>
        </w:tc>
        <w:tc>
          <w:tcPr>
            <w:tcW w:w="3420" w:type="dxa"/>
          </w:tcPr>
          <w:p w14:paraId="4FC01612" w14:textId="77777777" w:rsidR="008B2B8B" w:rsidRPr="00BA1CEF" w:rsidRDefault="008B2B8B" w:rsidP="00B72A95">
            <w:pPr>
              <w:spacing w:after="0" w:line="240" w:lineRule="auto"/>
              <w:rPr>
                <w:rFonts w:cs="Arial"/>
                <w:sz w:val="17"/>
                <w:szCs w:val="17"/>
                <w:lang w:val="pt-PT" w:eastAsia="zh-CN"/>
              </w:rPr>
            </w:pPr>
            <w:r w:rsidRPr="00BA1CEF">
              <w:rPr>
                <w:rFonts w:cs="Arial"/>
                <w:sz w:val="17"/>
                <w:szCs w:val="17"/>
                <w:lang w:val="pt-PT" w:eastAsia="zh-CN"/>
              </w:rPr>
              <w:t>Tél : 20 20 06 17 ou 66 71 03 54</w:t>
            </w:r>
          </w:p>
          <w:p w14:paraId="171B86C9" w14:textId="77777777" w:rsidR="008B2B8B" w:rsidRPr="00BA1CEF" w:rsidRDefault="008B2B8B" w:rsidP="00B72A95">
            <w:pPr>
              <w:spacing w:after="0" w:line="240" w:lineRule="auto"/>
              <w:rPr>
                <w:rFonts w:cs="Arial"/>
                <w:sz w:val="17"/>
                <w:szCs w:val="17"/>
                <w:lang w:val="fr-FR" w:eastAsia="zh-CN"/>
              </w:rPr>
            </w:pPr>
            <w:r w:rsidRPr="00BA1CEF">
              <w:rPr>
                <w:rFonts w:cs="Arial"/>
                <w:sz w:val="17"/>
                <w:szCs w:val="17"/>
                <w:lang w:val="fr-FR" w:eastAsia="zh-CN"/>
              </w:rPr>
              <w:t xml:space="preserve">e-mail : </w:t>
            </w:r>
          </w:p>
          <w:p w14:paraId="160E831F" w14:textId="77777777" w:rsidR="008B2B8B" w:rsidRPr="00BA1CEF" w:rsidRDefault="00736FE4" w:rsidP="00B72A95">
            <w:pPr>
              <w:spacing w:after="0" w:line="240" w:lineRule="auto"/>
              <w:rPr>
                <w:rFonts w:cs="Arial"/>
                <w:sz w:val="17"/>
                <w:szCs w:val="17"/>
                <w:lang w:val="fr-FR" w:eastAsia="zh-CN"/>
              </w:rPr>
            </w:pPr>
            <w:hyperlink r:id="rId87" w:history="1">
              <w:r w:rsidR="008B2B8B" w:rsidRPr="00BA1CEF">
                <w:rPr>
                  <w:rStyle w:val="Lienhypertexte"/>
                  <w:rFonts w:cs="Arial"/>
                  <w:color w:val="auto"/>
                  <w:sz w:val="17"/>
                  <w:szCs w:val="17"/>
                  <w:lang w:val="fr-FR" w:eastAsia="zh-CN"/>
                </w:rPr>
                <w:t>ousmane.ouattara@malifolkecenter.org</w:t>
              </w:r>
            </w:hyperlink>
          </w:p>
        </w:tc>
      </w:tr>
      <w:tr w:rsidR="00BA1CEF" w:rsidRPr="00BA1CEF" w14:paraId="7C6C8D21" w14:textId="77777777" w:rsidTr="008F27C9">
        <w:tblPrEx>
          <w:tblLook w:val="04A0" w:firstRow="1" w:lastRow="0" w:firstColumn="1" w:lastColumn="0" w:noHBand="0" w:noVBand="1"/>
        </w:tblPrEx>
        <w:trPr>
          <w:trHeight w:val="20"/>
          <w:jc w:val="center"/>
        </w:trPr>
        <w:tc>
          <w:tcPr>
            <w:tcW w:w="1910" w:type="dxa"/>
          </w:tcPr>
          <w:p w14:paraId="4976ADC3" w14:textId="77777777" w:rsidR="008B2B8B" w:rsidRPr="00BA1CEF" w:rsidRDefault="008B2B8B" w:rsidP="00B72A95">
            <w:pPr>
              <w:spacing w:after="0" w:line="240" w:lineRule="auto"/>
              <w:rPr>
                <w:rFonts w:cs="Arial"/>
                <w:sz w:val="17"/>
                <w:szCs w:val="17"/>
                <w:lang w:val="en-GB" w:eastAsia="zh-CN"/>
              </w:rPr>
            </w:pPr>
            <w:r w:rsidRPr="00BA1CEF">
              <w:rPr>
                <w:rFonts w:cs="Arial"/>
                <w:sz w:val="17"/>
                <w:szCs w:val="17"/>
                <w:lang w:val="en-GB" w:eastAsia="zh-CN"/>
              </w:rPr>
              <w:t>Harmut BEHREND</w:t>
            </w:r>
          </w:p>
        </w:tc>
        <w:tc>
          <w:tcPr>
            <w:tcW w:w="1978" w:type="dxa"/>
          </w:tcPr>
          <w:p w14:paraId="68F4ED2D" w14:textId="77777777" w:rsidR="008B2B8B" w:rsidRPr="00BA1CEF" w:rsidRDefault="008B2B8B" w:rsidP="00B72A95">
            <w:pPr>
              <w:spacing w:after="0" w:line="240" w:lineRule="auto"/>
              <w:rPr>
                <w:rFonts w:cs="Arial"/>
                <w:sz w:val="17"/>
                <w:szCs w:val="17"/>
                <w:lang w:val="fr-FR" w:eastAsia="zh-CN"/>
              </w:rPr>
            </w:pPr>
            <w:r w:rsidRPr="00BA1CEF">
              <w:rPr>
                <w:rFonts w:cs="Arial"/>
                <w:sz w:val="17"/>
                <w:szCs w:val="17"/>
                <w:lang w:val="fr-FR" w:eastAsia="zh-CN"/>
              </w:rPr>
              <w:t>GIZ</w:t>
            </w:r>
          </w:p>
        </w:tc>
        <w:tc>
          <w:tcPr>
            <w:tcW w:w="2520" w:type="dxa"/>
          </w:tcPr>
          <w:p w14:paraId="173BC14D" w14:textId="77777777" w:rsidR="008B2B8B" w:rsidRPr="00BA1CEF" w:rsidRDefault="008B2B8B" w:rsidP="00B72A95">
            <w:pPr>
              <w:spacing w:after="0" w:line="240" w:lineRule="auto"/>
              <w:rPr>
                <w:rFonts w:cs="Arial"/>
                <w:sz w:val="17"/>
                <w:szCs w:val="17"/>
                <w:lang w:val="fr-FR" w:eastAsia="zh-CN"/>
              </w:rPr>
            </w:pPr>
            <w:r w:rsidRPr="00BA1CEF">
              <w:rPr>
                <w:rFonts w:cs="Arial"/>
                <w:sz w:val="17"/>
                <w:szCs w:val="17"/>
                <w:lang w:val="fr-FR" w:eastAsia="zh-CN"/>
              </w:rPr>
              <w:t>Responsable du Contact et de la Coopération, Projet d’Adaptation aux Changements Climatiques</w:t>
            </w:r>
          </w:p>
        </w:tc>
        <w:tc>
          <w:tcPr>
            <w:tcW w:w="3420" w:type="dxa"/>
          </w:tcPr>
          <w:p w14:paraId="6A73544D" w14:textId="77777777" w:rsidR="008B2B8B" w:rsidRPr="00BA1CEF" w:rsidRDefault="008B2B8B" w:rsidP="00B72A95">
            <w:pPr>
              <w:spacing w:after="0" w:line="240" w:lineRule="auto"/>
              <w:rPr>
                <w:rFonts w:cs="Arial"/>
                <w:sz w:val="17"/>
                <w:szCs w:val="17"/>
                <w:lang w:val="pt-PT" w:eastAsia="zh-CN"/>
              </w:rPr>
            </w:pPr>
            <w:r w:rsidRPr="00BA1CEF">
              <w:rPr>
                <w:rFonts w:cs="Arial"/>
                <w:sz w:val="17"/>
                <w:szCs w:val="17"/>
                <w:lang w:val="pt-PT" w:eastAsia="zh-CN"/>
              </w:rPr>
              <w:t>Tél: 20 20 14 25</w:t>
            </w:r>
          </w:p>
          <w:p w14:paraId="65760A0D" w14:textId="77777777" w:rsidR="008B2B8B" w:rsidRPr="00BA1CEF" w:rsidRDefault="008B2B8B" w:rsidP="00B72A95">
            <w:pPr>
              <w:spacing w:after="0" w:line="240" w:lineRule="auto"/>
              <w:rPr>
                <w:rFonts w:cs="Arial"/>
                <w:sz w:val="17"/>
                <w:szCs w:val="17"/>
                <w:lang w:val="pt-PT" w:eastAsia="zh-CN"/>
              </w:rPr>
            </w:pPr>
            <w:r w:rsidRPr="00BA1CEF">
              <w:rPr>
                <w:rFonts w:cs="Arial"/>
                <w:sz w:val="17"/>
                <w:szCs w:val="17"/>
                <w:lang w:val="pt-PT" w:eastAsia="zh-CN"/>
              </w:rPr>
              <w:t xml:space="preserve">e-mail: </w:t>
            </w:r>
            <w:hyperlink r:id="rId88" w:history="1">
              <w:r w:rsidRPr="00BA1CEF">
                <w:rPr>
                  <w:rStyle w:val="Lienhypertexte"/>
                  <w:rFonts w:cs="Arial"/>
                  <w:color w:val="auto"/>
                  <w:sz w:val="17"/>
                  <w:szCs w:val="17"/>
                  <w:lang w:val="pt-PT" w:eastAsia="zh-CN"/>
                </w:rPr>
                <w:t>harmut.behrend@giz.de</w:t>
              </w:r>
            </w:hyperlink>
          </w:p>
        </w:tc>
      </w:tr>
      <w:tr w:rsidR="00BA1CEF" w:rsidRPr="00074BCA" w14:paraId="56AF1244" w14:textId="77777777" w:rsidTr="008F27C9">
        <w:tblPrEx>
          <w:tblLook w:val="04A0" w:firstRow="1" w:lastRow="0" w:firstColumn="1" w:lastColumn="0" w:noHBand="0" w:noVBand="1"/>
        </w:tblPrEx>
        <w:trPr>
          <w:trHeight w:val="20"/>
          <w:jc w:val="center"/>
        </w:trPr>
        <w:tc>
          <w:tcPr>
            <w:tcW w:w="1910" w:type="dxa"/>
          </w:tcPr>
          <w:p w14:paraId="6B6F2738" w14:textId="77777777" w:rsidR="002C61CA" w:rsidRPr="00BA1CEF" w:rsidRDefault="002C61CA" w:rsidP="00B72A95">
            <w:pPr>
              <w:spacing w:after="0" w:line="240" w:lineRule="auto"/>
              <w:rPr>
                <w:rFonts w:cs="Arial"/>
                <w:sz w:val="17"/>
                <w:szCs w:val="17"/>
                <w:lang w:val="fr-FR" w:eastAsia="zh-CN"/>
              </w:rPr>
            </w:pPr>
            <w:r w:rsidRPr="00BA1CEF">
              <w:rPr>
                <w:rFonts w:cs="Arial"/>
                <w:sz w:val="17"/>
                <w:szCs w:val="17"/>
                <w:lang w:val="fr-FR" w:eastAsia="zh-CN"/>
              </w:rPr>
              <w:t>Daniel TIVEAU</w:t>
            </w:r>
          </w:p>
        </w:tc>
        <w:tc>
          <w:tcPr>
            <w:tcW w:w="1978" w:type="dxa"/>
          </w:tcPr>
          <w:p w14:paraId="22406F7B" w14:textId="77777777" w:rsidR="002C61CA" w:rsidRPr="00BA1CEF" w:rsidRDefault="002C61CA" w:rsidP="002C61CA">
            <w:pPr>
              <w:spacing w:after="0" w:line="240" w:lineRule="auto"/>
              <w:jc w:val="left"/>
              <w:rPr>
                <w:rFonts w:cs="Arial"/>
                <w:sz w:val="17"/>
                <w:szCs w:val="17"/>
                <w:lang w:val="fr-FR" w:eastAsia="zh-CN"/>
              </w:rPr>
            </w:pPr>
            <w:r w:rsidRPr="00BA1CEF">
              <w:rPr>
                <w:rFonts w:cs="Arial"/>
                <w:sz w:val="17"/>
                <w:szCs w:val="17"/>
                <w:lang w:val="fr-FR" w:eastAsia="zh-CN"/>
              </w:rPr>
              <w:t>Coopération suédoise</w:t>
            </w:r>
          </w:p>
        </w:tc>
        <w:tc>
          <w:tcPr>
            <w:tcW w:w="2520" w:type="dxa"/>
          </w:tcPr>
          <w:p w14:paraId="1D0176F6" w14:textId="77777777" w:rsidR="002C61CA" w:rsidRPr="00BA1CEF" w:rsidRDefault="002C61CA" w:rsidP="00B72A95">
            <w:pPr>
              <w:spacing w:after="0" w:line="240" w:lineRule="auto"/>
              <w:rPr>
                <w:rFonts w:cs="Arial"/>
                <w:sz w:val="17"/>
                <w:szCs w:val="17"/>
                <w:lang w:val="fr-FR" w:eastAsia="zh-CN"/>
              </w:rPr>
            </w:pPr>
            <w:r w:rsidRPr="00BA1CEF">
              <w:rPr>
                <w:rFonts w:cs="Arial"/>
                <w:sz w:val="17"/>
                <w:szCs w:val="17"/>
                <w:lang w:val="fr-FR" w:eastAsia="zh-CN"/>
              </w:rPr>
              <w:t>Premier Secrétaire environnement, climat et gouvernance</w:t>
            </w:r>
          </w:p>
        </w:tc>
        <w:tc>
          <w:tcPr>
            <w:tcW w:w="3420" w:type="dxa"/>
          </w:tcPr>
          <w:p w14:paraId="5C3D7476" w14:textId="77777777" w:rsidR="002C61CA" w:rsidRPr="00BA1CEF" w:rsidRDefault="002C61CA" w:rsidP="002C61CA">
            <w:pPr>
              <w:spacing w:after="0" w:line="240" w:lineRule="auto"/>
              <w:rPr>
                <w:rFonts w:cs="Arial"/>
                <w:sz w:val="17"/>
                <w:szCs w:val="17"/>
                <w:lang w:val="fr-FR" w:eastAsia="zh-CN"/>
              </w:rPr>
            </w:pPr>
            <w:r w:rsidRPr="00BA1CEF">
              <w:rPr>
                <w:rFonts w:cs="Arial"/>
                <w:sz w:val="17"/>
                <w:szCs w:val="17"/>
                <w:lang w:val="fr-FR" w:eastAsia="zh-CN"/>
              </w:rPr>
              <w:t>Tél : 20 70 70 00 / 75 99 84 81</w:t>
            </w:r>
          </w:p>
          <w:p w14:paraId="3CA9BC71" w14:textId="77777777" w:rsidR="002C61CA" w:rsidRPr="008E0431" w:rsidRDefault="002C61CA" w:rsidP="002C61CA">
            <w:pPr>
              <w:spacing w:after="0" w:line="240" w:lineRule="auto"/>
              <w:rPr>
                <w:rFonts w:cs="Arial"/>
                <w:sz w:val="17"/>
                <w:szCs w:val="17"/>
                <w:lang w:val="fr-FR" w:eastAsia="zh-CN"/>
              </w:rPr>
            </w:pPr>
            <w:r w:rsidRPr="008E0431">
              <w:rPr>
                <w:rFonts w:cs="Arial"/>
                <w:sz w:val="17"/>
                <w:szCs w:val="17"/>
                <w:lang w:val="fr-FR" w:eastAsia="zh-CN"/>
              </w:rPr>
              <w:t xml:space="preserve">e-mail : Daniel.Tiveau@gov.se </w:t>
            </w:r>
          </w:p>
        </w:tc>
      </w:tr>
      <w:tr w:rsidR="00BA1CEF" w:rsidRPr="00BA1CEF" w14:paraId="309A9BCD" w14:textId="77777777" w:rsidTr="008F27C9">
        <w:tblPrEx>
          <w:tblLook w:val="04A0" w:firstRow="1" w:lastRow="0" w:firstColumn="1" w:lastColumn="0" w:noHBand="0" w:noVBand="1"/>
        </w:tblPrEx>
        <w:trPr>
          <w:trHeight w:val="20"/>
          <w:jc w:val="center"/>
        </w:trPr>
        <w:tc>
          <w:tcPr>
            <w:tcW w:w="1910" w:type="dxa"/>
          </w:tcPr>
          <w:p w14:paraId="155CA508" w14:textId="77777777" w:rsidR="008B2B8B" w:rsidRPr="00BA1CEF" w:rsidRDefault="008B2B8B" w:rsidP="00B72A95">
            <w:pPr>
              <w:spacing w:after="0" w:line="240" w:lineRule="auto"/>
              <w:rPr>
                <w:rFonts w:cs="Arial"/>
                <w:sz w:val="17"/>
                <w:szCs w:val="17"/>
                <w:lang w:val="en-GB" w:eastAsia="zh-CN"/>
              </w:rPr>
            </w:pPr>
            <w:r w:rsidRPr="00BA1CEF">
              <w:rPr>
                <w:rFonts w:cs="Arial"/>
                <w:sz w:val="17"/>
                <w:szCs w:val="17"/>
                <w:lang w:val="fr-FR" w:eastAsia="zh-CN"/>
              </w:rPr>
              <w:t xml:space="preserve">M. Mamby FOFANA </w:t>
            </w:r>
          </w:p>
          <w:p w14:paraId="1E33CDB8" w14:textId="77777777" w:rsidR="008B2B8B" w:rsidRPr="00BA1CEF" w:rsidRDefault="008B2B8B" w:rsidP="00B72A95">
            <w:pPr>
              <w:spacing w:after="0" w:line="240" w:lineRule="auto"/>
              <w:rPr>
                <w:rFonts w:cs="Arial"/>
                <w:sz w:val="17"/>
                <w:szCs w:val="17"/>
                <w:lang w:val="en-GB" w:eastAsia="zh-CN"/>
              </w:rPr>
            </w:pPr>
          </w:p>
        </w:tc>
        <w:tc>
          <w:tcPr>
            <w:tcW w:w="1978" w:type="dxa"/>
          </w:tcPr>
          <w:p w14:paraId="4467CCF5" w14:textId="77777777" w:rsidR="008B2B8B" w:rsidRPr="00BA1CEF" w:rsidRDefault="008B2B8B" w:rsidP="002C61CA">
            <w:pPr>
              <w:spacing w:after="0" w:line="240" w:lineRule="auto"/>
              <w:jc w:val="left"/>
              <w:rPr>
                <w:rFonts w:cs="Arial"/>
                <w:sz w:val="17"/>
                <w:szCs w:val="17"/>
                <w:lang w:val="fr-FR" w:eastAsia="zh-CN"/>
              </w:rPr>
            </w:pPr>
            <w:r w:rsidRPr="00BA1CEF">
              <w:rPr>
                <w:rFonts w:cs="Arial"/>
                <w:sz w:val="17"/>
                <w:szCs w:val="17"/>
                <w:lang w:val="fr-FR" w:eastAsia="zh-CN"/>
              </w:rPr>
              <w:t>Coopération Suédoise (ASDI)</w:t>
            </w:r>
          </w:p>
        </w:tc>
        <w:tc>
          <w:tcPr>
            <w:tcW w:w="2520" w:type="dxa"/>
          </w:tcPr>
          <w:p w14:paraId="5D2EA6EC" w14:textId="77777777" w:rsidR="008B2B8B" w:rsidRPr="00BA1CEF" w:rsidRDefault="008B2B8B" w:rsidP="00B72A95">
            <w:pPr>
              <w:spacing w:after="0" w:line="240" w:lineRule="auto"/>
              <w:rPr>
                <w:rFonts w:cs="Arial"/>
                <w:sz w:val="17"/>
                <w:szCs w:val="17"/>
                <w:lang w:val="fr-FR" w:eastAsia="zh-CN"/>
              </w:rPr>
            </w:pPr>
            <w:r w:rsidRPr="00BA1CEF">
              <w:rPr>
                <w:rFonts w:cs="Arial"/>
                <w:sz w:val="17"/>
                <w:szCs w:val="17"/>
                <w:lang w:val="fr-FR" w:eastAsia="zh-CN"/>
              </w:rPr>
              <w:t>Chargé de Programme Gestion des Ressources Naturelles et Changement Climatique</w:t>
            </w:r>
          </w:p>
        </w:tc>
        <w:tc>
          <w:tcPr>
            <w:tcW w:w="3420" w:type="dxa"/>
          </w:tcPr>
          <w:p w14:paraId="61C6965B" w14:textId="77777777" w:rsidR="002C61CA" w:rsidRPr="00BA1CEF" w:rsidRDefault="002C61CA" w:rsidP="002C61CA">
            <w:pPr>
              <w:spacing w:after="0" w:line="240" w:lineRule="auto"/>
              <w:rPr>
                <w:rFonts w:cs="Arial"/>
                <w:sz w:val="17"/>
                <w:szCs w:val="17"/>
                <w:lang w:val="fr-FR" w:eastAsia="zh-CN"/>
              </w:rPr>
            </w:pPr>
            <w:r w:rsidRPr="00BA1CEF">
              <w:rPr>
                <w:rFonts w:cs="Arial"/>
                <w:sz w:val="17"/>
                <w:szCs w:val="17"/>
                <w:lang w:val="fr-FR" w:eastAsia="zh-CN"/>
              </w:rPr>
              <w:t>Tél : 20 70 70 00 / 94 87 58 05</w:t>
            </w:r>
          </w:p>
          <w:p w14:paraId="1A830D1C" w14:textId="77777777" w:rsidR="008B2B8B" w:rsidRPr="00BA1CEF" w:rsidRDefault="002C61CA" w:rsidP="002C61CA">
            <w:pPr>
              <w:spacing w:after="0" w:line="240" w:lineRule="auto"/>
              <w:rPr>
                <w:rFonts w:cs="Arial"/>
                <w:sz w:val="17"/>
                <w:szCs w:val="17"/>
                <w:lang w:val="fr-FR" w:eastAsia="zh-CN"/>
              </w:rPr>
            </w:pPr>
            <w:r w:rsidRPr="00BA1CEF">
              <w:rPr>
                <w:rFonts w:cs="Arial"/>
                <w:sz w:val="17"/>
                <w:szCs w:val="17"/>
                <w:lang w:val="fr-FR" w:eastAsia="zh-CN"/>
              </w:rPr>
              <w:t xml:space="preserve">email : mamby.fofana@gov.se </w:t>
            </w:r>
          </w:p>
        </w:tc>
      </w:tr>
      <w:tr w:rsidR="00BA1CEF" w:rsidRPr="00074BCA" w14:paraId="7AFCE095" w14:textId="77777777" w:rsidTr="008F27C9">
        <w:tblPrEx>
          <w:tblLook w:val="04A0" w:firstRow="1" w:lastRow="0" w:firstColumn="1" w:lastColumn="0" w:noHBand="0" w:noVBand="1"/>
        </w:tblPrEx>
        <w:trPr>
          <w:trHeight w:val="20"/>
          <w:jc w:val="center"/>
        </w:trPr>
        <w:tc>
          <w:tcPr>
            <w:tcW w:w="1910" w:type="dxa"/>
          </w:tcPr>
          <w:p w14:paraId="3657DCE4" w14:textId="77777777" w:rsidR="008B2B8B" w:rsidRPr="00BA1CEF" w:rsidRDefault="008B2B8B" w:rsidP="00B72A95">
            <w:pPr>
              <w:spacing w:after="0" w:line="240" w:lineRule="auto"/>
              <w:rPr>
                <w:rFonts w:cs="Arial"/>
                <w:spacing w:val="-2"/>
                <w:sz w:val="17"/>
                <w:szCs w:val="17"/>
                <w:lang w:val="fr-FR" w:eastAsia="en-GB"/>
              </w:rPr>
            </w:pPr>
            <w:r w:rsidRPr="00BA1CEF">
              <w:rPr>
                <w:rFonts w:cs="Arial"/>
                <w:spacing w:val="-2"/>
                <w:sz w:val="17"/>
                <w:szCs w:val="17"/>
                <w:lang w:val="fr-FR" w:eastAsia="en-GB"/>
              </w:rPr>
              <w:t>Ousmane TRAORE</w:t>
            </w:r>
          </w:p>
        </w:tc>
        <w:tc>
          <w:tcPr>
            <w:tcW w:w="1978" w:type="dxa"/>
          </w:tcPr>
          <w:p w14:paraId="63C1F35D" w14:textId="77777777" w:rsidR="008B2B8B" w:rsidRPr="00BA1CEF" w:rsidRDefault="008B2B8B" w:rsidP="00B72A95">
            <w:pPr>
              <w:spacing w:after="0" w:line="240" w:lineRule="auto"/>
              <w:rPr>
                <w:rFonts w:cs="Arial"/>
                <w:spacing w:val="-1"/>
                <w:w w:val="95"/>
                <w:sz w:val="17"/>
                <w:szCs w:val="17"/>
                <w:lang w:val="fr-FR" w:eastAsia="en-GB"/>
              </w:rPr>
            </w:pPr>
            <w:r w:rsidRPr="00BA1CEF">
              <w:rPr>
                <w:rFonts w:cs="Arial"/>
                <w:spacing w:val="-1"/>
                <w:w w:val="95"/>
                <w:sz w:val="17"/>
                <w:szCs w:val="17"/>
                <w:lang w:val="fr-FR" w:eastAsia="en-GB"/>
              </w:rPr>
              <w:t>AFD</w:t>
            </w:r>
          </w:p>
        </w:tc>
        <w:tc>
          <w:tcPr>
            <w:tcW w:w="2520" w:type="dxa"/>
          </w:tcPr>
          <w:p w14:paraId="22A21D24" w14:textId="77777777" w:rsidR="008B2B8B" w:rsidRPr="00BA1CEF" w:rsidRDefault="008B2B8B" w:rsidP="00B72A95">
            <w:pPr>
              <w:spacing w:after="0" w:line="240" w:lineRule="auto"/>
              <w:rPr>
                <w:rFonts w:cs="Arial"/>
                <w:sz w:val="17"/>
                <w:szCs w:val="17"/>
                <w:lang w:val="fr-FR" w:eastAsia="en-GB"/>
              </w:rPr>
            </w:pPr>
            <w:r w:rsidRPr="00BA1CEF">
              <w:rPr>
                <w:rFonts w:cs="Arial"/>
                <w:sz w:val="17"/>
                <w:szCs w:val="17"/>
                <w:lang w:val="fr-FR" w:eastAsia="en-GB"/>
              </w:rPr>
              <w:t>Chargé de projets Assainissement</w:t>
            </w:r>
          </w:p>
        </w:tc>
        <w:tc>
          <w:tcPr>
            <w:tcW w:w="3420" w:type="dxa"/>
          </w:tcPr>
          <w:p w14:paraId="4044A633" w14:textId="77777777" w:rsidR="008B2B8B" w:rsidRPr="00BA1CEF" w:rsidRDefault="008B2B8B" w:rsidP="00B72A95">
            <w:pPr>
              <w:spacing w:after="0" w:line="240" w:lineRule="auto"/>
              <w:rPr>
                <w:rFonts w:cs="Arial"/>
                <w:sz w:val="17"/>
                <w:szCs w:val="17"/>
                <w:lang w:val="fr-FR" w:eastAsia="en-GB"/>
              </w:rPr>
            </w:pPr>
            <w:r w:rsidRPr="00BA1CEF">
              <w:rPr>
                <w:rFonts w:cs="Arial"/>
                <w:sz w:val="17"/>
                <w:szCs w:val="17"/>
                <w:lang w:val="fr-FR" w:eastAsia="en-GB"/>
              </w:rPr>
              <w:t>Tél : 20 21 47 40 ou 20 21 28 42</w:t>
            </w:r>
          </w:p>
          <w:p w14:paraId="24A8CE3E" w14:textId="77777777" w:rsidR="008B2B8B" w:rsidRPr="008E0431" w:rsidRDefault="008B2B8B" w:rsidP="00B72A95">
            <w:pPr>
              <w:spacing w:after="0" w:line="240" w:lineRule="auto"/>
              <w:rPr>
                <w:rFonts w:cs="Arial"/>
                <w:sz w:val="17"/>
                <w:szCs w:val="17"/>
                <w:lang w:val="fr-FR" w:eastAsia="en-GB"/>
              </w:rPr>
            </w:pPr>
            <w:r w:rsidRPr="008E0431">
              <w:rPr>
                <w:rFonts w:cs="Arial"/>
                <w:sz w:val="17"/>
                <w:szCs w:val="17"/>
                <w:lang w:val="fr-FR" w:eastAsia="en-GB"/>
              </w:rPr>
              <w:t xml:space="preserve">e-mail : </w:t>
            </w:r>
            <w:hyperlink r:id="rId89" w:history="1">
              <w:r w:rsidRPr="008E0431">
                <w:rPr>
                  <w:rStyle w:val="Lienhypertexte"/>
                  <w:rFonts w:cs="Arial"/>
                  <w:color w:val="auto"/>
                  <w:sz w:val="17"/>
                  <w:szCs w:val="17"/>
                  <w:lang w:val="fr-FR" w:eastAsia="en-GB"/>
                </w:rPr>
                <w:t>traoreo@afd.fr</w:t>
              </w:r>
            </w:hyperlink>
          </w:p>
        </w:tc>
      </w:tr>
      <w:tr w:rsidR="00BA1CEF" w:rsidRPr="00BA1CEF" w14:paraId="11A384EF" w14:textId="77777777" w:rsidTr="008F27C9">
        <w:tblPrEx>
          <w:tblLook w:val="04A0" w:firstRow="1" w:lastRow="0" w:firstColumn="1" w:lastColumn="0" w:noHBand="0" w:noVBand="1"/>
        </w:tblPrEx>
        <w:trPr>
          <w:trHeight w:val="20"/>
          <w:jc w:val="center"/>
        </w:trPr>
        <w:tc>
          <w:tcPr>
            <w:tcW w:w="1910" w:type="dxa"/>
          </w:tcPr>
          <w:p w14:paraId="5240BFF2" w14:textId="77777777" w:rsidR="008B2B8B" w:rsidRPr="00BA1CEF" w:rsidRDefault="008B2B8B" w:rsidP="00527C24">
            <w:pPr>
              <w:spacing w:after="0" w:line="240" w:lineRule="auto"/>
              <w:jc w:val="left"/>
              <w:rPr>
                <w:rFonts w:cs="Arial"/>
                <w:spacing w:val="-2"/>
                <w:sz w:val="17"/>
                <w:szCs w:val="17"/>
                <w:lang w:val="fr-FR" w:eastAsia="en-GB"/>
              </w:rPr>
            </w:pPr>
            <w:r w:rsidRPr="00BA1CEF">
              <w:rPr>
                <w:rFonts w:cs="Arial"/>
                <w:spacing w:val="-2"/>
                <w:sz w:val="17"/>
                <w:szCs w:val="17"/>
                <w:lang w:val="fr-FR" w:eastAsia="en-GB"/>
              </w:rPr>
              <w:t>Nadine DULAC</w:t>
            </w:r>
          </w:p>
        </w:tc>
        <w:tc>
          <w:tcPr>
            <w:tcW w:w="1978" w:type="dxa"/>
          </w:tcPr>
          <w:p w14:paraId="19107EA8" w14:textId="77777777" w:rsidR="008B2B8B" w:rsidRPr="00BA1CEF" w:rsidRDefault="008B2B8B" w:rsidP="00527C24">
            <w:pPr>
              <w:spacing w:after="0" w:line="240" w:lineRule="auto"/>
              <w:jc w:val="left"/>
              <w:rPr>
                <w:rFonts w:cs="Arial"/>
                <w:spacing w:val="-1"/>
                <w:w w:val="95"/>
                <w:sz w:val="17"/>
                <w:szCs w:val="17"/>
                <w:lang w:val="fr-FR" w:eastAsia="en-GB"/>
              </w:rPr>
            </w:pPr>
            <w:r w:rsidRPr="00BA1CEF">
              <w:rPr>
                <w:rFonts w:cs="Arial"/>
                <w:spacing w:val="-1"/>
                <w:w w:val="95"/>
                <w:sz w:val="17"/>
                <w:szCs w:val="17"/>
                <w:lang w:val="fr-FR" w:eastAsia="en-GB"/>
              </w:rPr>
              <w:t>Coopération Technique du Belgique (ENABEL)</w:t>
            </w:r>
          </w:p>
        </w:tc>
        <w:tc>
          <w:tcPr>
            <w:tcW w:w="2520" w:type="dxa"/>
          </w:tcPr>
          <w:p w14:paraId="28D7C168" w14:textId="77777777" w:rsidR="008B2B8B" w:rsidRPr="00BA1CEF" w:rsidRDefault="008B2B8B" w:rsidP="00527C24">
            <w:pPr>
              <w:spacing w:after="0" w:line="240" w:lineRule="auto"/>
              <w:jc w:val="left"/>
              <w:rPr>
                <w:rFonts w:cs="Arial"/>
                <w:sz w:val="17"/>
                <w:szCs w:val="17"/>
                <w:lang w:val="fr-FR" w:eastAsia="en-GB"/>
              </w:rPr>
            </w:pPr>
            <w:r w:rsidRPr="00BA1CEF">
              <w:rPr>
                <w:rFonts w:cs="Arial"/>
                <w:sz w:val="17"/>
                <w:szCs w:val="17"/>
                <w:lang w:val="fr-FR" w:eastAsia="en-GB"/>
              </w:rPr>
              <w:t>Expert en appui au dialogue politique environnement et changement climatique</w:t>
            </w:r>
          </w:p>
        </w:tc>
        <w:tc>
          <w:tcPr>
            <w:tcW w:w="3420" w:type="dxa"/>
          </w:tcPr>
          <w:p w14:paraId="78238C78" w14:textId="77777777" w:rsidR="008B2B8B" w:rsidRPr="00BA1CEF" w:rsidRDefault="008B2B8B" w:rsidP="00527C24">
            <w:pPr>
              <w:spacing w:after="0" w:line="240" w:lineRule="auto"/>
              <w:jc w:val="left"/>
              <w:rPr>
                <w:rFonts w:cs="Arial"/>
                <w:sz w:val="17"/>
                <w:szCs w:val="17"/>
                <w:lang w:val="fr-FR" w:eastAsia="en-GB"/>
              </w:rPr>
            </w:pPr>
            <w:r w:rsidRPr="00BA1CEF">
              <w:rPr>
                <w:rFonts w:cs="Arial"/>
                <w:sz w:val="17"/>
                <w:szCs w:val="17"/>
                <w:lang w:val="fr-FR" w:eastAsia="en-GB"/>
              </w:rPr>
              <w:t>Tél : 20 23 96 42 ou 70 24 08 75</w:t>
            </w:r>
          </w:p>
          <w:p w14:paraId="06D0C1B2" w14:textId="77777777" w:rsidR="008B2B8B" w:rsidRPr="00BA1CEF" w:rsidRDefault="00736FE4" w:rsidP="00527C24">
            <w:pPr>
              <w:spacing w:after="0" w:line="240" w:lineRule="auto"/>
              <w:jc w:val="left"/>
              <w:rPr>
                <w:rFonts w:cs="Arial"/>
                <w:sz w:val="17"/>
                <w:szCs w:val="17"/>
                <w:lang w:val="fr-FR" w:eastAsia="en-GB"/>
              </w:rPr>
            </w:pPr>
            <w:hyperlink r:id="rId90" w:history="1">
              <w:r w:rsidR="008B2B8B" w:rsidRPr="00BA1CEF">
                <w:rPr>
                  <w:rStyle w:val="Lienhypertexte"/>
                  <w:rFonts w:cs="Arial"/>
                  <w:color w:val="auto"/>
                  <w:sz w:val="17"/>
                  <w:szCs w:val="17"/>
                  <w:lang w:val="fr-FR" w:eastAsia="en-GB"/>
                </w:rPr>
                <w:t>Nadine.dulac@enabel.be</w:t>
              </w:r>
            </w:hyperlink>
          </w:p>
        </w:tc>
      </w:tr>
      <w:tr w:rsidR="00BA1CEF" w:rsidRPr="00BA1CEF" w14:paraId="6E9990D2" w14:textId="77777777" w:rsidTr="008F27C9">
        <w:tblPrEx>
          <w:tblLook w:val="04A0" w:firstRow="1" w:lastRow="0" w:firstColumn="1" w:lastColumn="0" w:noHBand="0" w:noVBand="1"/>
        </w:tblPrEx>
        <w:trPr>
          <w:trHeight w:val="20"/>
          <w:jc w:val="center"/>
        </w:trPr>
        <w:tc>
          <w:tcPr>
            <w:tcW w:w="1910" w:type="dxa"/>
          </w:tcPr>
          <w:p w14:paraId="492F924D" w14:textId="77777777" w:rsidR="008B2B8B" w:rsidRPr="00BA1CEF" w:rsidRDefault="008B2B8B" w:rsidP="00527C24">
            <w:pPr>
              <w:spacing w:after="0" w:line="240" w:lineRule="auto"/>
              <w:jc w:val="left"/>
              <w:rPr>
                <w:rFonts w:eastAsia="Georgia" w:cs="Arial"/>
                <w:sz w:val="17"/>
                <w:szCs w:val="17"/>
                <w:lang w:val="fr-FR" w:eastAsia="en-GB"/>
              </w:rPr>
            </w:pPr>
            <w:r w:rsidRPr="00BA1CEF">
              <w:rPr>
                <w:rFonts w:eastAsia="Georgia" w:cs="Arial"/>
                <w:sz w:val="17"/>
                <w:szCs w:val="17"/>
                <w:lang w:val="fr-FR" w:eastAsia="en-GB"/>
              </w:rPr>
              <w:t>Bani SACKO</w:t>
            </w:r>
          </w:p>
        </w:tc>
        <w:tc>
          <w:tcPr>
            <w:tcW w:w="1978" w:type="dxa"/>
          </w:tcPr>
          <w:p w14:paraId="410C66C5" w14:textId="77777777" w:rsidR="008B2B8B" w:rsidRPr="00BA1CEF" w:rsidRDefault="008B2B8B" w:rsidP="00527C24">
            <w:pPr>
              <w:spacing w:after="0" w:line="240" w:lineRule="auto"/>
              <w:jc w:val="left"/>
              <w:rPr>
                <w:rFonts w:eastAsia="Georgia" w:cs="Arial"/>
                <w:sz w:val="17"/>
                <w:szCs w:val="17"/>
                <w:lang w:val="fr-FR" w:eastAsia="en-GB"/>
              </w:rPr>
            </w:pPr>
            <w:r w:rsidRPr="00BA1CEF">
              <w:rPr>
                <w:rFonts w:cs="Arial"/>
                <w:spacing w:val="-1"/>
                <w:w w:val="95"/>
                <w:sz w:val="17"/>
                <w:szCs w:val="17"/>
                <w:lang w:val="fr-FR" w:eastAsia="en-GB"/>
              </w:rPr>
              <w:t>Org</w:t>
            </w:r>
            <w:r w:rsidRPr="00BA1CEF">
              <w:rPr>
                <w:rFonts w:cs="Arial"/>
                <w:w w:val="95"/>
                <w:sz w:val="17"/>
                <w:szCs w:val="17"/>
                <w:lang w:val="fr-FR" w:eastAsia="en-GB"/>
              </w:rPr>
              <w:t>anisa</w:t>
            </w:r>
            <w:r w:rsidRPr="00BA1CEF">
              <w:rPr>
                <w:rFonts w:cs="Arial"/>
                <w:spacing w:val="-1"/>
                <w:w w:val="95"/>
                <w:sz w:val="17"/>
                <w:szCs w:val="17"/>
                <w:lang w:val="fr-FR" w:eastAsia="en-GB"/>
              </w:rPr>
              <w:t>t</w:t>
            </w:r>
            <w:r w:rsidRPr="00BA1CEF">
              <w:rPr>
                <w:rFonts w:cs="Arial"/>
                <w:w w:val="95"/>
                <w:sz w:val="17"/>
                <w:szCs w:val="17"/>
                <w:lang w:val="fr-FR" w:eastAsia="en-GB"/>
              </w:rPr>
              <w:t>ion</w:t>
            </w:r>
            <w:r w:rsidRPr="00BA1CEF">
              <w:rPr>
                <w:rFonts w:cs="Arial"/>
                <w:spacing w:val="-18"/>
                <w:w w:val="95"/>
                <w:sz w:val="17"/>
                <w:szCs w:val="17"/>
                <w:lang w:val="fr-FR" w:eastAsia="en-GB"/>
              </w:rPr>
              <w:t xml:space="preserve"> </w:t>
            </w:r>
            <w:r w:rsidRPr="00BA1CEF">
              <w:rPr>
                <w:rFonts w:cs="Arial"/>
                <w:w w:val="95"/>
                <w:sz w:val="17"/>
                <w:szCs w:val="17"/>
                <w:lang w:val="fr-FR" w:eastAsia="en-GB"/>
              </w:rPr>
              <w:t>née</w:t>
            </w:r>
            <w:r w:rsidRPr="00BA1CEF">
              <w:rPr>
                <w:rFonts w:cs="Arial"/>
                <w:spacing w:val="-1"/>
                <w:w w:val="95"/>
                <w:sz w:val="17"/>
                <w:szCs w:val="17"/>
                <w:lang w:val="fr-FR" w:eastAsia="en-GB"/>
              </w:rPr>
              <w:t>r</w:t>
            </w:r>
            <w:r w:rsidRPr="00BA1CEF">
              <w:rPr>
                <w:rFonts w:cs="Arial"/>
                <w:w w:val="95"/>
                <w:sz w:val="17"/>
                <w:szCs w:val="17"/>
                <w:lang w:val="fr-FR" w:eastAsia="en-GB"/>
              </w:rPr>
              <w:t>landaise</w:t>
            </w:r>
            <w:r w:rsidRPr="00BA1CEF">
              <w:rPr>
                <w:rFonts w:cs="Arial"/>
                <w:spacing w:val="-17"/>
                <w:w w:val="95"/>
                <w:sz w:val="17"/>
                <w:szCs w:val="17"/>
                <w:lang w:val="fr-FR" w:eastAsia="en-GB"/>
              </w:rPr>
              <w:t xml:space="preserve"> </w:t>
            </w:r>
            <w:r w:rsidRPr="00BA1CEF">
              <w:rPr>
                <w:rFonts w:cs="Arial"/>
                <w:w w:val="95"/>
                <w:sz w:val="17"/>
                <w:szCs w:val="17"/>
                <w:lang w:val="fr-FR" w:eastAsia="en-GB"/>
              </w:rPr>
              <w:t>pour</w:t>
            </w:r>
            <w:r w:rsidRPr="00BA1CEF">
              <w:rPr>
                <w:rFonts w:cs="Arial"/>
                <w:spacing w:val="-18"/>
                <w:w w:val="95"/>
                <w:sz w:val="17"/>
                <w:szCs w:val="17"/>
                <w:lang w:val="fr-FR" w:eastAsia="en-GB"/>
              </w:rPr>
              <w:t xml:space="preserve"> </w:t>
            </w:r>
            <w:r w:rsidRPr="00BA1CEF">
              <w:rPr>
                <w:rFonts w:cs="Arial"/>
                <w:w w:val="95"/>
                <w:sz w:val="17"/>
                <w:szCs w:val="17"/>
                <w:lang w:val="fr-FR" w:eastAsia="en-GB"/>
              </w:rPr>
              <w:t>le</w:t>
            </w:r>
            <w:r w:rsidRPr="00BA1CEF">
              <w:rPr>
                <w:rFonts w:cs="Arial"/>
                <w:spacing w:val="28"/>
                <w:w w:val="92"/>
                <w:sz w:val="17"/>
                <w:szCs w:val="17"/>
                <w:lang w:val="fr-FR" w:eastAsia="en-GB"/>
              </w:rPr>
              <w:t xml:space="preserve"> </w:t>
            </w:r>
            <w:r w:rsidRPr="00BA1CEF">
              <w:rPr>
                <w:rFonts w:cs="Arial"/>
                <w:spacing w:val="-1"/>
                <w:w w:val="90"/>
                <w:sz w:val="17"/>
                <w:szCs w:val="17"/>
                <w:lang w:val="fr-FR" w:eastAsia="en-GB"/>
              </w:rPr>
              <w:t>développement</w:t>
            </w:r>
            <w:r w:rsidRPr="00BA1CEF">
              <w:rPr>
                <w:rFonts w:cs="Arial"/>
                <w:spacing w:val="26"/>
                <w:w w:val="90"/>
                <w:sz w:val="17"/>
                <w:szCs w:val="17"/>
                <w:lang w:val="fr-FR" w:eastAsia="en-GB"/>
              </w:rPr>
              <w:t xml:space="preserve"> </w:t>
            </w:r>
            <w:r w:rsidRPr="00BA1CEF">
              <w:rPr>
                <w:rFonts w:cs="Arial"/>
                <w:w w:val="90"/>
                <w:sz w:val="17"/>
                <w:szCs w:val="17"/>
                <w:lang w:val="fr-FR" w:eastAsia="en-GB"/>
              </w:rPr>
              <w:t>(</w:t>
            </w:r>
            <w:r w:rsidRPr="00BA1CEF">
              <w:rPr>
                <w:rFonts w:cs="Arial"/>
                <w:spacing w:val="-1"/>
                <w:w w:val="90"/>
                <w:sz w:val="17"/>
                <w:szCs w:val="17"/>
                <w:lang w:val="fr-FR" w:eastAsia="en-GB"/>
              </w:rPr>
              <w:t>SNV</w:t>
            </w:r>
            <w:r w:rsidRPr="00BA1CEF">
              <w:rPr>
                <w:rFonts w:cs="Arial"/>
                <w:w w:val="90"/>
                <w:sz w:val="17"/>
                <w:szCs w:val="17"/>
                <w:lang w:val="fr-FR" w:eastAsia="en-GB"/>
              </w:rPr>
              <w:t>)</w:t>
            </w:r>
          </w:p>
        </w:tc>
        <w:tc>
          <w:tcPr>
            <w:tcW w:w="2520" w:type="dxa"/>
          </w:tcPr>
          <w:p w14:paraId="13CF6265" w14:textId="77777777" w:rsidR="008B2B8B" w:rsidRPr="00BA1CEF" w:rsidRDefault="008B2B8B" w:rsidP="00527C24">
            <w:pPr>
              <w:spacing w:after="0" w:line="240" w:lineRule="auto"/>
              <w:jc w:val="left"/>
              <w:rPr>
                <w:rFonts w:cs="Arial"/>
                <w:sz w:val="17"/>
                <w:szCs w:val="17"/>
                <w:lang w:val="fr-FR" w:eastAsia="en-GB"/>
              </w:rPr>
            </w:pPr>
            <w:r w:rsidRPr="00BA1CEF">
              <w:rPr>
                <w:rFonts w:cs="Arial"/>
                <w:sz w:val="17"/>
                <w:szCs w:val="17"/>
                <w:lang w:val="fr-FR" w:eastAsia="en-GB"/>
              </w:rPr>
              <w:t>Conseiller gestion des déchets</w:t>
            </w:r>
          </w:p>
        </w:tc>
        <w:tc>
          <w:tcPr>
            <w:tcW w:w="3420" w:type="dxa"/>
          </w:tcPr>
          <w:p w14:paraId="15FE7378" w14:textId="77777777" w:rsidR="008B2B8B" w:rsidRPr="00BA1CEF" w:rsidRDefault="008B2B8B" w:rsidP="00527C24">
            <w:pPr>
              <w:spacing w:after="0" w:line="240" w:lineRule="auto"/>
              <w:jc w:val="left"/>
              <w:rPr>
                <w:rFonts w:cs="Arial"/>
                <w:sz w:val="17"/>
                <w:szCs w:val="17"/>
                <w:lang w:val="fr-FR" w:eastAsia="en-GB"/>
              </w:rPr>
            </w:pPr>
            <w:r w:rsidRPr="00BA1CEF">
              <w:rPr>
                <w:rFonts w:cs="Arial"/>
                <w:sz w:val="17"/>
                <w:szCs w:val="17"/>
                <w:lang w:val="fr-FR" w:eastAsia="en-GB"/>
              </w:rPr>
              <w:t xml:space="preserve">Tél : 20 </w:t>
            </w:r>
            <w:r w:rsidRPr="00BA1CEF">
              <w:rPr>
                <w:rFonts w:cs="Arial"/>
                <w:spacing w:val="-23"/>
                <w:sz w:val="17"/>
                <w:szCs w:val="17"/>
                <w:lang w:val="fr-FR" w:eastAsia="en-GB"/>
              </w:rPr>
              <w:t xml:space="preserve"> </w:t>
            </w:r>
            <w:r w:rsidRPr="00BA1CEF">
              <w:rPr>
                <w:rFonts w:cs="Arial"/>
                <w:spacing w:val="-2"/>
                <w:sz w:val="17"/>
                <w:szCs w:val="17"/>
                <w:lang w:val="fr-FR" w:eastAsia="en-GB"/>
              </w:rPr>
              <w:t xml:space="preserve">23 </w:t>
            </w:r>
            <w:r w:rsidRPr="00BA1CEF">
              <w:rPr>
                <w:rFonts w:cs="Arial"/>
                <w:spacing w:val="-23"/>
                <w:sz w:val="17"/>
                <w:szCs w:val="17"/>
                <w:lang w:val="fr-FR" w:eastAsia="en-GB"/>
              </w:rPr>
              <w:t xml:space="preserve"> </w:t>
            </w:r>
            <w:r w:rsidRPr="00BA1CEF">
              <w:rPr>
                <w:rFonts w:cs="Arial"/>
                <w:spacing w:val="-2"/>
                <w:sz w:val="17"/>
                <w:szCs w:val="17"/>
                <w:lang w:val="fr-FR" w:eastAsia="en-GB"/>
              </w:rPr>
              <w:t xml:space="preserve">33 </w:t>
            </w:r>
            <w:r w:rsidRPr="00BA1CEF">
              <w:rPr>
                <w:rFonts w:cs="Arial"/>
                <w:spacing w:val="-23"/>
                <w:sz w:val="17"/>
                <w:szCs w:val="17"/>
                <w:lang w:val="fr-FR" w:eastAsia="en-GB"/>
              </w:rPr>
              <w:t xml:space="preserve"> </w:t>
            </w:r>
            <w:r w:rsidRPr="00BA1CEF">
              <w:rPr>
                <w:rFonts w:cs="Arial"/>
                <w:sz w:val="17"/>
                <w:szCs w:val="17"/>
                <w:lang w:val="fr-FR" w:eastAsia="en-GB"/>
              </w:rPr>
              <w:t>47 ou 78 10 64 61</w:t>
            </w:r>
          </w:p>
          <w:p w14:paraId="5DA06D9A" w14:textId="77777777" w:rsidR="008B2B8B" w:rsidRPr="00BA1CEF" w:rsidRDefault="008B2B8B" w:rsidP="00527C24">
            <w:pPr>
              <w:spacing w:after="0" w:line="240" w:lineRule="auto"/>
              <w:jc w:val="left"/>
              <w:rPr>
                <w:rFonts w:cs="Arial"/>
                <w:w w:val="95"/>
                <w:sz w:val="17"/>
                <w:szCs w:val="17"/>
                <w:lang w:val="fr-FR" w:eastAsia="en-GB"/>
              </w:rPr>
            </w:pPr>
            <w:r w:rsidRPr="00BA1CEF">
              <w:rPr>
                <w:rFonts w:cs="Arial"/>
                <w:sz w:val="17"/>
                <w:szCs w:val="17"/>
                <w:lang w:val="fr-FR" w:eastAsia="en-GB"/>
              </w:rPr>
              <w:t>e-mail :</w:t>
            </w:r>
            <w:hyperlink r:id="rId91" w:history="1">
              <w:r w:rsidRPr="00BA1CEF">
                <w:rPr>
                  <w:rStyle w:val="Lienhypertexte"/>
                  <w:rFonts w:cs="Arial"/>
                  <w:color w:val="auto"/>
                  <w:w w:val="95"/>
                  <w:sz w:val="17"/>
                  <w:szCs w:val="17"/>
                  <w:lang w:val="fr-FR" w:eastAsia="en-GB"/>
                </w:rPr>
                <w:t>bsacko@snv.org</w:t>
              </w:r>
            </w:hyperlink>
          </w:p>
        </w:tc>
      </w:tr>
      <w:tr w:rsidR="00BA1CEF" w:rsidRPr="00BA1CEF" w14:paraId="559E1692" w14:textId="77777777" w:rsidTr="008F27C9">
        <w:tblPrEx>
          <w:tblLook w:val="04A0" w:firstRow="1" w:lastRow="0" w:firstColumn="1" w:lastColumn="0" w:noHBand="0" w:noVBand="1"/>
        </w:tblPrEx>
        <w:trPr>
          <w:trHeight w:val="20"/>
          <w:jc w:val="center"/>
        </w:trPr>
        <w:tc>
          <w:tcPr>
            <w:tcW w:w="1910" w:type="dxa"/>
          </w:tcPr>
          <w:p w14:paraId="1455CD5D" w14:textId="77777777" w:rsidR="008B2B8B" w:rsidRPr="00BA1CEF" w:rsidRDefault="008B2B8B" w:rsidP="00527C24">
            <w:pPr>
              <w:spacing w:after="0" w:line="240" w:lineRule="auto"/>
              <w:jc w:val="left"/>
              <w:rPr>
                <w:rFonts w:eastAsia="Georgia" w:cs="Arial"/>
                <w:sz w:val="17"/>
                <w:szCs w:val="17"/>
                <w:lang w:val="fr-FR" w:eastAsia="en-GB"/>
              </w:rPr>
            </w:pPr>
            <w:r w:rsidRPr="00BA1CEF">
              <w:rPr>
                <w:rFonts w:eastAsia="Georgia" w:cs="Arial"/>
                <w:sz w:val="17"/>
                <w:szCs w:val="17"/>
                <w:lang w:val="fr-FR" w:eastAsia="en-GB"/>
              </w:rPr>
              <w:t>Danséni KONE</w:t>
            </w:r>
          </w:p>
        </w:tc>
        <w:tc>
          <w:tcPr>
            <w:tcW w:w="1978" w:type="dxa"/>
          </w:tcPr>
          <w:p w14:paraId="3AB4330A" w14:textId="77777777" w:rsidR="008B2B8B" w:rsidRPr="00BA1CEF" w:rsidRDefault="008B2B8B" w:rsidP="00527C24">
            <w:pPr>
              <w:spacing w:after="0" w:line="240" w:lineRule="auto"/>
              <w:jc w:val="left"/>
              <w:rPr>
                <w:rFonts w:cs="Arial"/>
                <w:spacing w:val="-1"/>
                <w:w w:val="95"/>
                <w:sz w:val="17"/>
                <w:szCs w:val="17"/>
                <w:lang w:val="fr-FR" w:eastAsia="en-GB"/>
              </w:rPr>
            </w:pPr>
            <w:r w:rsidRPr="00BA1CEF">
              <w:rPr>
                <w:rFonts w:cs="Arial"/>
                <w:spacing w:val="-1"/>
                <w:w w:val="95"/>
                <w:sz w:val="17"/>
                <w:szCs w:val="17"/>
                <w:lang w:val="fr-FR" w:eastAsia="en-GB"/>
              </w:rPr>
              <w:t>Org</w:t>
            </w:r>
            <w:r w:rsidRPr="00BA1CEF">
              <w:rPr>
                <w:rFonts w:cs="Arial"/>
                <w:w w:val="95"/>
                <w:sz w:val="17"/>
                <w:szCs w:val="17"/>
                <w:lang w:val="fr-FR" w:eastAsia="en-GB"/>
              </w:rPr>
              <w:t>anisa</w:t>
            </w:r>
            <w:r w:rsidRPr="00BA1CEF">
              <w:rPr>
                <w:rFonts w:cs="Arial"/>
                <w:spacing w:val="-1"/>
                <w:w w:val="95"/>
                <w:sz w:val="17"/>
                <w:szCs w:val="17"/>
                <w:lang w:val="fr-FR" w:eastAsia="en-GB"/>
              </w:rPr>
              <w:t>t</w:t>
            </w:r>
            <w:r w:rsidRPr="00BA1CEF">
              <w:rPr>
                <w:rFonts w:cs="Arial"/>
                <w:w w:val="95"/>
                <w:sz w:val="17"/>
                <w:szCs w:val="17"/>
                <w:lang w:val="fr-FR" w:eastAsia="en-GB"/>
              </w:rPr>
              <w:t>ion</w:t>
            </w:r>
            <w:r w:rsidRPr="00BA1CEF">
              <w:rPr>
                <w:rFonts w:cs="Arial"/>
                <w:spacing w:val="-18"/>
                <w:w w:val="95"/>
                <w:sz w:val="17"/>
                <w:szCs w:val="17"/>
                <w:lang w:val="fr-FR" w:eastAsia="en-GB"/>
              </w:rPr>
              <w:t xml:space="preserve"> </w:t>
            </w:r>
            <w:r w:rsidRPr="00BA1CEF">
              <w:rPr>
                <w:rFonts w:cs="Arial"/>
                <w:w w:val="95"/>
                <w:sz w:val="17"/>
                <w:szCs w:val="17"/>
                <w:lang w:val="fr-FR" w:eastAsia="en-GB"/>
              </w:rPr>
              <w:t>née</w:t>
            </w:r>
            <w:r w:rsidRPr="00BA1CEF">
              <w:rPr>
                <w:rFonts w:cs="Arial"/>
                <w:spacing w:val="-1"/>
                <w:w w:val="95"/>
                <w:sz w:val="17"/>
                <w:szCs w:val="17"/>
                <w:lang w:val="fr-FR" w:eastAsia="en-GB"/>
              </w:rPr>
              <w:t>r</w:t>
            </w:r>
            <w:r w:rsidRPr="00BA1CEF">
              <w:rPr>
                <w:rFonts w:cs="Arial"/>
                <w:w w:val="95"/>
                <w:sz w:val="17"/>
                <w:szCs w:val="17"/>
                <w:lang w:val="fr-FR" w:eastAsia="en-GB"/>
              </w:rPr>
              <w:t>landaise</w:t>
            </w:r>
            <w:r w:rsidRPr="00BA1CEF">
              <w:rPr>
                <w:rFonts w:cs="Arial"/>
                <w:spacing w:val="-17"/>
                <w:w w:val="95"/>
                <w:sz w:val="17"/>
                <w:szCs w:val="17"/>
                <w:lang w:val="fr-FR" w:eastAsia="en-GB"/>
              </w:rPr>
              <w:t xml:space="preserve"> </w:t>
            </w:r>
            <w:r w:rsidRPr="00BA1CEF">
              <w:rPr>
                <w:rFonts w:cs="Arial"/>
                <w:w w:val="95"/>
                <w:sz w:val="17"/>
                <w:szCs w:val="17"/>
                <w:lang w:val="fr-FR" w:eastAsia="en-GB"/>
              </w:rPr>
              <w:t>pour</w:t>
            </w:r>
            <w:r w:rsidRPr="00BA1CEF">
              <w:rPr>
                <w:rFonts w:cs="Arial"/>
                <w:spacing w:val="-18"/>
                <w:w w:val="95"/>
                <w:sz w:val="17"/>
                <w:szCs w:val="17"/>
                <w:lang w:val="fr-FR" w:eastAsia="en-GB"/>
              </w:rPr>
              <w:t xml:space="preserve"> </w:t>
            </w:r>
            <w:r w:rsidRPr="00BA1CEF">
              <w:rPr>
                <w:rFonts w:cs="Arial"/>
                <w:w w:val="95"/>
                <w:sz w:val="17"/>
                <w:szCs w:val="17"/>
                <w:lang w:val="fr-FR" w:eastAsia="en-GB"/>
              </w:rPr>
              <w:t>le</w:t>
            </w:r>
            <w:r w:rsidRPr="00BA1CEF">
              <w:rPr>
                <w:rFonts w:cs="Arial"/>
                <w:spacing w:val="28"/>
                <w:w w:val="92"/>
                <w:sz w:val="17"/>
                <w:szCs w:val="17"/>
                <w:lang w:val="fr-FR" w:eastAsia="en-GB"/>
              </w:rPr>
              <w:t xml:space="preserve"> </w:t>
            </w:r>
            <w:r w:rsidRPr="00BA1CEF">
              <w:rPr>
                <w:rFonts w:cs="Arial"/>
                <w:spacing w:val="-1"/>
                <w:w w:val="90"/>
                <w:sz w:val="17"/>
                <w:szCs w:val="17"/>
                <w:lang w:val="fr-FR" w:eastAsia="en-GB"/>
              </w:rPr>
              <w:t>développement</w:t>
            </w:r>
            <w:r w:rsidRPr="00BA1CEF">
              <w:rPr>
                <w:rFonts w:cs="Arial"/>
                <w:spacing w:val="26"/>
                <w:w w:val="90"/>
                <w:sz w:val="17"/>
                <w:szCs w:val="17"/>
                <w:lang w:val="fr-FR" w:eastAsia="en-GB"/>
              </w:rPr>
              <w:t xml:space="preserve"> </w:t>
            </w:r>
            <w:r w:rsidRPr="00BA1CEF">
              <w:rPr>
                <w:rFonts w:cs="Arial"/>
                <w:w w:val="90"/>
                <w:sz w:val="17"/>
                <w:szCs w:val="17"/>
                <w:lang w:val="fr-FR" w:eastAsia="en-GB"/>
              </w:rPr>
              <w:t>(</w:t>
            </w:r>
            <w:r w:rsidRPr="00BA1CEF">
              <w:rPr>
                <w:rFonts w:cs="Arial"/>
                <w:spacing w:val="-1"/>
                <w:w w:val="90"/>
                <w:sz w:val="17"/>
                <w:szCs w:val="17"/>
                <w:lang w:val="fr-FR" w:eastAsia="en-GB"/>
              </w:rPr>
              <w:t>SNV</w:t>
            </w:r>
            <w:r w:rsidRPr="00BA1CEF">
              <w:rPr>
                <w:rFonts w:cs="Arial"/>
                <w:w w:val="90"/>
                <w:sz w:val="17"/>
                <w:szCs w:val="17"/>
                <w:lang w:val="fr-FR" w:eastAsia="en-GB"/>
              </w:rPr>
              <w:t>)</w:t>
            </w:r>
          </w:p>
        </w:tc>
        <w:tc>
          <w:tcPr>
            <w:tcW w:w="2520" w:type="dxa"/>
          </w:tcPr>
          <w:p w14:paraId="2E16E0B3" w14:textId="77777777" w:rsidR="008B2B8B" w:rsidRPr="00BA1CEF" w:rsidRDefault="008B2B8B" w:rsidP="00527C24">
            <w:pPr>
              <w:spacing w:after="0" w:line="240" w:lineRule="auto"/>
              <w:jc w:val="left"/>
              <w:rPr>
                <w:rFonts w:cs="Arial"/>
                <w:sz w:val="17"/>
                <w:szCs w:val="17"/>
                <w:lang w:val="fr-FR" w:eastAsia="en-GB"/>
              </w:rPr>
            </w:pPr>
            <w:r w:rsidRPr="00BA1CEF">
              <w:rPr>
                <w:rFonts w:cs="Arial"/>
                <w:sz w:val="17"/>
                <w:szCs w:val="17"/>
                <w:lang w:val="fr-FR" w:eastAsia="en-GB"/>
              </w:rPr>
              <w:t>Expert gestion des déchets solides</w:t>
            </w:r>
          </w:p>
        </w:tc>
        <w:tc>
          <w:tcPr>
            <w:tcW w:w="3420" w:type="dxa"/>
          </w:tcPr>
          <w:p w14:paraId="3EB6F33E" w14:textId="77777777" w:rsidR="008B2B8B" w:rsidRPr="00BA1CEF" w:rsidRDefault="008B2B8B" w:rsidP="00527C24">
            <w:pPr>
              <w:spacing w:after="0" w:line="240" w:lineRule="auto"/>
              <w:jc w:val="left"/>
              <w:rPr>
                <w:rFonts w:cs="Arial"/>
                <w:sz w:val="17"/>
                <w:szCs w:val="17"/>
                <w:lang w:val="fr-FR" w:eastAsia="en-GB"/>
              </w:rPr>
            </w:pPr>
            <w:r w:rsidRPr="00BA1CEF">
              <w:rPr>
                <w:rFonts w:cs="Arial"/>
                <w:sz w:val="17"/>
                <w:szCs w:val="17"/>
                <w:lang w:val="fr-FR" w:eastAsia="en-GB"/>
              </w:rPr>
              <w:t xml:space="preserve">Tél : 20 </w:t>
            </w:r>
            <w:r w:rsidRPr="00BA1CEF">
              <w:rPr>
                <w:rFonts w:cs="Arial"/>
                <w:spacing w:val="-23"/>
                <w:sz w:val="17"/>
                <w:szCs w:val="17"/>
                <w:lang w:val="fr-FR" w:eastAsia="en-GB"/>
              </w:rPr>
              <w:t xml:space="preserve"> </w:t>
            </w:r>
            <w:r w:rsidRPr="00BA1CEF">
              <w:rPr>
                <w:rFonts w:cs="Arial"/>
                <w:spacing w:val="-2"/>
                <w:sz w:val="17"/>
                <w:szCs w:val="17"/>
                <w:lang w:val="fr-FR" w:eastAsia="en-GB"/>
              </w:rPr>
              <w:t xml:space="preserve">23 </w:t>
            </w:r>
            <w:r w:rsidRPr="00BA1CEF">
              <w:rPr>
                <w:rFonts w:cs="Arial"/>
                <w:spacing w:val="-23"/>
                <w:sz w:val="17"/>
                <w:szCs w:val="17"/>
                <w:lang w:val="fr-FR" w:eastAsia="en-GB"/>
              </w:rPr>
              <w:t xml:space="preserve"> </w:t>
            </w:r>
            <w:r w:rsidRPr="00BA1CEF">
              <w:rPr>
                <w:rFonts w:cs="Arial"/>
                <w:spacing w:val="-2"/>
                <w:sz w:val="17"/>
                <w:szCs w:val="17"/>
                <w:lang w:val="fr-FR" w:eastAsia="en-GB"/>
              </w:rPr>
              <w:t xml:space="preserve">33 </w:t>
            </w:r>
            <w:r w:rsidRPr="00BA1CEF">
              <w:rPr>
                <w:rFonts w:cs="Arial"/>
                <w:spacing w:val="-23"/>
                <w:sz w:val="17"/>
                <w:szCs w:val="17"/>
                <w:lang w:val="fr-FR" w:eastAsia="en-GB"/>
              </w:rPr>
              <w:t xml:space="preserve"> </w:t>
            </w:r>
            <w:r w:rsidRPr="00BA1CEF">
              <w:rPr>
                <w:rFonts w:cs="Arial"/>
                <w:sz w:val="17"/>
                <w:szCs w:val="17"/>
                <w:lang w:val="fr-FR" w:eastAsia="en-GB"/>
              </w:rPr>
              <w:t>47 ou 76 47 10 62</w:t>
            </w:r>
          </w:p>
          <w:p w14:paraId="0B9E5E8E" w14:textId="77777777" w:rsidR="008B2B8B" w:rsidRPr="00BA1CEF" w:rsidRDefault="008B2B8B" w:rsidP="00527C24">
            <w:pPr>
              <w:spacing w:after="0" w:line="240" w:lineRule="auto"/>
              <w:jc w:val="left"/>
              <w:rPr>
                <w:rFonts w:cs="Arial"/>
                <w:sz w:val="17"/>
                <w:szCs w:val="17"/>
                <w:lang w:val="fr-FR" w:eastAsia="en-GB"/>
              </w:rPr>
            </w:pPr>
            <w:r w:rsidRPr="00BA1CEF">
              <w:rPr>
                <w:rFonts w:cs="Arial"/>
                <w:sz w:val="17"/>
                <w:szCs w:val="17"/>
                <w:lang w:val="fr-FR" w:eastAsia="en-GB"/>
              </w:rPr>
              <w:t>e-mail : dkone@snv.org</w:t>
            </w:r>
          </w:p>
        </w:tc>
      </w:tr>
      <w:tr w:rsidR="00BA1CEF" w:rsidRPr="00BA1CEF" w14:paraId="21182D30" w14:textId="77777777" w:rsidTr="008F27C9">
        <w:tblPrEx>
          <w:tblLook w:val="04A0" w:firstRow="1" w:lastRow="0" w:firstColumn="1" w:lastColumn="0" w:noHBand="0" w:noVBand="1"/>
        </w:tblPrEx>
        <w:trPr>
          <w:trHeight w:val="20"/>
          <w:jc w:val="center"/>
        </w:trPr>
        <w:tc>
          <w:tcPr>
            <w:tcW w:w="1910" w:type="dxa"/>
          </w:tcPr>
          <w:p w14:paraId="2CD4C697" w14:textId="77777777" w:rsidR="008B2B8B" w:rsidRPr="00BA1CEF" w:rsidRDefault="008B2B8B" w:rsidP="00527C24">
            <w:pPr>
              <w:spacing w:after="0" w:line="240" w:lineRule="auto"/>
              <w:jc w:val="left"/>
              <w:rPr>
                <w:rFonts w:eastAsia="Georgia" w:cs="Arial"/>
                <w:sz w:val="17"/>
                <w:szCs w:val="17"/>
                <w:lang w:val="de-DE" w:eastAsia="en-GB"/>
              </w:rPr>
            </w:pPr>
            <w:r w:rsidRPr="00BA1CEF">
              <w:rPr>
                <w:rFonts w:eastAsia="Georgia" w:cs="Arial"/>
                <w:sz w:val="17"/>
                <w:szCs w:val="17"/>
                <w:lang w:val="de-DE" w:eastAsia="en-GB"/>
              </w:rPr>
              <w:t>Koussé Germain KONE</w:t>
            </w:r>
          </w:p>
        </w:tc>
        <w:tc>
          <w:tcPr>
            <w:tcW w:w="1978" w:type="dxa"/>
          </w:tcPr>
          <w:p w14:paraId="79D369BE" w14:textId="77777777" w:rsidR="008B2B8B" w:rsidRPr="00BA1CEF" w:rsidRDefault="008B2B8B" w:rsidP="00527C24">
            <w:pPr>
              <w:spacing w:after="0" w:line="240" w:lineRule="auto"/>
              <w:jc w:val="left"/>
              <w:rPr>
                <w:rFonts w:cs="Arial"/>
                <w:spacing w:val="-1"/>
                <w:w w:val="95"/>
                <w:sz w:val="17"/>
                <w:szCs w:val="17"/>
                <w:lang w:val="fr-FR" w:eastAsia="en-GB"/>
              </w:rPr>
            </w:pPr>
            <w:r w:rsidRPr="00BA1CEF">
              <w:rPr>
                <w:rFonts w:cs="Arial"/>
                <w:spacing w:val="-1"/>
                <w:w w:val="95"/>
                <w:sz w:val="17"/>
                <w:szCs w:val="17"/>
                <w:lang w:val="fr-FR" w:eastAsia="en-GB"/>
              </w:rPr>
              <w:t>Org</w:t>
            </w:r>
            <w:r w:rsidRPr="00BA1CEF">
              <w:rPr>
                <w:rFonts w:cs="Arial"/>
                <w:w w:val="95"/>
                <w:sz w:val="17"/>
                <w:szCs w:val="17"/>
                <w:lang w:val="fr-FR" w:eastAsia="en-GB"/>
              </w:rPr>
              <w:t>anisa</w:t>
            </w:r>
            <w:r w:rsidRPr="00BA1CEF">
              <w:rPr>
                <w:rFonts w:cs="Arial"/>
                <w:spacing w:val="-1"/>
                <w:w w:val="95"/>
                <w:sz w:val="17"/>
                <w:szCs w:val="17"/>
                <w:lang w:val="fr-FR" w:eastAsia="en-GB"/>
              </w:rPr>
              <w:t>t</w:t>
            </w:r>
            <w:r w:rsidRPr="00BA1CEF">
              <w:rPr>
                <w:rFonts w:cs="Arial"/>
                <w:w w:val="95"/>
                <w:sz w:val="17"/>
                <w:szCs w:val="17"/>
                <w:lang w:val="fr-FR" w:eastAsia="en-GB"/>
              </w:rPr>
              <w:t>ion</w:t>
            </w:r>
            <w:r w:rsidRPr="00BA1CEF">
              <w:rPr>
                <w:rFonts w:cs="Arial"/>
                <w:spacing w:val="-18"/>
                <w:w w:val="95"/>
                <w:sz w:val="17"/>
                <w:szCs w:val="17"/>
                <w:lang w:val="fr-FR" w:eastAsia="en-GB"/>
              </w:rPr>
              <w:t xml:space="preserve"> </w:t>
            </w:r>
            <w:r w:rsidRPr="00BA1CEF">
              <w:rPr>
                <w:rFonts w:cs="Arial"/>
                <w:w w:val="95"/>
                <w:sz w:val="17"/>
                <w:szCs w:val="17"/>
                <w:lang w:val="fr-FR" w:eastAsia="en-GB"/>
              </w:rPr>
              <w:t>née</w:t>
            </w:r>
            <w:r w:rsidRPr="00BA1CEF">
              <w:rPr>
                <w:rFonts w:cs="Arial"/>
                <w:spacing w:val="-1"/>
                <w:w w:val="95"/>
                <w:sz w:val="17"/>
                <w:szCs w:val="17"/>
                <w:lang w:val="fr-FR" w:eastAsia="en-GB"/>
              </w:rPr>
              <w:t>r</w:t>
            </w:r>
            <w:r w:rsidRPr="00BA1CEF">
              <w:rPr>
                <w:rFonts w:cs="Arial"/>
                <w:w w:val="95"/>
                <w:sz w:val="17"/>
                <w:szCs w:val="17"/>
                <w:lang w:val="fr-FR" w:eastAsia="en-GB"/>
              </w:rPr>
              <w:t>landaise</w:t>
            </w:r>
            <w:r w:rsidRPr="00BA1CEF">
              <w:rPr>
                <w:rFonts w:cs="Arial"/>
                <w:spacing w:val="-17"/>
                <w:w w:val="95"/>
                <w:sz w:val="17"/>
                <w:szCs w:val="17"/>
                <w:lang w:val="fr-FR" w:eastAsia="en-GB"/>
              </w:rPr>
              <w:t xml:space="preserve"> </w:t>
            </w:r>
            <w:r w:rsidRPr="00BA1CEF">
              <w:rPr>
                <w:rFonts w:cs="Arial"/>
                <w:w w:val="95"/>
                <w:sz w:val="17"/>
                <w:szCs w:val="17"/>
                <w:lang w:val="fr-FR" w:eastAsia="en-GB"/>
              </w:rPr>
              <w:t>pour</w:t>
            </w:r>
            <w:r w:rsidRPr="00BA1CEF">
              <w:rPr>
                <w:rFonts w:cs="Arial"/>
                <w:spacing w:val="-18"/>
                <w:w w:val="95"/>
                <w:sz w:val="17"/>
                <w:szCs w:val="17"/>
                <w:lang w:val="fr-FR" w:eastAsia="en-GB"/>
              </w:rPr>
              <w:t xml:space="preserve"> </w:t>
            </w:r>
            <w:r w:rsidRPr="00BA1CEF">
              <w:rPr>
                <w:rFonts w:cs="Arial"/>
                <w:w w:val="95"/>
                <w:sz w:val="17"/>
                <w:szCs w:val="17"/>
                <w:lang w:val="fr-FR" w:eastAsia="en-GB"/>
              </w:rPr>
              <w:t>le</w:t>
            </w:r>
            <w:r w:rsidRPr="00BA1CEF">
              <w:rPr>
                <w:rFonts w:cs="Arial"/>
                <w:spacing w:val="28"/>
                <w:w w:val="92"/>
                <w:sz w:val="17"/>
                <w:szCs w:val="17"/>
                <w:lang w:val="fr-FR" w:eastAsia="en-GB"/>
              </w:rPr>
              <w:t xml:space="preserve"> </w:t>
            </w:r>
            <w:r w:rsidRPr="00BA1CEF">
              <w:rPr>
                <w:rFonts w:cs="Arial"/>
                <w:spacing w:val="-1"/>
                <w:w w:val="90"/>
                <w:sz w:val="17"/>
                <w:szCs w:val="17"/>
                <w:lang w:val="fr-FR" w:eastAsia="en-GB"/>
              </w:rPr>
              <w:t>développement</w:t>
            </w:r>
            <w:r w:rsidRPr="00BA1CEF">
              <w:rPr>
                <w:rFonts w:cs="Arial"/>
                <w:spacing w:val="26"/>
                <w:w w:val="90"/>
                <w:sz w:val="17"/>
                <w:szCs w:val="17"/>
                <w:lang w:val="fr-FR" w:eastAsia="en-GB"/>
              </w:rPr>
              <w:t xml:space="preserve"> </w:t>
            </w:r>
            <w:r w:rsidRPr="00BA1CEF">
              <w:rPr>
                <w:rFonts w:cs="Arial"/>
                <w:w w:val="90"/>
                <w:sz w:val="17"/>
                <w:szCs w:val="17"/>
                <w:lang w:val="fr-FR" w:eastAsia="en-GB"/>
              </w:rPr>
              <w:t>(</w:t>
            </w:r>
            <w:r w:rsidRPr="00BA1CEF">
              <w:rPr>
                <w:rFonts w:cs="Arial"/>
                <w:spacing w:val="-1"/>
                <w:w w:val="90"/>
                <w:sz w:val="17"/>
                <w:szCs w:val="17"/>
                <w:lang w:val="fr-FR" w:eastAsia="en-GB"/>
              </w:rPr>
              <w:t>SNV</w:t>
            </w:r>
            <w:r w:rsidRPr="00BA1CEF">
              <w:rPr>
                <w:rFonts w:cs="Arial"/>
                <w:w w:val="90"/>
                <w:sz w:val="17"/>
                <w:szCs w:val="17"/>
                <w:lang w:val="fr-FR" w:eastAsia="en-GB"/>
              </w:rPr>
              <w:t>)</w:t>
            </w:r>
          </w:p>
        </w:tc>
        <w:tc>
          <w:tcPr>
            <w:tcW w:w="2520" w:type="dxa"/>
          </w:tcPr>
          <w:p w14:paraId="3E8C8487" w14:textId="77777777" w:rsidR="008B2B8B" w:rsidRPr="00BA1CEF" w:rsidRDefault="008B2B8B" w:rsidP="00527C24">
            <w:pPr>
              <w:spacing w:after="0" w:line="240" w:lineRule="auto"/>
              <w:jc w:val="left"/>
              <w:rPr>
                <w:rFonts w:cs="Arial"/>
                <w:sz w:val="17"/>
                <w:szCs w:val="17"/>
                <w:lang w:val="fr-FR" w:eastAsia="en-GB"/>
              </w:rPr>
            </w:pPr>
            <w:r w:rsidRPr="00BA1CEF">
              <w:rPr>
                <w:rFonts w:cs="Arial"/>
                <w:sz w:val="17"/>
                <w:szCs w:val="17"/>
                <w:lang w:val="fr-FR" w:eastAsia="en-GB"/>
              </w:rPr>
              <w:t>Chef de projet ‘Inventaire National des PEM</w:t>
            </w:r>
          </w:p>
        </w:tc>
        <w:tc>
          <w:tcPr>
            <w:tcW w:w="3420" w:type="dxa"/>
          </w:tcPr>
          <w:p w14:paraId="2FC4F51A" w14:textId="77777777" w:rsidR="008B2B8B" w:rsidRPr="00BA1CEF" w:rsidRDefault="008B2B8B" w:rsidP="00527C24">
            <w:pPr>
              <w:spacing w:after="0" w:line="240" w:lineRule="auto"/>
              <w:jc w:val="left"/>
              <w:rPr>
                <w:rFonts w:cs="Arial"/>
                <w:sz w:val="17"/>
                <w:szCs w:val="17"/>
                <w:lang w:val="fr-FR" w:eastAsia="en-GB"/>
              </w:rPr>
            </w:pPr>
            <w:r w:rsidRPr="00BA1CEF">
              <w:rPr>
                <w:rFonts w:cs="Arial"/>
                <w:sz w:val="17"/>
                <w:szCs w:val="17"/>
                <w:lang w:val="fr-FR" w:eastAsia="en-GB"/>
              </w:rPr>
              <w:t xml:space="preserve">Tél : 20 </w:t>
            </w:r>
            <w:r w:rsidRPr="00BA1CEF">
              <w:rPr>
                <w:rFonts w:cs="Arial"/>
                <w:spacing w:val="-23"/>
                <w:sz w:val="17"/>
                <w:szCs w:val="17"/>
                <w:lang w:val="fr-FR" w:eastAsia="en-GB"/>
              </w:rPr>
              <w:t xml:space="preserve"> </w:t>
            </w:r>
            <w:r w:rsidRPr="00BA1CEF">
              <w:rPr>
                <w:rFonts w:cs="Arial"/>
                <w:spacing w:val="-2"/>
                <w:sz w:val="17"/>
                <w:szCs w:val="17"/>
                <w:lang w:val="fr-FR" w:eastAsia="en-GB"/>
              </w:rPr>
              <w:t xml:space="preserve">23 </w:t>
            </w:r>
            <w:r w:rsidRPr="00BA1CEF">
              <w:rPr>
                <w:rFonts w:cs="Arial"/>
                <w:spacing w:val="-23"/>
                <w:sz w:val="17"/>
                <w:szCs w:val="17"/>
                <w:lang w:val="fr-FR" w:eastAsia="en-GB"/>
              </w:rPr>
              <w:t xml:space="preserve"> </w:t>
            </w:r>
            <w:r w:rsidRPr="00BA1CEF">
              <w:rPr>
                <w:rFonts w:cs="Arial"/>
                <w:spacing w:val="-2"/>
                <w:sz w:val="17"/>
                <w:szCs w:val="17"/>
                <w:lang w:val="fr-FR" w:eastAsia="en-GB"/>
              </w:rPr>
              <w:t xml:space="preserve">33 </w:t>
            </w:r>
            <w:r w:rsidRPr="00BA1CEF">
              <w:rPr>
                <w:rFonts w:cs="Arial"/>
                <w:spacing w:val="-23"/>
                <w:sz w:val="17"/>
                <w:szCs w:val="17"/>
                <w:lang w:val="fr-FR" w:eastAsia="en-GB"/>
              </w:rPr>
              <w:t xml:space="preserve"> </w:t>
            </w:r>
            <w:r w:rsidRPr="00BA1CEF">
              <w:rPr>
                <w:rFonts w:cs="Arial"/>
                <w:sz w:val="17"/>
                <w:szCs w:val="17"/>
                <w:lang w:val="fr-FR" w:eastAsia="en-GB"/>
              </w:rPr>
              <w:t>47 ou 76 04 89 39</w:t>
            </w:r>
          </w:p>
          <w:p w14:paraId="31FBB9EB" w14:textId="77777777" w:rsidR="008B2B8B" w:rsidRPr="00BA1CEF" w:rsidRDefault="008B2B8B" w:rsidP="00527C24">
            <w:pPr>
              <w:spacing w:after="0" w:line="240" w:lineRule="auto"/>
              <w:jc w:val="left"/>
              <w:rPr>
                <w:rFonts w:cs="Arial"/>
                <w:sz w:val="17"/>
                <w:szCs w:val="17"/>
                <w:lang w:val="fr-FR" w:eastAsia="en-GB"/>
              </w:rPr>
            </w:pPr>
            <w:r w:rsidRPr="00BA1CEF">
              <w:rPr>
                <w:rFonts w:cs="Arial"/>
                <w:sz w:val="17"/>
                <w:szCs w:val="17"/>
                <w:lang w:val="fr-FR" w:eastAsia="en-GB"/>
              </w:rPr>
              <w:t xml:space="preserve">e-mail : </w:t>
            </w:r>
            <w:hyperlink r:id="rId92" w:history="1">
              <w:r w:rsidRPr="00BA1CEF">
                <w:rPr>
                  <w:rStyle w:val="Lienhypertexte"/>
                  <w:rFonts w:cs="Arial"/>
                  <w:color w:val="auto"/>
                  <w:sz w:val="17"/>
                  <w:szCs w:val="17"/>
                  <w:lang w:val="fr-FR" w:eastAsia="en-GB"/>
                </w:rPr>
                <w:t>kkone@snv.org</w:t>
              </w:r>
            </w:hyperlink>
          </w:p>
        </w:tc>
      </w:tr>
      <w:tr w:rsidR="00BA1CEF" w:rsidRPr="00074BCA" w14:paraId="0D390FEF" w14:textId="77777777" w:rsidTr="008F27C9">
        <w:tblPrEx>
          <w:tblLook w:val="04A0" w:firstRow="1" w:lastRow="0" w:firstColumn="1" w:lastColumn="0" w:noHBand="0" w:noVBand="1"/>
        </w:tblPrEx>
        <w:trPr>
          <w:trHeight w:val="20"/>
          <w:jc w:val="center"/>
        </w:trPr>
        <w:tc>
          <w:tcPr>
            <w:tcW w:w="1910" w:type="dxa"/>
          </w:tcPr>
          <w:p w14:paraId="378A427C" w14:textId="77777777" w:rsidR="008B2B8B" w:rsidRPr="00BA1CEF" w:rsidRDefault="008B2B8B" w:rsidP="00B72A95">
            <w:pPr>
              <w:spacing w:after="0" w:line="240" w:lineRule="auto"/>
              <w:rPr>
                <w:rFonts w:eastAsia="Georgia" w:cs="Arial"/>
                <w:sz w:val="17"/>
                <w:szCs w:val="17"/>
                <w:lang w:val="de-DE" w:eastAsia="en-GB"/>
              </w:rPr>
            </w:pPr>
            <w:r w:rsidRPr="00BA1CEF">
              <w:rPr>
                <w:rFonts w:eastAsia="Georgia" w:cs="Arial"/>
                <w:sz w:val="17"/>
                <w:szCs w:val="17"/>
                <w:lang w:val="de-DE" w:eastAsia="en-GB"/>
              </w:rPr>
              <w:t>Verele de VREEDE</w:t>
            </w:r>
          </w:p>
        </w:tc>
        <w:tc>
          <w:tcPr>
            <w:tcW w:w="1978" w:type="dxa"/>
          </w:tcPr>
          <w:p w14:paraId="4E2563CA" w14:textId="77777777" w:rsidR="008B2B8B" w:rsidRPr="00BA1CEF" w:rsidRDefault="008B2B8B" w:rsidP="00B72A95">
            <w:pPr>
              <w:spacing w:after="0" w:line="240" w:lineRule="auto"/>
              <w:rPr>
                <w:rFonts w:cs="Arial"/>
                <w:spacing w:val="-1"/>
                <w:w w:val="95"/>
                <w:sz w:val="17"/>
                <w:szCs w:val="17"/>
                <w:lang w:val="fr-FR" w:eastAsia="en-GB"/>
              </w:rPr>
            </w:pPr>
            <w:r w:rsidRPr="00BA1CEF">
              <w:rPr>
                <w:rFonts w:cs="Arial"/>
                <w:spacing w:val="-1"/>
                <w:w w:val="95"/>
                <w:sz w:val="17"/>
                <w:szCs w:val="17"/>
                <w:lang w:val="fr-FR" w:eastAsia="en-GB"/>
              </w:rPr>
              <w:t>WASTE (ONGI)</w:t>
            </w:r>
          </w:p>
        </w:tc>
        <w:tc>
          <w:tcPr>
            <w:tcW w:w="2520" w:type="dxa"/>
          </w:tcPr>
          <w:p w14:paraId="0B7226EF" w14:textId="77777777" w:rsidR="008B2B8B" w:rsidRPr="00BA1CEF" w:rsidRDefault="008B2B8B" w:rsidP="00B72A95">
            <w:pPr>
              <w:spacing w:after="0" w:line="240" w:lineRule="auto"/>
              <w:rPr>
                <w:rFonts w:cs="Arial"/>
                <w:sz w:val="17"/>
                <w:szCs w:val="17"/>
                <w:lang w:val="fr-FR" w:eastAsia="en-GB"/>
              </w:rPr>
            </w:pPr>
            <w:r w:rsidRPr="00BA1CEF">
              <w:rPr>
                <w:rFonts w:cs="Arial"/>
                <w:sz w:val="17"/>
                <w:szCs w:val="17"/>
                <w:lang w:val="fr-FR" w:eastAsia="en-GB"/>
              </w:rPr>
              <w:t>Conseillère déchets solides</w:t>
            </w:r>
          </w:p>
        </w:tc>
        <w:tc>
          <w:tcPr>
            <w:tcW w:w="3420" w:type="dxa"/>
          </w:tcPr>
          <w:p w14:paraId="354C5D8A" w14:textId="77777777" w:rsidR="008B2B8B" w:rsidRPr="00BA1CEF" w:rsidRDefault="008B2B8B" w:rsidP="00B72A95">
            <w:pPr>
              <w:spacing w:after="0" w:line="240" w:lineRule="auto"/>
              <w:rPr>
                <w:rFonts w:cs="Arial"/>
                <w:sz w:val="17"/>
                <w:szCs w:val="17"/>
                <w:lang w:val="fr-FR" w:eastAsia="en-GB"/>
              </w:rPr>
            </w:pPr>
            <w:r w:rsidRPr="00BA1CEF">
              <w:rPr>
                <w:rFonts w:cs="Arial"/>
                <w:sz w:val="17"/>
                <w:szCs w:val="17"/>
                <w:lang w:val="fr-FR" w:eastAsia="en-GB"/>
              </w:rPr>
              <w:t>Tél : 0031-(0)6 422 298 22</w:t>
            </w:r>
          </w:p>
          <w:p w14:paraId="4DAD523F" w14:textId="77777777" w:rsidR="008B2B8B" w:rsidRPr="008E0431" w:rsidRDefault="008B2B8B" w:rsidP="00B72A95">
            <w:pPr>
              <w:spacing w:after="0" w:line="240" w:lineRule="auto"/>
              <w:rPr>
                <w:rFonts w:cs="Arial"/>
                <w:sz w:val="17"/>
                <w:szCs w:val="17"/>
                <w:lang w:val="fr-FR" w:eastAsia="en-GB"/>
              </w:rPr>
            </w:pPr>
            <w:r w:rsidRPr="008E0431">
              <w:rPr>
                <w:rFonts w:cs="Arial"/>
                <w:sz w:val="17"/>
                <w:szCs w:val="17"/>
                <w:lang w:val="fr-FR" w:eastAsia="en-GB"/>
              </w:rPr>
              <w:t>e-mail : vdevreede@waste.nl</w:t>
            </w:r>
          </w:p>
        </w:tc>
      </w:tr>
      <w:tr w:rsidR="00BA1CEF" w:rsidRPr="00983A2A" w14:paraId="0EAF2487" w14:textId="77777777" w:rsidTr="008F27C9">
        <w:tblPrEx>
          <w:tblLook w:val="04A0" w:firstRow="1" w:lastRow="0" w:firstColumn="1" w:lastColumn="0" w:noHBand="0" w:noVBand="1"/>
        </w:tblPrEx>
        <w:trPr>
          <w:trHeight w:val="20"/>
          <w:jc w:val="center"/>
        </w:trPr>
        <w:tc>
          <w:tcPr>
            <w:tcW w:w="1910" w:type="dxa"/>
          </w:tcPr>
          <w:p w14:paraId="6124FD84" w14:textId="77777777" w:rsidR="008B2B8B" w:rsidRPr="00BA1CEF" w:rsidRDefault="008B2B8B" w:rsidP="00B72A95">
            <w:pPr>
              <w:spacing w:after="0" w:line="240" w:lineRule="auto"/>
              <w:rPr>
                <w:rFonts w:cs="Arial"/>
                <w:sz w:val="17"/>
                <w:szCs w:val="17"/>
                <w:lang w:val="fr-FR" w:eastAsia="zh-CN"/>
              </w:rPr>
            </w:pPr>
            <w:r w:rsidRPr="00BA1CEF">
              <w:rPr>
                <w:rFonts w:cs="Arial"/>
                <w:sz w:val="17"/>
                <w:szCs w:val="17"/>
                <w:lang w:val="fr-FR" w:eastAsia="zh-CN"/>
              </w:rPr>
              <w:t>Oumar TAMBOURA</w:t>
            </w:r>
          </w:p>
        </w:tc>
        <w:tc>
          <w:tcPr>
            <w:tcW w:w="1978" w:type="dxa"/>
          </w:tcPr>
          <w:p w14:paraId="631EABE9" w14:textId="77777777" w:rsidR="008B2B8B" w:rsidRPr="00BA1CEF" w:rsidRDefault="008B2B8B" w:rsidP="00B72A95">
            <w:pPr>
              <w:spacing w:after="0" w:line="240" w:lineRule="auto"/>
              <w:rPr>
                <w:rFonts w:cs="Arial"/>
                <w:sz w:val="17"/>
                <w:szCs w:val="17"/>
                <w:lang w:val="fr-FR" w:eastAsia="zh-CN"/>
              </w:rPr>
            </w:pPr>
            <w:r w:rsidRPr="00BA1CEF">
              <w:rPr>
                <w:rFonts w:cs="Arial"/>
                <w:sz w:val="17"/>
                <w:szCs w:val="17"/>
                <w:lang w:val="fr-FR" w:eastAsia="zh-CN"/>
              </w:rPr>
              <w:t>PNUD</w:t>
            </w:r>
          </w:p>
        </w:tc>
        <w:tc>
          <w:tcPr>
            <w:tcW w:w="2520" w:type="dxa"/>
          </w:tcPr>
          <w:p w14:paraId="2AB5E642" w14:textId="77777777" w:rsidR="008B2B8B" w:rsidRPr="00BA1CEF" w:rsidRDefault="008B2B8B" w:rsidP="00B72A95">
            <w:pPr>
              <w:spacing w:after="0" w:line="240" w:lineRule="auto"/>
              <w:rPr>
                <w:rFonts w:cs="Arial"/>
                <w:sz w:val="17"/>
                <w:szCs w:val="17"/>
                <w:lang w:val="fr-FR" w:eastAsia="zh-CN"/>
              </w:rPr>
            </w:pPr>
            <w:r w:rsidRPr="00BA1CEF">
              <w:rPr>
                <w:rFonts w:cs="Arial"/>
                <w:sz w:val="17"/>
                <w:szCs w:val="17"/>
                <w:lang w:val="fr-FR" w:eastAsia="zh-CN"/>
              </w:rPr>
              <w:t>Chef de file PTF E&amp;DD</w:t>
            </w:r>
          </w:p>
        </w:tc>
        <w:tc>
          <w:tcPr>
            <w:tcW w:w="3420" w:type="dxa"/>
          </w:tcPr>
          <w:p w14:paraId="1F4F38F0" w14:textId="77777777" w:rsidR="008B2B8B" w:rsidRPr="00BA1CEF" w:rsidRDefault="008B2B8B" w:rsidP="00B72A95">
            <w:pPr>
              <w:spacing w:after="0" w:line="240" w:lineRule="auto"/>
              <w:rPr>
                <w:rFonts w:cs="Arial"/>
                <w:sz w:val="17"/>
                <w:szCs w:val="17"/>
                <w:lang w:val="pt-PT" w:eastAsia="zh-CN"/>
              </w:rPr>
            </w:pPr>
            <w:r w:rsidRPr="00BA1CEF">
              <w:rPr>
                <w:rFonts w:cs="Arial"/>
                <w:sz w:val="17"/>
                <w:szCs w:val="17"/>
                <w:lang w:val="pt-PT" w:eastAsia="zh-CN"/>
              </w:rPr>
              <w:t>Tel: 44 98 03 03 ou 44 98 03 13 ou 20 20 74 17</w:t>
            </w:r>
          </w:p>
          <w:p w14:paraId="3D480330" w14:textId="77777777" w:rsidR="008B2B8B" w:rsidRPr="00BA1CEF" w:rsidRDefault="008B2B8B" w:rsidP="00B72A95">
            <w:pPr>
              <w:spacing w:after="0" w:line="240" w:lineRule="auto"/>
              <w:rPr>
                <w:rFonts w:cs="Arial"/>
                <w:sz w:val="17"/>
                <w:szCs w:val="17"/>
                <w:lang w:val="pt-PT" w:eastAsia="zh-CN"/>
              </w:rPr>
            </w:pPr>
            <w:r w:rsidRPr="00BA1CEF">
              <w:rPr>
                <w:rFonts w:cs="Arial"/>
                <w:sz w:val="17"/>
                <w:szCs w:val="17"/>
                <w:lang w:val="pt-PT" w:eastAsia="zh-CN"/>
              </w:rPr>
              <w:lastRenderedPageBreak/>
              <w:t xml:space="preserve">e-mail: </w:t>
            </w:r>
            <w:hyperlink r:id="rId93" w:history="1">
              <w:r w:rsidRPr="00BA1CEF">
                <w:rPr>
                  <w:rStyle w:val="Lienhypertexte"/>
                  <w:rFonts w:cs="Arial"/>
                  <w:color w:val="auto"/>
                  <w:sz w:val="17"/>
                  <w:szCs w:val="17"/>
                  <w:lang w:val="pt-PT" w:eastAsia="zh-CN"/>
                </w:rPr>
                <w:t>oumar.tamboura@undp.org</w:t>
              </w:r>
            </w:hyperlink>
          </w:p>
        </w:tc>
      </w:tr>
    </w:tbl>
    <w:p w14:paraId="70190B95" w14:textId="77777777" w:rsidR="008B2B8B" w:rsidRPr="00BA1CEF" w:rsidRDefault="008B2B8B" w:rsidP="008B2B8B">
      <w:pPr>
        <w:spacing w:after="0" w:line="240" w:lineRule="auto"/>
        <w:rPr>
          <w:rFonts w:eastAsia="SimSun" w:cs="Times New Roman"/>
          <w:sz w:val="8"/>
          <w:szCs w:val="8"/>
          <w:lang w:val="pt-PT" w:eastAsia="zh-CN"/>
        </w:rPr>
      </w:pPr>
    </w:p>
    <w:p w14:paraId="0BDE4A58" w14:textId="77777777" w:rsidR="008B2B8B" w:rsidRPr="00BA1CEF" w:rsidRDefault="009744CB" w:rsidP="008B2B8B">
      <w:pPr>
        <w:spacing w:after="0" w:line="240" w:lineRule="auto"/>
        <w:rPr>
          <w:rFonts w:cs="Arial"/>
          <w:sz w:val="20"/>
          <w:szCs w:val="20"/>
          <w:lang w:val="pt-PT" w:eastAsia="fr-FR"/>
        </w:rPr>
      </w:pPr>
      <w:r w:rsidRPr="00BA1CEF">
        <w:rPr>
          <w:rFonts w:cs="Arial"/>
          <w:sz w:val="20"/>
          <w:szCs w:val="20"/>
          <w:lang w:val="pt-PT" w:eastAsia="fr-FR"/>
        </w:rPr>
        <w:t>Région de Sikasso</w:t>
      </w:r>
    </w:p>
    <w:tbl>
      <w:tblPr>
        <w:tblStyle w:val="Grilledutableau"/>
        <w:tblW w:w="9924" w:type="dxa"/>
        <w:tblInd w:w="-318" w:type="dxa"/>
        <w:tblLayout w:type="fixed"/>
        <w:tblLook w:val="01E0" w:firstRow="1" w:lastRow="1" w:firstColumn="1" w:lastColumn="1" w:noHBand="0" w:noVBand="0"/>
      </w:tblPr>
      <w:tblGrid>
        <w:gridCol w:w="1986"/>
        <w:gridCol w:w="1984"/>
        <w:gridCol w:w="2552"/>
        <w:gridCol w:w="3402"/>
      </w:tblGrid>
      <w:tr w:rsidR="008B2B8B" w:rsidRPr="00BA1CEF" w14:paraId="6EDBE129" w14:textId="77777777" w:rsidTr="00C97090">
        <w:trPr>
          <w:cantSplit/>
          <w:trHeight w:val="20"/>
          <w:tblHeader/>
        </w:trPr>
        <w:tc>
          <w:tcPr>
            <w:tcW w:w="1986" w:type="dxa"/>
            <w:shd w:val="clear" w:color="auto" w:fill="CCCCCC"/>
            <w:vAlign w:val="center"/>
          </w:tcPr>
          <w:p w14:paraId="69D6C524" w14:textId="77777777" w:rsidR="008B2B8B" w:rsidRPr="00BA1CEF" w:rsidRDefault="008B2B8B" w:rsidP="00B72A95">
            <w:pPr>
              <w:rPr>
                <w:rFonts w:cs="Arial"/>
                <w:sz w:val="17"/>
                <w:szCs w:val="17"/>
                <w:lang w:val="fr-FR" w:eastAsia="zh-CN"/>
              </w:rPr>
            </w:pPr>
            <w:r w:rsidRPr="00BA1CEF">
              <w:rPr>
                <w:rFonts w:cs="Arial"/>
                <w:sz w:val="17"/>
                <w:szCs w:val="17"/>
                <w:lang w:val="fr-FR" w:eastAsia="zh-CN"/>
              </w:rPr>
              <w:t>NOM</w:t>
            </w:r>
          </w:p>
        </w:tc>
        <w:tc>
          <w:tcPr>
            <w:tcW w:w="1984" w:type="dxa"/>
            <w:shd w:val="clear" w:color="auto" w:fill="CCCCCC"/>
            <w:vAlign w:val="center"/>
          </w:tcPr>
          <w:p w14:paraId="6F55F89A" w14:textId="77777777" w:rsidR="008B2B8B" w:rsidRPr="00BA1CEF" w:rsidRDefault="008B2B8B" w:rsidP="00B72A95">
            <w:pPr>
              <w:rPr>
                <w:rFonts w:cs="Arial"/>
                <w:sz w:val="17"/>
                <w:szCs w:val="17"/>
                <w:lang w:val="fr-FR" w:eastAsia="zh-CN"/>
              </w:rPr>
            </w:pPr>
            <w:r w:rsidRPr="00BA1CEF">
              <w:rPr>
                <w:rFonts w:cs="Arial"/>
                <w:sz w:val="17"/>
                <w:szCs w:val="17"/>
                <w:lang w:val="fr-FR" w:eastAsia="zh-CN"/>
              </w:rPr>
              <w:t>ORGANISATION</w:t>
            </w:r>
          </w:p>
        </w:tc>
        <w:tc>
          <w:tcPr>
            <w:tcW w:w="2552" w:type="dxa"/>
            <w:shd w:val="clear" w:color="auto" w:fill="CCCCCC"/>
            <w:vAlign w:val="center"/>
          </w:tcPr>
          <w:p w14:paraId="502F15D1" w14:textId="77777777" w:rsidR="008B2B8B" w:rsidRPr="00BA1CEF" w:rsidRDefault="008B2B8B" w:rsidP="00B72A95">
            <w:pPr>
              <w:rPr>
                <w:rFonts w:cs="Arial"/>
                <w:sz w:val="17"/>
                <w:szCs w:val="17"/>
                <w:lang w:val="fr-FR" w:eastAsia="zh-CN"/>
              </w:rPr>
            </w:pPr>
            <w:r w:rsidRPr="00BA1CEF">
              <w:rPr>
                <w:rFonts w:cs="Arial"/>
                <w:sz w:val="17"/>
                <w:szCs w:val="17"/>
                <w:lang w:val="fr-FR" w:eastAsia="zh-CN"/>
              </w:rPr>
              <w:t>FONCTION</w:t>
            </w:r>
          </w:p>
        </w:tc>
        <w:tc>
          <w:tcPr>
            <w:tcW w:w="3402" w:type="dxa"/>
            <w:shd w:val="clear" w:color="auto" w:fill="CCCCCC"/>
            <w:vAlign w:val="center"/>
          </w:tcPr>
          <w:p w14:paraId="3964E617" w14:textId="77777777" w:rsidR="008B2B8B" w:rsidRPr="00BA1CEF" w:rsidRDefault="008B2B8B" w:rsidP="00B72A95">
            <w:pPr>
              <w:rPr>
                <w:rFonts w:cs="Arial"/>
                <w:sz w:val="17"/>
                <w:szCs w:val="17"/>
                <w:lang w:val="fr-FR" w:eastAsia="zh-CN"/>
              </w:rPr>
            </w:pPr>
            <w:r w:rsidRPr="00BA1CEF">
              <w:rPr>
                <w:rFonts w:cs="Arial"/>
                <w:sz w:val="17"/>
                <w:szCs w:val="17"/>
                <w:lang w:val="fr-FR" w:eastAsia="zh-CN"/>
              </w:rPr>
              <w:t>CONTACT</w:t>
            </w:r>
          </w:p>
        </w:tc>
      </w:tr>
      <w:tr w:rsidR="007D3BFE" w:rsidRPr="00BA1CEF" w14:paraId="11B89CDD" w14:textId="77777777" w:rsidTr="00C97090">
        <w:trPr>
          <w:cantSplit/>
          <w:trHeight w:val="20"/>
        </w:trPr>
        <w:tc>
          <w:tcPr>
            <w:tcW w:w="1986" w:type="dxa"/>
            <w:vAlign w:val="center"/>
          </w:tcPr>
          <w:p w14:paraId="0459D5D0" w14:textId="77777777" w:rsidR="008B2B8B" w:rsidRPr="00BA1CEF" w:rsidRDefault="007D3BFE" w:rsidP="00AA5FBD">
            <w:pPr>
              <w:spacing w:after="0" w:line="240" w:lineRule="auto"/>
              <w:jc w:val="left"/>
              <w:rPr>
                <w:rFonts w:cs="Arial"/>
                <w:sz w:val="17"/>
                <w:szCs w:val="17"/>
                <w:lang w:val="fr-FR" w:eastAsia="zh-CN"/>
              </w:rPr>
            </w:pPr>
            <w:r w:rsidRPr="00BA1CEF">
              <w:rPr>
                <w:rFonts w:cs="Arial"/>
                <w:sz w:val="17"/>
                <w:szCs w:val="17"/>
                <w:lang w:val="fr-FR" w:eastAsia="zh-CN"/>
              </w:rPr>
              <w:t>Koué DIOMA</w:t>
            </w:r>
          </w:p>
        </w:tc>
        <w:tc>
          <w:tcPr>
            <w:tcW w:w="1984" w:type="dxa"/>
            <w:vAlign w:val="center"/>
          </w:tcPr>
          <w:p w14:paraId="056C400B" w14:textId="77777777" w:rsidR="008B2B8B" w:rsidRPr="00BA1CEF" w:rsidRDefault="007D3BFE" w:rsidP="00AA5FBD">
            <w:pPr>
              <w:spacing w:after="0" w:line="240" w:lineRule="auto"/>
              <w:jc w:val="left"/>
              <w:rPr>
                <w:rFonts w:cs="Arial"/>
                <w:sz w:val="17"/>
                <w:szCs w:val="17"/>
                <w:lang w:val="fr-FR" w:eastAsia="zh-CN"/>
              </w:rPr>
            </w:pPr>
            <w:r w:rsidRPr="00BA1CEF">
              <w:rPr>
                <w:rFonts w:cs="Arial"/>
                <w:sz w:val="17"/>
                <w:szCs w:val="17"/>
                <w:lang w:val="fr-FR" w:eastAsia="zh-CN"/>
              </w:rPr>
              <w:t>Commune urbaine de Sikasso</w:t>
            </w:r>
          </w:p>
        </w:tc>
        <w:tc>
          <w:tcPr>
            <w:tcW w:w="2552" w:type="dxa"/>
            <w:vAlign w:val="center"/>
          </w:tcPr>
          <w:p w14:paraId="24E1914E" w14:textId="77777777" w:rsidR="008B2B8B" w:rsidRPr="00BA1CEF" w:rsidRDefault="007D3BFE" w:rsidP="00AA5FBD">
            <w:pPr>
              <w:spacing w:after="0" w:line="240" w:lineRule="auto"/>
              <w:jc w:val="left"/>
              <w:rPr>
                <w:rFonts w:cs="Arial"/>
                <w:sz w:val="17"/>
                <w:szCs w:val="17"/>
                <w:lang w:val="fr-FR" w:eastAsia="zh-CN"/>
              </w:rPr>
            </w:pPr>
            <w:r w:rsidRPr="00BA1CEF">
              <w:rPr>
                <w:rFonts w:cs="Arial"/>
                <w:sz w:val="17"/>
                <w:szCs w:val="17"/>
                <w:lang w:val="fr-FR" w:eastAsia="zh-CN"/>
              </w:rPr>
              <w:t>S</w:t>
            </w:r>
            <w:r w:rsidR="00576749" w:rsidRPr="00BA1CEF">
              <w:rPr>
                <w:rFonts w:cs="Arial"/>
                <w:sz w:val="17"/>
                <w:szCs w:val="17"/>
                <w:lang w:val="fr-FR" w:eastAsia="zh-CN"/>
              </w:rPr>
              <w:t>ecré</w:t>
            </w:r>
            <w:r w:rsidRPr="00BA1CEF">
              <w:rPr>
                <w:rFonts w:cs="Arial"/>
                <w:sz w:val="17"/>
                <w:szCs w:val="17"/>
                <w:lang w:val="fr-FR" w:eastAsia="zh-CN"/>
              </w:rPr>
              <w:t>taire Général (SEGAL)</w:t>
            </w:r>
          </w:p>
        </w:tc>
        <w:tc>
          <w:tcPr>
            <w:tcW w:w="3402" w:type="dxa"/>
            <w:vAlign w:val="center"/>
          </w:tcPr>
          <w:p w14:paraId="7C9036B9" w14:textId="77777777" w:rsidR="008B2B8B" w:rsidRPr="00BA1CEF" w:rsidRDefault="007D3BFE" w:rsidP="00AA5FBD">
            <w:pPr>
              <w:spacing w:after="0" w:line="240" w:lineRule="auto"/>
              <w:jc w:val="left"/>
              <w:rPr>
                <w:rFonts w:cs="Arial"/>
                <w:sz w:val="17"/>
                <w:szCs w:val="17"/>
                <w:lang w:val="pt-PT" w:eastAsia="fr-FR"/>
              </w:rPr>
            </w:pPr>
            <w:r w:rsidRPr="00BA1CEF">
              <w:rPr>
                <w:rFonts w:cs="Arial"/>
                <w:sz w:val="17"/>
                <w:szCs w:val="17"/>
                <w:lang w:val="pt-PT" w:eastAsia="fr-FR"/>
              </w:rPr>
              <w:t>Tél: 66 54 11 07</w:t>
            </w:r>
          </w:p>
          <w:p w14:paraId="43904BCC" w14:textId="77777777" w:rsidR="007D3BFE" w:rsidRPr="00BA1CEF" w:rsidRDefault="007D3BFE" w:rsidP="00AA5FBD">
            <w:pPr>
              <w:spacing w:after="0" w:line="240" w:lineRule="auto"/>
              <w:jc w:val="left"/>
              <w:rPr>
                <w:rFonts w:cs="Arial"/>
                <w:sz w:val="17"/>
                <w:szCs w:val="17"/>
                <w:lang w:val="pt-PT" w:eastAsia="fr-FR"/>
              </w:rPr>
            </w:pPr>
            <w:r w:rsidRPr="00BA1CEF">
              <w:rPr>
                <w:rFonts w:cs="Arial"/>
                <w:sz w:val="17"/>
                <w:szCs w:val="17"/>
                <w:lang w:val="pt-PT" w:eastAsia="fr-FR"/>
              </w:rPr>
              <w:t>e-mail: kouedioma78@yahoo.com</w:t>
            </w:r>
          </w:p>
        </w:tc>
      </w:tr>
      <w:tr w:rsidR="007D3BFE" w:rsidRPr="00BA1CEF" w14:paraId="060F5D25" w14:textId="77777777" w:rsidTr="00C97090">
        <w:trPr>
          <w:cantSplit/>
          <w:trHeight w:val="20"/>
        </w:trPr>
        <w:tc>
          <w:tcPr>
            <w:tcW w:w="1986" w:type="dxa"/>
            <w:vAlign w:val="center"/>
          </w:tcPr>
          <w:p w14:paraId="72669642" w14:textId="77777777" w:rsidR="008B2B8B" w:rsidRPr="00BA1CEF" w:rsidRDefault="007D3BFE" w:rsidP="00AA5FBD">
            <w:pPr>
              <w:spacing w:after="0" w:line="240" w:lineRule="auto"/>
              <w:jc w:val="left"/>
              <w:rPr>
                <w:rFonts w:cs="Arial"/>
                <w:sz w:val="17"/>
                <w:szCs w:val="17"/>
                <w:lang w:val="fr-FR" w:eastAsia="zh-CN"/>
              </w:rPr>
            </w:pPr>
            <w:r w:rsidRPr="00BA1CEF">
              <w:rPr>
                <w:rFonts w:cs="Arial"/>
                <w:sz w:val="17"/>
                <w:szCs w:val="17"/>
                <w:lang w:val="fr-FR" w:eastAsia="zh-CN"/>
              </w:rPr>
              <w:t>Daouda OUATTARA</w:t>
            </w:r>
          </w:p>
        </w:tc>
        <w:tc>
          <w:tcPr>
            <w:tcW w:w="1984" w:type="dxa"/>
            <w:vAlign w:val="center"/>
          </w:tcPr>
          <w:p w14:paraId="649F6938" w14:textId="77777777" w:rsidR="008B2B8B" w:rsidRPr="00BA1CEF" w:rsidRDefault="007D3BFE" w:rsidP="00AA5FBD">
            <w:pPr>
              <w:spacing w:after="0" w:line="240" w:lineRule="auto"/>
              <w:jc w:val="left"/>
              <w:rPr>
                <w:rFonts w:cs="Arial"/>
                <w:sz w:val="17"/>
                <w:szCs w:val="17"/>
                <w:lang w:val="fr-FR" w:eastAsia="zh-CN"/>
              </w:rPr>
            </w:pPr>
            <w:r w:rsidRPr="00BA1CEF">
              <w:rPr>
                <w:rFonts w:cs="Arial"/>
                <w:sz w:val="17"/>
                <w:szCs w:val="17"/>
                <w:lang w:val="fr-FR" w:eastAsia="zh-CN"/>
              </w:rPr>
              <w:t>Commune urbaine de Sikasso</w:t>
            </w:r>
          </w:p>
        </w:tc>
        <w:tc>
          <w:tcPr>
            <w:tcW w:w="2552" w:type="dxa"/>
            <w:vAlign w:val="center"/>
          </w:tcPr>
          <w:p w14:paraId="5294844D" w14:textId="77777777" w:rsidR="008B2B8B" w:rsidRPr="00BA1CEF" w:rsidRDefault="007D3BFE" w:rsidP="00AA5FBD">
            <w:pPr>
              <w:spacing w:after="0" w:line="240" w:lineRule="auto"/>
              <w:jc w:val="left"/>
              <w:rPr>
                <w:rFonts w:cs="Arial"/>
                <w:sz w:val="17"/>
                <w:szCs w:val="17"/>
                <w:lang w:val="fr-FR" w:eastAsia="zh-CN"/>
              </w:rPr>
            </w:pPr>
            <w:r w:rsidRPr="00BA1CEF">
              <w:rPr>
                <w:rFonts w:cs="Arial"/>
                <w:sz w:val="17"/>
                <w:szCs w:val="17"/>
                <w:lang w:val="fr-FR" w:eastAsia="zh-CN"/>
              </w:rPr>
              <w:t>Superviseur du projet CONFIDIS</w:t>
            </w:r>
          </w:p>
        </w:tc>
        <w:tc>
          <w:tcPr>
            <w:tcW w:w="3402" w:type="dxa"/>
            <w:vAlign w:val="center"/>
          </w:tcPr>
          <w:p w14:paraId="26A45A96" w14:textId="77777777" w:rsidR="008B2B8B" w:rsidRPr="00BA1CEF" w:rsidRDefault="007D3BFE" w:rsidP="00AA5FBD">
            <w:pPr>
              <w:spacing w:after="0" w:line="240" w:lineRule="auto"/>
              <w:jc w:val="left"/>
              <w:rPr>
                <w:rFonts w:cs="Arial"/>
                <w:sz w:val="17"/>
                <w:szCs w:val="17"/>
                <w:lang w:val="pt-PT" w:eastAsia="fr-FR"/>
              </w:rPr>
            </w:pPr>
            <w:r w:rsidRPr="00BA1CEF">
              <w:rPr>
                <w:rFonts w:cs="Arial"/>
                <w:sz w:val="17"/>
                <w:szCs w:val="17"/>
                <w:lang w:val="pt-PT" w:eastAsia="fr-FR"/>
              </w:rPr>
              <w:t>Tél: 75 25 45 77</w:t>
            </w:r>
          </w:p>
          <w:p w14:paraId="0A33F374" w14:textId="77777777" w:rsidR="007D3BFE" w:rsidRPr="00BA1CEF" w:rsidRDefault="007D3BFE" w:rsidP="00AA5FBD">
            <w:pPr>
              <w:spacing w:after="0" w:line="240" w:lineRule="auto"/>
              <w:jc w:val="left"/>
              <w:rPr>
                <w:rFonts w:cs="Arial"/>
                <w:sz w:val="17"/>
                <w:szCs w:val="17"/>
                <w:lang w:val="pt-PT" w:eastAsia="fr-FR"/>
              </w:rPr>
            </w:pPr>
            <w:r w:rsidRPr="00BA1CEF">
              <w:rPr>
                <w:rFonts w:cs="Arial"/>
                <w:sz w:val="17"/>
                <w:szCs w:val="17"/>
                <w:lang w:val="pt-PT" w:eastAsia="fr-FR"/>
              </w:rPr>
              <w:t>e-mail: davidouttara14@gmail.com</w:t>
            </w:r>
          </w:p>
        </w:tc>
      </w:tr>
      <w:tr w:rsidR="00AA5FBD" w:rsidRPr="00BA1CEF" w14:paraId="223AB4C2" w14:textId="77777777" w:rsidTr="00C97090">
        <w:trPr>
          <w:cantSplit/>
          <w:trHeight w:val="20"/>
        </w:trPr>
        <w:tc>
          <w:tcPr>
            <w:tcW w:w="1986" w:type="dxa"/>
            <w:vAlign w:val="center"/>
          </w:tcPr>
          <w:p w14:paraId="16750A2B" w14:textId="77777777" w:rsidR="008B2B8B" w:rsidRPr="00BA1CEF" w:rsidRDefault="00670066" w:rsidP="00AA5FBD">
            <w:pPr>
              <w:spacing w:after="0" w:line="240" w:lineRule="auto"/>
              <w:rPr>
                <w:rFonts w:cs="Arial"/>
                <w:sz w:val="17"/>
                <w:szCs w:val="17"/>
                <w:lang w:val="fr-FR" w:eastAsia="zh-CN"/>
              </w:rPr>
            </w:pPr>
            <w:r w:rsidRPr="00BA1CEF">
              <w:rPr>
                <w:rFonts w:cs="Arial"/>
                <w:sz w:val="17"/>
                <w:szCs w:val="17"/>
                <w:lang w:val="fr-FR" w:eastAsia="zh-CN"/>
              </w:rPr>
              <w:t>Bamba KEITA</w:t>
            </w:r>
          </w:p>
        </w:tc>
        <w:tc>
          <w:tcPr>
            <w:tcW w:w="1984" w:type="dxa"/>
            <w:vAlign w:val="center"/>
          </w:tcPr>
          <w:p w14:paraId="2313D02A" w14:textId="77777777" w:rsidR="008B2B8B" w:rsidRPr="00BA1CEF" w:rsidRDefault="007D3BFE" w:rsidP="00AA5FBD">
            <w:pPr>
              <w:spacing w:after="0" w:line="240" w:lineRule="auto"/>
              <w:rPr>
                <w:rFonts w:cs="Arial"/>
                <w:sz w:val="17"/>
                <w:szCs w:val="17"/>
                <w:lang w:val="fr-FR" w:eastAsia="zh-CN"/>
              </w:rPr>
            </w:pPr>
            <w:r w:rsidRPr="00BA1CEF">
              <w:rPr>
                <w:rFonts w:cs="Arial"/>
                <w:sz w:val="17"/>
                <w:szCs w:val="17"/>
                <w:lang w:val="fr-FR" w:eastAsia="zh-CN"/>
              </w:rPr>
              <w:t>DREF Sikasso</w:t>
            </w:r>
          </w:p>
        </w:tc>
        <w:tc>
          <w:tcPr>
            <w:tcW w:w="2552" w:type="dxa"/>
            <w:vAlign w:val="center"/>
          </w:tcPr>
          <w:p w14:paraId="4A25AC1B" w14:textId="77777777" w:rsidR="008B2B8B" w:rsidRPr="00BA1CEF" w:rsidRDefault="00EF4091" w:rsidP="00AA5FBD">
            <w:pPr>
              <w:spacing w:after="0" w:line="240" w:lineRule="auto"/>
              <w:rPr>
                <w:rFonts w:cs="Arial"/>
                <w:sz w:val="17"/>
                <w:szCs w:val="17"/>
                <w:lang w:val="fr-FR" w:eastAsia="zh-CN"/>
              </w:rPr>
            </w:pPr>
            <w:r w:rsidRPr="00BA1CEF">
              <w:rPr>
                <w:rFonts w:cs="Arial"/>
                <w:sz w:val="17"/>
                <w:szCs w:val="17"/>
                <w:lang w:val="fr-FR" w:eastAsia="zh-CN"/>
              </w:rPr>
              <w:t>Directeur</w:t>
            </w:r>
            <w:r w:rsidR="00670066" w:rsidRPr="00BA1CEF">
              <w:rPr>
                <w:rFonts w:cs="Arial"/>
                <w:sz w:val="17"/>
                <w:szCs w:val="17"/>
                <w:lang w:val="fr-FR" w:eastAsia="zh-CN"/>
              </w:rPr>
              <w:t xml:space="preserve"> régional </w:t>
            </w:r>
          </w:p>
        </w:tc>
        <w:tc>
          <w:tcPr>
            <w:tcW w:w="3402" w:type="dxa"/>
            <w:vAlign w:val="center"/>
          </w:tcPr>
          <w:p w14:paraId="22486146" w14:textId="77777777" w:rsidR="008B2B8B" w:rsidRPr="00BA1CEF" w:rsidRDefault="00576749" w:rsidP="00AA5FBD">
            <w:pPr>
              <w:spacing w:after="0" w:line="240" w:lineRule="auto"/>
              <w:rPr>
                <w:rFonts w:cs="Arial"/>
                <w:sz w:val="17"/>
                <w:szCs w:val="17"/>
                <w:lang w:val="pt-PT" w:eastAsia="fr-FR"/>
              </w:rPr>
            </w:pPr>
            <w:r w:rsidRPr="00BA1CEF">
              <w:rPr>
                <w:rFonts w:cs="Arial"/>
                <w:sz w:val="17"/>
                <w:szCs w:val="17"/>
                <w:lang w:val="pt-PT" w:eastAsia="fr-FR"/>
              </w:rPr>
              <w:t>Tél: 76 04 64 38</w:t>
            </w:r>
          </w:p>
          <w:p w14:paraId="4DC88F9F" w14:textId="77777777" w:rsidR="00576749" w:rsidRPr="00BA1CEF" w:rsidRDefault="00576749" w:rsidP="00AA5FBD">
            <w:pPr>
              <w:spacing w:after="0" w:line="240" w:lineRule="auto"/>
              <w:rPr>
                <w:rFonts w:cs="Arial"/>
                <w:sz w:val="17"/>
                <w:szCs w:val="17"/>
                <w:lang w:val="pt-PT" w:eastAsia="fr-FR"/>
              </w:rPr>
            </w:pPr>
            <w:r w:rsidRPr="00BA1CEF">
              <w:rPr>
                <w:rFonts w:cs="Arial"/>
                <w:sz w:val="17"/>
                <w:szCs w:val="17"/>
                <w:lang w:val="pt-PT" w:eastAsia="fr-FR"/>
              </w:rPr>
              <w:t>e-mail</w:t>
            </w:r>
            <w:r w:rsidR="00670066" w:rsidRPr="00BA1CEF">
              <w:rPr>
                <w:rFonts w:cs="Arial"/>
                <w:sz w:val="17"/>
                <w:szCs w:val="17"/>
                <w:lang w:val="pt-PT" w:eastAsia="fr-FR"/>
              </w:rPr>
              <w:t xml:space="preserve"> </w:t>
            </w:r>
            <w:r w:rsidRPr="00BA1CEF">
              <w:rPr>
                <w:rFonts w:cs="Arial"/>
                <w:sz w:val="17"/>
                <w:szCs w:val="17"/>
                <w:lang w:val="pt-PT" w:eastAsia="fr-FR"/>
              </w:rPr>
              <w:t>:</w:t>
            </w:r>
            <w:r w:rsidR="00670066" w:rsidRPr="00BA1CEF">
              <w:rPr>
                <w:rFonts w:cs="Arial"/>
                <w:sz w:val="17"/>
                <w:szCs w:val="17"/>
                <w:lang w:val="pt-PT" w:eastAsia="fr-FR"/>
              </w:rPr>
              <w:t xml:space="preserve"> </w:t>
            </w:r>
            <w:r w:rsidR="00841E80" w:rsidRPr="00BA1CEF">
              <w:rPr>
                <w:rFonts w:cs="Arial"/>
                <w:sz w:val="17"/>
                <w:szCs w:val="17"/>
                <w:lang w:val="pt-PT" w:eastAsia="fr-FR"/>
              </w:rPr>
              <w:t>bamba8</w:t>
            </w:r>
            <w:r w:rsidR="00AA5FBD" w:rsidRPr="00BA1CEF">
              <w:rPr>
                <w:rFonts w:cs="Arial"/>
                <w:sz w:val="17"/>
                <w:szCs w:val="17"/>
                <w:lang w:val="pt-PT" w:eastAsia="fr-FR"/>
              </w:rPr>
              <w:t>@gmail.com</w:t>
            </w:r>
          </w:p>
        </w:tc>
      </w:tr>
      <w:tr w:rsidR="00646B4A" w:rsidRPr="00BA1CEF" w14:paraId="16CA744D" w14:textId="77777777" w:rsidTr="00C97090">
        <w:trPr>
          <w:cantSplit/>
          <w:trHeight w:val="20"/>
        </w:trPr>
        <w:tc>
          <w:tcPr>
            <w:tcW w:w="1986" w:type="dxa"/>
            <w:vAlign w:val="center"/>
          </w:tcPr>
          <w:p w14:paraId="413542D4" w14:textId="77777777" w:rsidR="00EF4091" w:rsidRPr="00BA1CEF" w:rsidRDefault="00EF4091" w:rsidP="00AA5FBD">
            <w:pPr>
              <w:spacing w:after="0" w:line="240" w:lineRule="auto"/>
              <w:jc w:val="left"/>
              <w:rPr>
                <w:rFonts w:cs="Arial"/>
                <w:sz w:val="17"/>
                <w:szCs w:val="17"/>
                <w:lang w:val="fr-FR" w:eastAsia="zh-CN"/>
              </w:rPr>
            </w:pPr>
            <w:r w:rsidRPr="00BA1CEF">
              <w:rPr>
                <w:rFonts w:cs="Arial"/>
                <w:sz w:val="17"/>
                <w:szCs w:val="17"/>
                <w:lang w:val="fr-FR" w:eastAsia="zh-CN"/>
              </w:rPr>
              <w:t>Ibrahim KEITA</w:t>
            </w:r>
          </w:p>
        </w:tc>
        <w:tc>
          <w:tcPr>
            <w:tcW w:w="1984" w:type="dxa"/>
            <w:vAlign w:val="center"/>
          </w:tcPr>
          <w:p w14:paraId="33519C61" w14:textId="77777777" w:rsidR="00EF4091" w:rsidRPr="00BA1CEF" w:rsidRDefault="00EF4091" w:rsidP="00AA5FBD">
            <w:pPr>
              <w:spacing w:after="0" w:line="240" w:lineRule="auto"/>
              <w:jc w:val="left"/>
              <w:rPr>
                <w:rFonts w:cs="Arial"/>
                <w:sz w:val="17"/>
                <w:szCs w:val="17"/>
                <w:lang w:val="fr-FR" w:eastAsia="zh-CN"/>
              </w:rPr>
            </w:pPr>
            <w:r w:rsidRPr="00BA1CEF">
              <w:rPr>
                <w:rFonts w:cs="Arial"/>
                <w:sz w:val="17"/>
                <w:szCs w:val="17"/>
                <w:lang w:val="fr-FR" w:eastAsia="zh-CN"/>
              </w:rPr>
              <w:t>DREF Sikasso</w:t>
            </w:r>
          </w:p>
        </w:tc>
        <w:tc>
          <w:tcPr>
            <w:tcW w:w="2552" w:type="dxa"/>
            <w:vAlign w:val="center"/>
          </w:tcPr>
          <w:p w14:paraId="5CE8F527" w14:textId="77777777" w:rsidR="00EF4091" w:rsidRPr="00BA1CEF" w:rsidRDefault="00EF4091" w:rsidP="00AA5FBD">
            <w:pPr>
              <w:spacing w:after="0" w:line="240" w:lineRule="auto"/>
              <w:jc w:val="left"/>
              <w:rPr>
                <w:rFonts w:cs="Arial"/>
                <w:sz w:val="17"/>
                <w:szCs w:val="17"/>
                <w:lang w:val="fr-FR" w:eastAsia="zh-CN"/>
              </w:rPr>
            </w:pPr>
            <w:r w:rsidRPr="00BA1CEF">
              <w:rPr>
                <w:rFonts w:cs="Arial"/>
                <w:sz w:val="17"/>
                <w:szCs w:val="17"/>
                <w:lang w:val="fr-FR" w:eastAsia="zh-CN"/>
              </w:rPr>
              <w:t>Directeur adjoint</w:t>
            </w:r>
          </w:p>
          <w:p w14:paraId="7011B0AE" w14:textId="77777777" w:rsidR="00646B4A" w:rsidRPr="00BA1CEF" w:rsidRDefault="00646B4A" w:rsidP="00AA5FBD">
            <w:pPr>
              <w:spacing w:after="0" w:line="240" w:lineRule="auto"/>
              <w:jc w:val="left"/>
              <w:rPr>
                <w:rFonts w:cs="Arial"/>
                <w:sz w:val="17"/>
                <w:szCs w:val="17"/>
                <w:lang w:val="fr-FR" w:eastAsia="zh-CN"/>
              </w:rPr>
            </w:pPr>
            <w:r w:rsidRPr="00BA1CEF">
              <w:rPr>
                <w:rFonts w:cs="Arial"/>
                <w:sz w:val="17"/>
                <w:szCs w:val="17"/>
                <w:lang w:val="fr-FR" w:eastAsia="zh-CN"/>
              </w:rPr>
              <w:t>Chef division réglementation - contrôle</w:t>
            </w:r>
          </w:p>
        </w:tc>
        <w:tc>
          <w:tcPr>
            <w:tcW w:w="3402" w:type="dxa"/>
            <w:vAlign w:val="center"/>
          </w:tcPr>
          <w:p w14:paraId="71B40968" w14:textId="77777777" w:rsidR="00EF4091" w:rsidRPr="00983A2A" w:rsidRDefault="00646B4A" w:rsidP="00AA5FBD">
            <w:pPr>
              <w:spacing w:after="0" w:line="240" w:lineRule="auto"/>
              <w:jc w:val="left"/>
              <w:rPr>
                <w:rFonts w:cs="Arial"/>
                <w:sz w:val="17"/>
                <w:szCs w:val="17"/>
                <w:lang w:val="fr-FR" w:eastAsia="fr-FR"/>
              </w:rPr>
            </w:pPr>
            <w:r w:rsidRPr="00983A2A">
              <w:rPr>
                <w:rFonts w:cs="Arial"/>
                <w:sz w:val="17"/>
                <w:szCs w:val="17"/>
                <w:lang w:val="fr-FR" w:eastAsia="fr-FR"/>
              </w:rPr>
              <w:t>Tél : 78 14 81 15 / 66 88 59 05</w:t>
            </w:r>
          </w:p>
          <w:p w14:paraId="22D9C0E9" w14:textId="77777777" w:rsidR="00646B4A" w:rsidRPr="00983A2A" w:rsidRDefault="00646B4A" w:rsidP="00AA5FBD">
            <w:pPr>
              <w:spacing w:after="0" w:line="240" w:lineRule="auto"/>
              <w:jc w:val="left"/>
              <w:rPr>
                <w:rFonts w:cs="Arial"/>
                <w:sz w:val="17"/>
                <w:szCs w:val="17"/>
                <w:lang w:val="fr-FR" w:eastAsia="fr-FR"/>
              </w:rPr>
            </w:pPr>
            <w:r w:rsidRPr="00983A2A">
              <w:rPr>
                <w:rFonts w:cs="Arial"/>
                <w:sz w:val="17"/>
                <w:szCs w:val="17"/>
                <w:lang w:val="fr-FR" w:eastAsia="fr-FR"/>
              </w:rPr>
              <w:t xml:space="preserve">email : </w:t>
            </w:r>
            <w:hyperlink r:id="rId94" w:history="1">
              <w:r w:rsidRPr="00983A2A">
                <w:rPr>
                  <w:rStyle w:val="Lienhypertexte"/>
                  <w:rFonts w:cs="Arial"/>
                  <w:color w:val="auto"/>
                  <w:sz w:val="17"/>
                  <w:szCs w:val="17"/>
                  <w:lang w:val="fr-FR" w:eastAsia="fr-FR"/>
                </w:rPr>
                <w:t>keita56@yahoo.fr</w:t>
              </w:r>
            </w:hyperlink>
            <w:r w:rsidRPr="00983A2A">
              <w:rPr>
                <w:rFonts w:cs="Arial"/>
                <w:sz w:val="17"/>
                <w:szCs w:val="17"/>
                <w:lang w:val="fr-FR" w:eastAsia="fr-FR"/>
              </w:rPr>
              <w:t xml:space="preserve">  </w:t>
            </w:r>
          </w:p>
        </w:tc>
      </w:tr>
      <w:tr w:rsidR="00B0113F" w:rsidRPr="00BA1CEF" w14:paraId="2DBB5116" w14:textId="77777777" w:rsidTr="00C97090">
        <w:trPr>
          <w:cantSplit/>
          <w:trHeight w:val="20"/>
        </w:trPr>
        <w:tc>
          <w:tcPr>
            <w:tcW w:w="1986" w:type="dxa"/>
            <w:vAlign w:val="center"/>
          </w:tcPr>
          <w:p w14:paraId="6FDC76A7" w14:textId="77777777" w:rsidR="00EF4091" w:rsidRPr="00BA1CEF" w:rsidRDefault="00B0113F" w:rsidP="00670066">
            <w:pPr>
              <w:spacing w:after="0" w:line="240" w:lineRule="auto"/>
              <w:rPr>
                <w:rFonts w:cs="Arial"/>
                <w:sz w:val="17"/>
                <w:szCs w:val="17"/>
                <w:lang w:val="fr-FR" w:eastAsia="zh-CN"/>
              </w:rPr>
            </w:pPr>
            <w:r w:rsidRPr="00BA1CEF">
              <w:rPr>
                <w:rFonts w:cs="Arial"/>
                <w:sz w:val="17"/>
                <w:szCs w:val="17"/>
                <w:lang w:val="fr-FR" w:eastAsia="zh-CN"/>
              </w:rPr>
              <w:t>Mohamedi SAVADOGO</w:t>
            </w:r>
          </w:p>
        </w:tc>
        <w:tc>
          <w:tcPr>
            <w:tcW w:w="1984" w:type="dxa"/>
            <w:vAlign w:val="center"/>
          </w:tcPr>
          <w:p w14:paraId="77C0C5D9" w14:textId="77777777" w:rsidR="00EF4091" w:rsidRPr="00BA1CEF" w:rsidRDefault="00EF4091" w:rsidP="00670066">
            <w:pPr>
              <w:spacing w:after="0" w:line="240" w:lineRule="auto"/>
              <w:rPr>
                <w:rFonts w:cs="Arial"/>
                <w:sz w:val="17"/>
                <w:szCs w:val="17"/>
                <w:lang w:val="fr-FR" w:eastAsia="zh-CN"/>
              </w:rPr>
            </w:pPr>
            <w:r w:rsidRPr="00BA1CEF">
              <w:rPr>
                <w:rFonts w:cs="Arial"/>
                <w:sz w:val="17"/>
                <w:szCs w:val="17"/>
                <w:lang w:val="fr-FR" w:eastAsia="zh-CN"/>
              </w:rPr>
              <w:t>DRPIA</w:t>
            </w:r>
            <w:r w:rsidR="00B0113F" w:rsidRPr="00BA1CEF">
              <w:rPr>
                <w:rFonts w:cs="Arial"/>
                <w:sz w:val="17"/>
                <w:szCs w:val="17"/>
                <w:lang w:val="fr-FR" w:eastAsia="zh-CN"/>
              </w:rPr>
              <w:t xml:space="preserve"> Sikasso</w:t>
            </w:r>
          </w:p>
        </w:tc>
        <w:tc>
          <w:tcPr>
            <w:tcW w:w="2552" w:type="dxa"/>
            <w:vAlign w:val="center"/>
          </w:tcPr>
          <w:p w14:paraId="3973064D" w14:textId="77777777" w:rsidR="00EF4091" w:rsidRPr="00BA1CEF" w:rsidRDefault="00B0113F" w:rsidP="00670066">
            <w:pPr>
              <w:spacing w:after="0" w:line="240" w:lineRule="auto"/>
              <w:rPr>
                <w:rFonts w:cs="Arial"/>
                <w:sz w:val="17"/>
                <w:szCs w:val="17"/>
                <w:lang w:val="fr-FR" w:eastAsia="zh-CN"/>
              </w:rPr>
            </w:pPr>
            <w:r w:rsidRPr="00BA1CEF">
              <w:rPr>
                <w:rFonts w:cs="Arial"/>
                <w:sz w:val="17"/>
                <w:szCs w:val="17"/>
                <w:lang w:val="fr-FR" w:eastAsia="zh-CN"/>
              </w:rPr>
              <w:t>Chef de bureau statistiques et suivi-évaluation</w:t>
            </w:r>
          </w:p>
        </w:tc>
        <w:tc>
          <w:tcPr>
            <w:tcW w:w="3402" w:type="dxa"/>
            <w:vAlign w:val="center"/>
          </w:tcPr>
          <w:p w14:paraId="0CC5842E" w14:textId="77777777" w:rsidR="00EF4091" w:rsidRPr="00983A2A" w:rsidRDefault="00B0113F" w:rsidP="00670066">
            <w:pPr>
              <w:spacing w:after="0" w:line="240" w:lineRule="auto"/>
              <w:rPr>
                <w:rFonts w:cs="Arial"/>
                <w:sz w:val="17"/>
                <w:szCs w:val="17"/>
                <w:lang w:val="fr-FR" w:eastAsia="fr-FR"/>
              </w:rPr>
            </w:pPr>
            <w:r w:rsidRPr="00983A2A">
              <w:rPr>
                <w:rFonts w:cs="Arial"/>
                <w:sz w:val="17"/>
                <w:szCs w:val="17"/>
                <w:lang w:val="fr-FR" w:eastAsia="fr-FR"/>
              </w:rPr>
              <w:t>Tél : 76 06 84 41 / 66 02 29 17</w:t>
            </w:r>
          </w:p>
          <w:p w14:paraId="106C81C6" w14:textId="77777777" w:rsidR="00B0113F" w:rsidRPr="00983A2A" w:rsidRDefault="00B0113F" w:rsidP="00670066">
            <w:pPr>
              <w:spacing w:after="0" w:line="240" w:lineRule="auto"/>
              <w:rPr>
                <w:rFonts w:cs="Arial"/>
                <w:sz w:val="17"/>
                <w:szCs w:val="17"/>
                <w:lang w:val="fr-FR" w:eastAsia="fr-FR"/>
              </w:rPr>
            </w:pPr>
            <w:r w:rsidRPr="00983A2A">
              <w:rPr>
                <w:rFonts w:cs="Arial"/>
                <w:sz w:val="17"/>
                <w:szCs w:val="17"/>
                <w:lang w:val="fr-FR" w:eastAsia="fr-FR"/>
              </w:rPr>
              <w:t xml:space="preserve">email : </w:t>
            </w:r>
            <w:hyperlink r:id="rId95" w:history="1">
              <w:r w:rsidRPr="00983A2A">
                <w:rPr>
                  <w:rStyle w:val="Lienhypertexte"/>
                  <w:rFonts w:cs="Arial"/>
                  <w:color w:val="auto"/>
                  <w:sz w:val="17"/>
                  <w:szCs w:val="17"/>
                  <w:lang w:val="fr-FR" w:eastAsia="fr-FR"/>
                </w:rPr>
                <w:t>savadogo72@yahoo.fr</w:t>
              </w:r>
            </w:hyperlink>
            <w:r w:rsidRPr="00983A2A">
              <w:rPr>
                <w:rFonts w:cs="Arial"/>
                <w:sz w:val="17"/>
                <w:szCs w:val="17"/>
                <w:lang w:val="fr-FR" w:eastAsia="fr-FR"/>
              </w:rPr>
              <w:t xml:space="preserve"> </w:t>
            </w:r>
          </w:p>
        </w:tc>
      </w:tr>
      <w:tr w:rsidR="00670066" w:rsidRPr="00BA1CEF" w14:paraId="3897992F" w14:textId="77777777" w:rsidTr="00C97090">
        <w:trPr>
          <w:cantSplit/>
          <w:trHeight w:val="20"/>
        </w:trPr>
        <w:tc>
          <w:tcPr>
            <w:tcW w:w="1986" w:type="dxa"/>
            <w:vAlign w:val="center"/>
          </w:tcPr>
          <w:p w14:paraId="06228FC3" w14:textId="77777777" w:rsidR="00B0113F" w:rsidRPr="00BA1CEF" w:rsidRDefault="00FB14B2" w:rsidP="00670066">
            <w:pPr>
              <w:spacing w:after="0" w:line="240" w:lineRule="auto"/>
              <w:rPr>
                <w:rFonts w:cs="Arial"/>
                <w:sz w:val="17"/>
                <w:szCs w:val="17"/>
                <w:lang w:val="fr-FR" w:eastAsia="zh-CN"/>
              </w:rPr>
            </w:pPr>
            <w:r w:rsidRPr="00BA1CEF">
              <w:rPr>
                <w:rFonts w:cs="Arial"/>
                <w:sz w:val="17"/>
                <w:szCs w:val="17"/>
                <w:lang w:val="fr-FR" w:eastAsia="zh-CN"/>
              </w:rPr>
              <w:t>Zoumana KANTE</w:t>
            </w:r>
          </w:p>
        </w:tc>
        <w:tc>
          <w:tcPr>
            <w:tcW w:w="1984" w:type="dxa"/>
            <w:vAlign w:val="center"/>
          </w:tcPr>
          <w:p w14:paraId="76F1EC5A" w14:textId="77777777" w:rsidR="00B0113F" w:rsidRPr="00BA1CEF" w:rsidRDefault="00FB14B2" w:rsidP="00670066">
            <w:pPr>
              <w:spacing w:after="0" w:line="240" w:lineRule="auto"/>
              <w:rPr>
                <w:rFonts w:cs="Arial"/>
                <w:sz w:val="17"/>
                <w:szCs w:val="17"/>
                <w:lang w:val="fr-FR" w:eastAsia="zh-CN"/>
              </w:rPr>
            </w:pPr>
            <w:r w:rsidRPr="00BA1CEF">
              <w:rPr>
                <w:rFonts w:cs="Arial"/>
                <w:sz w:val="17"/>
                <w:szCs w:val="17"/>
                <w:lang w:val="fr-FR" w:eastAsia="zh-CN"/>
              </w:rPr>
              <w:t>DRPIA Sikasso</w:t>
            </w:r>
          </w:p>
        </w:tc>
        <w:tc>
          <w:tcPr>
            <w:tcW w:w="2552" w:type="dxa"/>
            <w:vAlign w:val="center"/>
          </w:tcPr>
          <w:p w14:paraId="3A052198" w14:textId="77777777" w:rsidR="00B0113F" w:rsidRPr="00BA1CEF" w:rsidRDefault="00FB14B2" w:rsidP="00670066">
            <w:pPr>
              <w:spacing w:after="0" w:line="240" w:lineRule="auto"/>
              <w:rPr>
                <w:rFonts w:cs="Arial"/>
                <w:sz w:val="17"/>
                <w:szCs w:val="17"/>
                <w:lang w:val="fr-FR" w:eastAsia="zh-CN"/>
              </w:rPr>
            </w:pPr>
            <w:r w:rsidRPr="00BA1CEF">
              <w:rPr>
                <w:rFonts w:cs="Arial"/>
                <w:sz w:val="17"/>
                <w:szCs w:val="17"/>
                <w:lang w:val="fr-FR" w:eastAsia="zh-CN"/>
              </w:rPr>
              <w:t xml:space="preserve">Chef division </w:t>
            </w:r>
          </w:p>
        </w:tc>
        <w:tc>
          <w:tcPr>
            <w:tcW w:w="3402" w:type="dxa"/>
            <w:vAlign w:val="center"/>
          </w:tcPr>
          <w:p w14:paraId="71E6A972" w14:textId="77777777" w:rsidR="00B0113F" w:rsidRPr="00983A2A" w:rsidRDefault="00FB14B2" w:rsidP="00670066">
            <w:pPr>
              <w:spacing w:after="0" w:line="240" w:lineRule="auto"/>
              <w:rPr>
                <w:rFonts w:cs="Arial"/>
                <w:sz w:val="17"/>
                <w:szCs w:val="17"/>
                <w:lang w:val="fr-FR" w:eastAsia="fr-FR"/>
              </w:rPr>
            </w:pPr>
            <w:r w:rsidRPr="00983A2A">
              <w:rPr>
                <w:rFonts w:cs="Arial"/>
                <w:sz w:val="17"/>
                <w:szCs w:val="17"/>
                <w:lang w:val="fr-FR" w:eastAsia="fr-FR"/>
              </w:rPr>
              <w:t xml:space="preserve">Tél : </w:t>
            </w:r>
            <w:r w:rsidR="00670066" w:rsidRPr="00983A2A">
              <w:rPr>
                <w:rFonts w:cs="Arial"/>
                <w:sz w:val="17"/>
                <w:szCs w:val="17"/>
                <w:lang w:val="fr-FR" w:eastAsia="fr-FR"/>
              </w:rPr>
              <w:t>76 10 52 58</w:t>
            </w:r>
          </w:p>
          <w:p w14:paraId="38FF6377" w14:textId="77777777" w:rsidR="00670066" w:rsidRPr="00983A2A" w:rsidRDefault="00670066" w:rsidP="00670066">
            <w:pPr>
              <w:spacing w:after="0" w:line="240" w:lineRule="auto"/>
              <w:rPr>
                <w:rFonts w:cs="Arial"/>
                <w:sz w:val="17"/>
                <w:szCs w:val="17"/>
                <w:lang w:val="fr-FR" w:eastAsia="fr-FR"/>
              </w:rPr>
            </w:pPr>
            <w:r w:rsidRPr="00983A2A">
              <w:rPr>
                <w:rFonts w:cs="Arial"/>
                <w:sz w:val="17"/>
                <w:szCs w:val="17"/>
                <w:lang w:val="fr-FR" w:eastAsia="fr-FR"/>
              </w:rPr>
              <w:t xml:space="preserve">email : </w:t>
            </w:r>
            <w:hyperlink r:id="rId96" w:history="1">
              <w:r w:rsidRPr="00983A2A">
                <w:rPr>
                  <w:rStyle w:val="Lienhypertexte"/>
                  <w:rFonts w:cs="Arial"/>
                  <w:color w:val="auto"/>
                  <w:sz w:val="17"/>
                  <w:szCs w:val="17"/>
                  <w:lang w:val="fr-FR" w:eastAsia="fr-FR"/>
                </w:rPr>
                <w:t>zoumkan2007@yahoo.fr</w:t>
              </w:r>
            </w:hyperlink>
            <w:r w:rsidRPr="00983A2A">
              <w:rPr>
                <w:rFonts w:cs="Arial"/>
                <w:sz w:val="17"/>
                <w:szCs w:val="17"/>
                <w:lang w:val="fr-FR" w:eastAsia="fr-FR"/>
              </w:rPr>
              <w:t xml:space="preserve">  </w:t>
            </w:r>
          </w:p>
        </w:tc>
      </w:tr>
      <w:tr w:rsidR="00670066" w:rsidRPr="00EF70F5" w14:paraId="56FCA54E" w14:textId="77777777" w:rsidTr="00C97090">
        <w:trPr>
          <w:cantSplit/>
          <w:trHeight w:val="20"/>
        </w:trPr>
        <w:tc>
          <w:tcPr>
            <w:tcW w:w="1986" w:type="dxa"/>
            <w:vAlign w:val="center"/>
          </w:tcPr>
          <w:p w14:paraId="2ADC6875" w14:textId="77777777" w:rsidR="00670066" w:rsidRPr="00BA1CEF" w:rsidRDefault="00670066" w:rsidP="00670066">
            <w:pPr>
              <w:spacing w:after="0" w:line="240" w:lineRule="auto"/>
              <w:rPr>
                <w:rFonts w:cs="Arial"/>
                <w:sz w:val="17"/>
                <w:szCs w:val="17"/>
                <w:lang w:val="fr-FR" w:eastAsia="zh-CN"/>
              </w:rPr>
            </w:pPr>
            <w:r w:rsidRPr="00BA1CEF">
              <w:rPr>
                <w:rFonts w:cs="Arial"/>
                <w:sz w:val="17"/>
                <w:szCs w:val="17"/>
                <w:lang w:val="fr-FR" w:eastAsia="zh-CN"/>
              </w:rPr>
              <w:t>Abdrahamane SAMAKE</w:t>
            </w:r>
          </w:p>
        </w:tc>
        <w:tc>
          <w:tcPr>
            <w:tcW w:w="1984" w:type="dxa"/>
            <w:vAlign w:val="center"/>
          </w:tcPr>
          <w:p w14:paraId="64A015D0" w14:textId="77777777" w:rsidR="00670066" w:rsidRPr="00BA1CEF" w:rsidRDefault="00670066" w:rsidP="00670066">
            <w:pPr>
              <w:spacing w:after="0" w:line="240" w:lineRule="auto"/>
              <w:rPr>
                <w:rFonts w:cs="Arial"/>
                <w:sz w:val="17"/>
                <w:szCs w:val="17"/>
                <w:lang w:val="fr-FR" w:eastAsia="zh-CN"/>
              </w:rPr>
            </w:pPr>
            <w:r w:rsidRPr="00BA1CEF">
              <w:rPr>
                <w:rFonts w:cs="Arial"/>
                <w:sz w:val="17"/>
                <w:szCs w:val="17"/>
                <w:lang w:val="fr-FR" w:eastAsia="zh-CN"/>
              </w:rPr>
              <w:t>DRPIA Sikasso</w:t>
            </w:r>
          </w:p>
        </w:tc>
        <w:tc>
          <w:tcPr>
            <w:tcW w:w="2552" w:type="dxa"/>
            <w:vAlign w:val="center"/>
          </w:tcPr>
          <w:p w14:paraId="6C71A713" w14:textId="77777777" w:rsidR="00670066" w:rsidRPr="00BA1CEF" w:rsidRDefault="00670066" w:rsidP="00670066">
            <w:pPr>
              <w:spacing w:after="0" w:line="240" w:lineRule="auto"/>
              <w:jc w:val="left"/>
              <w:rPr>
                <w:rFonts w:cs="Arial"/>
                <w:sz w:val="17"/>
                <w:szCs w:val="17"/>
                <w:lang w:val="fr-FR" w:eastAsia="zh-CN"/>
              </w:rPr>
            </w:pPr>
            <w:r w:rsidRPr="00BA1CEF">
              <w:rPr>
                <w:rFonts w:cs="Arial"/>
                <w:sz w:val="17"/>
                <w:szCs w:val="17"/>
                <w:lang w:val="fr-FR" w:eastAsia="zh-CN"/>
              </w:rPr>
              <w:t>Chef division aménagement et hydraulique pastorale</w:t>
            </w:r>
          </w:p>
        </w:tc>
        <w:tc>
          <w:tcPr>
            <w:tcW w:w="3402" w:type="dxa"/>
            <w:vAlign w:val="center"/>
          </w:tcPr>
          <w:p w14:paraId="5F236DED" w14:textId="77777777" w:rsidR="00670066" w:rsidRPr="00BA1CEF" w:rsidRDefault="00670066" w:rsidP="00670066">
            <w:pPr>
              <w:spacing w:after="0" w:line="240" w:lineRule="auto"/>
              <w:rPr>
                <w:rFonts w:cs="Arial"/>
                <w:sz w:val="17"/>
                <w:szCs w:val="17"/>
                <w:lang w:val="pt-PT" w:eastAsia="fr-FR"/>
              </w:rPr>
            </w:pPr>
            <w:r w:rsidRPr="00BA1CEF">
              <w:rPr>
                <w:rFonts w:cs="Arial"/>
                <w:sz w:val="17"/>
                <w:szCs w:val="17"/>
                <w:lang w:val="pt-PT" w:eastAsia="fr-FR"/>
              </w:rPr>
              <w:t>Tél : 76 14 29 36</w:t>
            </w:r>
          </w:p>
          <w:p w14:paraId="6D3CF7D5" w14:textId="77777777" w:rsidR="00670066" w:rsidRPr="00BA1CEF" w:rsidRDefault="00670066" w:rsidP="00670066">
            <w:pPr>
              <w:spacing w:after="0" w:line="240" w:lineRule="auto"/>
              <w:rPr>
                <w:rFonts w:cs="Arial"/>
                <w:sz w:val="17"/>
                <w:szCs w:val="17"/>
                <w:lang w:val="pt-PT" w:eastAsia="fr-FR"/>
              </w:rPr>
            </w:pPr>
            <w:r w:rsidRPr="00BA1CEF">
              <w:rPr>
                <w:rFonts w:cs="Arial"/>
                <w:sz w:val="17"/>
                <w:szCs w:val="17"/>
                <w:lang w:val="pt-PT" w:eastAsia="fr-FR"/>
              </w:rPr>
              <w:t xml:space="preserve">e-mail : </w:t>
            </w:r>
            <w:hyperlink r:id="rId97" w:history="1">
              <w:r w:rsidRPr="00BA1CEF">
                <w:rPr>
                  <w:rStyle w:val="Lienhypertexte"/>
                  <w:rFonts w:cs="Arial"/>
                  <w:color w:val="auto"/>
                  <w:sz w:val="17"/>
                  <w:szCs w:val="17"/>
                  <w:lang w:val="pt-PT" w:eastAsia="fr-FR"/>
                </w:rPr>
                <w:t>absamake09@gmail.com</w:t>
              </w:r>
            </w:hyperlink>
            <w:r w:rsidRPr="00BA1CEF">
              <w:rPr>
                <w:rFonts w:cs="Arial"/>
                <w:sz w:val="17"/>
                <w:szCs w:val="17"/>
                <w:lang w:val="pt-PT" w:eastAsia="fr-FR"/>
              </w:rPr>
              <w:t xml:space="preserve"> </w:t>
            </w:r>
          </w:p>
        </w:tc>
      </w:tr>
      <w:tr w:rsidR="00B0113F" w:rsidRPr="00BA1CEF" w14:paraId="1DAD2010" w14:textId="77777777" w:rsidTr="00C97090">
        <w:trPr>
          <w:cantSplit/>
          <w:trHeight w:val="20"/>
        </w:trPr>
        <w:tc>
          <w:tcPr>
            <w:tcW w:w="1986" w:type="dxa"/>
            <w:vAlign w:val="center"/>
          </w:tcPr>
          <w:p w14:paraId="355E9626" w14:textId="77777777" w:rsidR="00EF4091" w:rsidRPr="00BA1CEF" w:rsidRDefault="00646B4A" w:rsidP="00670066">
            <w:pPr>
              <w:spacing w:after="0" w:line="240" w:lineRule="auto"/>
              <w:rPr>
                <w:rFonts w:cs="Arial"/>
                <w:sz w:val="17"/>
                <w:szCs w:val="17"/>
                <w:lang w:val="de-DE" w:eastAsia="zh-CN"/>
              </w:rPr>
            </w:pPr>
            <w:r w:rsidRPr="00BA1CEF">
              <w:rPr>
                <w:rFonts w:cs="Arial"/>
                <w:sz w:val="17"/>
                <w:szCs w:val="17"/>
                <w:lang w:val="de-DE" w:eastAsia="zh-CN"/>
              </w:rPr>
              <w:t>Seikou BARRY</w:t>
            </w:r>
          </w:p>
        </w:tc>
        <w:tc>
          <w:tcPr>
            <w:tcW w:w="1984" w:type="dxa"/>
            <w:vAlign w:val="center"/>
          </w:tcPr>
          <w:p w14:paraId="08B31077" w14:textId="77777777" w:rsidR="00EF4091" w:rsidRPr="00BA1CEF" w:rsidRDefault="00EF4091" w:rsidP="00670066">
            <w:pPr>
              <w:spacing w:after="0" w:line="240" w:lineRule="auto"/>
              <w:rPr>
                <w:rFonts w:cs="Arial"/>
                <w:sz w:val="17"/>
                <w:szCs w:val="17"/>
                <w:lang w:val="fr-FR" w:eastAsia="zh-CN"/>
              </w:rPr>
            </w:pPr>
            <w:r w:rsidRPr="00BA1CEF">
              <w:rPr>
                <w:rFonts w:cs="Arial"/>
                <w:sz w:val="17"/>
                <w:szCs w:val="17"/>
                <w:lang w:val="fr-FR" w:eastAsia="zh-CN"/>
              </w:rPr>
              <w:t>DRACPN</w:t>
            </w:r>
            <w:r w:rsidR="009744CB" w:rsidRPr="00BA1CEF">
              <w:rPr>
                <w:rFonts w:cs="Arial"/>
                <w:sz w:val="17"/>
                <w:szCs w:val="17"/>
                <w:lang w:val="fr-FR" w:eastAsia="zh-CN"/>
              </w:rPr>
              <w:t xml:space="preserve"> Sikasso</w:t>
            </w:r>
          </w:p>
        </w:tc>
        <w:tc>
          <w:tcPr>
            <w:tcW w:w="2552" w:type="dxa"/>
            <w:vAlign w:val="center"/>
          </w:tcPr>
          <w:p w14:paraId="588B64D8" w14:textId="77777777" w:rsidR="00EF4091" w:rsidRPr="00BA1CEF" w:rsidRDefault="00646B4A" w:rsidP="00670066">
            <w:pPr>
              <w:spacing w:after="0" w:line="240" w:lineRule="auto"/>
              <w:rPr>
                <w:rFonts w:cs="Arial"/>
                <w:sz w:val="17"/>
                <w:szCs w:val="17"/>
                <w:lang w:val="fr-FR" w:eastAsia="zh-CN"/>
              </w:rPr>
            </w:pPr>
            <w:r w:rsidRPr="00BA1CEF">
              <w:rPr>
                <w:rFonts w:cs="Arial"/>
                <w:sz w:val="17"/>
                <w:szCs w:val="17"/>
                <w:lang w:val="fr-FR" w:eastAsia="zh-CN"/>
              </w:rPr>
              <w:t>Chef service</w:t>
            </w:r>
          </w:p>
        </w:tc>
        <w:tc>
          <w:tcPr>
            <w:tcW w:w="3402" w:type="dxa"/>
            <w:vAlign w:val="center"/>
          </w:tcPr>
          <w:p w14:paraId="76A89479" w14:textId="77777777" w:rsidR="00EF4091" w:rsidRPr="00983A2A" w:rsidRDefault="00AA5FBD" w:rsidP="00670066">
            <w:pPr>
              <w:spacing w:after="0" w:line="240" w:lineRule="auto"/>
              <w:rPr>
                <w:rFonts w:cs="Arial"/>
                <w:sz w:val="17"/>
                <w:szCs w:val="17"/>
                <w:lang w:val="fr-FR" w:eastAsia="fr-FR"/>
              </w:rPr>
            </w:pPr>
            <w:r w:rsidRPr="00983A2A">
              <w:rPr>
                <w:rFonts w:cs="Arial"/>
                <w:sz w:val="17"/>
                <w:szCs w:val="17"/>
                <w:lang w:val="fr-FR" w:eastAsia="fr-FR"/>
              </w:rPr>
              <w:t>Tél : 75 24 85 93</w:t>
            </w:r>
          </w:p>
          <w:p w14:paraId="3C54D646" w14:textId="77777777" w:rsidR="00AA5FBD" w:rsidRPr="00983A2A" w:rsidRDefault="00AA5FBD" w:rsidP="00670066">
            <w:pPr>
              <w:spacing w:after="0" w:line="240" w:lineRule="auto"/>
              <w:rPr>
                <w:rFonts w:cs="Arial"/>
                <w:sz w:val="17"/>
                <w:szCs w:val="17"/>
                <w:lang w:val="fr-FR" w:eastAsia="fr-FR"/>
              </w:rPr>
            </w:pPr>
            <w:r w:rsidRPr="00983A2A">
              <w:rPr>
                <w:rFonts w:cs="Arial"/>
                <w:sz w:val="17"/>
                <w:szCs w:val="17"/>
                <w:lang w:val="fr-FR" w:eastAsia="fr-FR"/>
              </w:rPr>
              <w:t>email  : sekoubarry111@gmail.com</w:t>
            </w:r>
          </w:p>
        </w:tc>
      </w:tr>
      <w:tr w:rsidR="00C97090" w:rsidRPr="00BA1CEF" w14:paraId="7787425F" w14:textId="77777777" w:rsidTr="00C97090">
        <w:trPr>
          <w:cantSplit/>
          <w:trHeight w:val="20"/>
        </w:trPr>
        <w:tc>
          <w:tcPr>
            <w:tcW w:w="1986" w:type="dxa"/>
            <w:vAlign w:val="center"/>
          </w:tcPr>
          <w:p w14:paraId="15B3B71E" w14:textId="77777777" w:rsidR="009744CB" w:rsidRPr="00BA1CEF" w:rsidRDefault="009744CB" w:rsidP="00670066">
            <w:pPr>
              <w:spacing w:after="0" w:line="240" w:lineRule="auto"/>
              <w:rPr>
                <w:rFonts w:cs="Arial"/>
                <w:sz w:val="17"/>
                <w:szCs w:val="17"/>
                <w:lang w:val="fr-FR" w:eastAsia="zh-CN"/>
              </w:rPr>
            </w:pPr>
            <w:r w:rsidRPr="00BA1CEF">
              <w:rPr>
                <w:rFonts w:cs="Arial"/>
                <w:sz w:val="17"/>
                <w:szCs w:val="17"/>
                <w:lang w:val="fr-FR" w:eastAsia="zh-CN"/>
              </w:rPr>
              <w:t>Moussa MAIGA</w:t>
            </w:r>
          </w:p>
        </w:tc>
        <w:tc>
          <w:tcPr>
            <w:tcW w:w="1984" w:type="dxa"/>
            <w:vAlign w:val="center"/>
          </w:tcPr>
          <w:p w14:paraId="2A84C14F" w14:textId="77777777" w:rsidR="009744CB" w:rsidRPr="00BA1CEF" w:rsidRDefault="009744CB" w:rsidP="00670066">
            <w:pPr>
              <w:spacing w:after="0" w:line="240" w:lineRule="auto"/>
              <w:rPr>
                <w:rFonts w:cs="Arial"/>
                <w:sz w:val="17"/>
                <w:szCs w:val="17"/>
                <w:lang w:val="fr-FR" w:eastAsia="zh-CN"/>
              </w:rPr>
            </w:pPr>
            <w:r w:rsidRPr="00BA1CEF">
              <w:rPr>
                <w:rFonts w:cs="Arial"/>
                <w:sz w:val="17"/>
                <w:szCs w:val="17"/>
                <w:lang w:val="fr-FR" w:eastAsia="zh-CN"/>
              </w:rPr>
              <w:t>DRACPN Sikasso</w:t>
            </w:r>
          </w:p>
        </w:tc>
        <w:tc>
          <w:tcPr>
            <w:tcW w:w="2552" w:type="dxa"/>
            <w:vAlign w:val="center"/>
          </w:tcPr>
          <w:p w14:paraId="41F8AB25" w14:textId="77777777" w:rsidR="009744CB" w:rsidRPr="00BA1CEF" w:rsidRDefault="009744CB" w:rsidP="00670066">
            <w:pPr>
              <w:spacing w:after="0" w:line="240" w:lineRule="auto"/>
              <w:rPr>
                <w:rFonts w:cs="Arial"/>
                <w:sz w:val="17"/>
                <w:szCs w:val="17"/>
                <w:lang w:val="fr-FR" w:eastAsia="zh-CN"/>
              </w:rPr>
            </w:pPr>
            <w:r w:rsidRPr="00BA1CEF">
              <w:rPr>
                <w:rFonts w:cs="Arial"/>
                <w:sz w:val="17"/>
                <w:szCs w:val="17"/>
                <w:lang w:val="fr-FR" w:eastAsia="zh-CN"/>
              </w:rPr>
              <w:t>Chef de service de Yonfolila</w:t>
            </w:r>
          </w:p>
        </w:tc>
        <w:tc>
          <w:tcPr>
            <w:tcW w:w="3402" w:type="dxa"/>
            <w:vAlign w:val="center"/>
          </w:tcPr>
          <w:p w14:paraId="7BCA9429" w14:textId="77777777" w:rsidR="009744CB" w:rsidRPr="00BA1CEF" w:rsidRDefault="009744CB" w:rsidP="00670066">
            <w:pPr>
              <w:spacing w:after="0" w:line="240" w:lineRule="auto"/>
              <w:rPr>
                <w:rFonts w:cs="Arial"/>
                <w:sz w:val="17"/>
                <w:szCs w:val="17"/>
                <w:lang w:val="pt-PT" w:eastAsia="fr-FR"/>
              </w:rPr>
            </w:pPr>
            <w:r w:rsidRPr="00BA1CEF">
              <w:rPr>
                <w:rFonts w:cs="Arial"/>
                <w:sz w:val="17"/>
                <w:szCs w:val="17"/>
                <w:lang w:val="pt-PT" w:eastAsia="fr-FR"/>
              </w:rPr>
              <w:t>Tél : 75 15 32 36/ 63 06 42 36</w:t>
            </w:r>
          </w:p>
          <w:p w14:paraId="25A2F46A" w14:textId="77777777" w:rsidR="009744CB" w:rsidRPr="00BA1CEF" w:rsidRDefault="00736FE4" w:rsidP="00670066">
            <w:pPr>
              <w:spacing w:after="0" w:line="240" w:lineRule="auto"/>
              <w:rPr>
                <w:rFonts w:cs="Arial"/>
                <w:sz w:val="17"/>
                <w:szCs w:val="17"/>
                <w:lang w:val="pt-PT" w:eastAsia="fr-FR"/>
              </w:rPr>
            </w:pPr>
            <w:hyperlink r:id="rId98" w:history="1">
              <w:r w:rsidR="009744CB" w:rsidRPr="00BA1CEF">
                <w:rPr>
                  <w:rStyle w:val="Lienhypertexte"/>
                  <w:rFonts w:cs="Arial"/>
                  <w:color w:val="auto"/>
                  <w:sz w:val="17"/>
                  <w:szCs w:val="17"/>
                  <w:lang w:val="pt-PT" w:eastAsia="fr-FR"/>
                </w:rPr>
                <w:t>maigamo58@yahoo.fr</w:t>
              </w:r>
            </w:hyperlink>
            <w:r w:rsidR="009744CB" w:rsidRPr="00BA1CEF">
              <w:rPr>
                <w:rFonts w:cs="Arial"/>
                <w:sz w:val="17"/>
                <w:szCs w:val="17"/>
                <w:lang w:val="pt-PT" w:eastAsia="fr-FR"/>
              </w:rPr>
              <w:t xml:space="preserve"> </w:t>
            </w:r>
          </w:p>
        </w:tc>
      </w:tr>
      <w:tr w:rsidR="00576749" w:rsidRPr="00BA1CEF" w14:paraId="69F305AC" w14:textId="77777777" w:rsidTr="00C97090">
        <w:trPr>
          <w:cantSplit/>
          <w:trHeight w:val="20"/>
        </w:trPr>
        <w:tc>
          <w:tcPr>
            <w:tcW w:w="1986" w:type="dxa"/>
            <w:vAlign w:val="center"/>
          </w:tcPr>
          <w:p w14:paraId="1B0A3BBD" w14:textId="77777777" w:rsidR="008B2B8B" w:rsidRPr="00BA1CEF" w:rsidRDefault="007D3BFE" w:rsidP="00670066">
            <w:pPr>
              <w:spacing w:after="0" w:line="240" w:lineRule="auto"/>
              <w:rPr>
                <w:rFonts w:cs="Arial"/>
                <w:sz w:val="17"/>
                <w:szCs w:val="17"/>
                <w:lang w:val="fr-FR" w:eastAsia="zh-CN"/>
              </w:rPr>
            </w:pPr>
            <w:r w:rsidRPr="00BA1CEF">
              <w:rPr>
                <w:rFonts w:cs="Arial"/>
                <w:sz w:val="17"/>
                <w:szCs w:val="17"/>
                <w:lang w:val="fr-FR" w:eastAsia="zh-CN"/>
              </w:rPr>
              <w:t>Yacouba KONE</w:t>
            </w:r>
          </w:p>
        </w:tc>
        <w:tc>
          <w:tcPr>
            <w:tcW w:w="1984" w:type="dxa"/>
            <w:vAlign w:val="center"/>
          </w:tcPr>
          <w:p w14:paraId="72A273A2" w14:textId="77777777" w:rsidR="008B2B8B" w:rsidRPr="00BA1CEF" w:rsidRDefault="007D3BFE" w:rsidP="00670066">
            <w:pPr>
              <w:spacing w:after="0" w:line="240" w:lineRule="auto"/>
              <w:rPr>
                <w:rFonts w:cs="Arial"/>
                <w:sz w:val="17"/>
                <w:szCs w:val="17"/>
                <w:lang w:val="fr-FR" w:eastAsia="zh-CN"/>
              </w:rPr>
            </w:pPr>
            <w:r w:rsidRPr="00BA1CEF">
              <w:rPr>
                <w:rFonts w:cs="Arial"/>
                <w:sz w:val="17"/>
                <w:szCs w:val="17"/>
                <w:lang w:val="fr-FR" w:eastAsia="zh-CN"/>
              </w:rPr>
              <w:t>DRA Sikasso</w:t>
            </w:r>
          </w:p>
        </w:tc>
        <w:tc>
          <w:tcPr>
            <w:tcW w:w="2552" w:type="dxa"/>
            <w:vAlign w:val="center"/>
          </w:tcPr>
          <w:p w14:paraId="5D3B13F9" w14:textId="77777777" w:rsidR="008B2B8B" w:rsidRPr="00BA1CEF" w:rsidRDefault="007D3BFE" w:rsidP="00670066">
            <w:pPr>
              <w:spacing w:after="0" w:line="240" w:lineRule="auto"/>
              <w:rPr>
                <w:rFonts w:cs="Arial"/>
                <w:sz w:val="17"/>
                <w:szCs w:val="17"/>
                <w:lang w:val="fr-FR" w:eastAsia="zh-CN"/>
              </w:rPr>
            </w:pPr>
            <w:r w:rsidRPr="00BA1CEF">
              <w:rPr>
                <w:rFonts w:cs="Arial"/>
                <w:sz w:val="17"/>
                <w:szCs w:val="17"/>
                <w:lang w:val="fr-FR" w:eastAsia="zh-CN"/>
              </w:rPr>
              <w:t>Directeur Régional</w:t>
            </w:r>
          </w:p>
        </w:tc>
        <w:tc>
          <w:tcPr>
            <w:tcW w:w="3402" w:type="dxa"/>
            <w:vAlign w:val="center"/>
          </w:tcPr>
          <w:p w14:paraId="3E7A16B1" w14:textId="77777777" w:rsidR="008B2B8B" w:rsidRPr="00BA1CEF" w:rsidRDefault="007D3BFE" w:rsidP="00670066">
            <w:pPr>
              <w:spacing w:after="0" w:line="240" w:lineRule="auto"/>
              <w:rPr>
                <w:rFonts w:cs="Arial"/>
                <w:sz w:val="17"/>
                <w:szCs w:val="17"/>
                <w:lang w:val="pt-PT" w:eastAsia="fr-FR"/>
              </w:rPr>
            </w:pPr>
            <w:r w:rsidRPr="00BA1CEF">
              <w:rPr>
                <w:rFonts w:cs="Arial"/>
                <w:sz w:val="17"/>
                <w:szCs w:val="17"/>
                <w:lang w:val="pt-PT" w:eastAsia="fr-FR"/>
              </w:rPr>
              <w:t xml:space="preserve">Tél: </w:t>
            </w:r>
            <w:r w:rsidR="00576749" w:rsidRPr="00BA1CEF">
              <w:rPr>
                <w:rFonts w:cs="Arial"/>
                <w:sz w:val="17"/>
                <w:szCs w:val="17"/>
                <w:lang w:val="pt-PT" w:eastAsia="fr-FR"/>
              </w:rPr>
              <w:t>66 18 37 30</w:t>
            </w:r>
          </w:p>
          <w:p w14:paraId="6CC558F8" w14:textId="77777777" w:rsidR="00576749" w:rsidRPr="00BA1CEF" w:rsidRDefault="00576749" w:rsidP="00670066">
            <w:pPr>
              <w:spacing w:after="0" w:line="240" w:lineRule="auto"/>
              <w:rPr>
                <w:rFonts w:cs="Arial"/>
                <w:sz w:val="17"/>
                <w:szCs w:val="17"/>
                <w:lang w:val="pt-PT" w:eastAsia="fr-FR"/>
              </w:rPr>
            </w:pPr>
            <w:r w:rsidRPr="00BA1CEF">
              <w:rPr>
                <w:rFonts w:cs="Arial"/>
                <w:sz w:val="17"/>
                <w:szCs w:val="17"/>
                <w:lang w:val="pt-PT" w:eastAsia="fr-FR"/>
              </w:rPr>
              <w:t>e-mail: yacoubakone2000@gmail.com</w:t>
            </w:r>
          </w:p>
        </w:tc>
      </w:tr>
      <w:tr w:rsidR="008B2B8B" w:rsidRPr="00BA1CEF" w14:paraId="1A53867A" w14:textId="77777777" w:rsidTr="00C97090">
        <w:trPr>
          <w:cantSplit/>
          <w:trHeight w:val="20"/>
        </w:trPr>
        <w:tc>
          <w:tcPr>
            <w:tcW w:w="1986" w:type="dxa"/>
            <w:vAlign w:val="center"/>
          </w:tcPr>
          <w:p w14:paraId="2B2D80C3" w14:textId="77777777" w:rsidR="008B2B8B" w:rsidRPr="00BA1CEF" w:rsidRDefault="00576749" w:rsidP="00B72A95">
            <w:pPr>
              <w:rPr>
                <w:rFonts w:cs="Arial"/>
                <w:sz w:val="17"/>
                <w:szCs w:val="17"/>
                <w:lang w:val="fr-FR" w:eastAsia="zh-CN"/>
              </w:rPr>
            </w:pPr>
            <w:r w:rsidRPr="00BA1CEF">
              <w:rPr>
                <w:rFonts w:cs="Arial"/>
                <w:sz w:val="17"/>
                <w:szCs w:val="17"/>
                <w:lang w:val="fr-FR" w:eastAsia="zh-CN"/>
              </w:rPr>
              <w:t>Oumar DIALLO</w:t>
            </w:r>
          </w:p>
        </w:tc>
        <w:tc>
          <w:tcPr>
            <w:tcW w:w="1984" w:type="dxa"/>
            <w:vAlign w:val="center"/>
          </w:tcPr>
          <w:p w14:paraId="0BB17430" w14:textId="77777777" w:rsidR="008B2B8B" w:rsidRPr="00BA1CEF" w:rsidRDefault="00576749" w:rsidP="00B72A95">
            <w:pPr>
              <w:rPr>
                <w:rFonts w:cs="Arial"/>
                <w:sz w:val="17"/>
                <w:szCs w:val="17"/>
                <w:lang w:val="fr-FR" w:eastAsia="zh-CN"/>
              </w:rPr>
            </w:pPr>
            <w:r w:rsidRPr="00BA1CEF">
              <w:rPr>
                <w:rFonts w:cs="Arial"/>
                <w:sz w:val="17"/>
                <w:szCs w:val="17"/>
                <w:lang w:val="fr-FR" w:eastAsia="zh-CN"/>
              </w:rPr>
              <w:t xml:space="preserve">Commune Buga </w:t>
            </w:r>
          </w:p>
        </w:tc>
        <w:tc>
          <w:tcPr>
            <w:tcW w:w="2552" w:type="dxa"/>
            <w:vAlign w:val="center"/>
          </w:tcPr>
          <w:p w14:paraId="31C30385" w14:textId="77777777" w:rsidR="008B2B8B" w:rsidRPr="00BA1CEF" w:rsidRDefault="00576749" w:rsidP="00B72A95">
            <w:pPr>
              <w:rPr>
                <w:rFonts w:cs="Arial"/>
                <w:sz w:val="17"/>
                <w:szCs w:val="17"/>
                <w:lang w:val="fr-FR" w:eastAsia="zh-CN"/>
              </w:rPr>
            </w:pPr>
            <w:r w:rsidRPr="00BA1CEF">
              <w:rPr>
                <w:rFonts w:cs="Arial"/>
                <w:sz w:val="17"/>
                <w:szCs w:val="17"/>
                <w:lang w:val="fr-FR" w:eastAsia="zh-CN"/>
              </w:rPr>
              <w:t>SEGAL</w:t>
            </w:r>
          </w:p>
        </w:tc>
        <w:tc>
          <w:tcPr>
            <w:tcW w:w="3402" w:type="dxa"/>
            <w:vAlign w:val="center"/>
          </w:tcPr>
          <w:p w14:paraId="216AD3FE" w14:textId="77777777" w:rsidR="008B2B8B" w:rsidRPr="00BA1CEF" w:rsidRDefault="00576749" w:rsidP="00B72A95">
            <w:pPr>
              <w:rPr>
                <w:rFonts w:cs="Arial"/>
                <w:sz w:val="17"/>
                <w:szCs w:val="17"/>
                <w:lang w:val="pt-PT" w:eastAsia="fr-FR"/>
              </w:rPr>
            </w:pPr>
            <w:r w:rsidRPr="00BA1CEF">
              <w:rPr>
                <w:rFonts w:cs="Arial"/>
                <w:sz w:val="17"/>
                <w:szCs w:val="17"/>
                <w:lang w:val="pt-PT" w:eastAsia="fr-FR"/>
              </w:rPr>
              <w:t>Tél: 66 80 51 40</w:t>
            </w:r>
          </w:p>
        </w:tc>
      </w:tr>
    </w:tbl>
    <w:p w14:paraId="115AA993" w14:textId="77777777" w:rsidR="005732E9" w:rsidRPr="00BA1CEF" w:rsidRDefault="005732E9">
      <w:pPr>
        <w:rPr>
          <w:rFonts w:eastAsiaTheme="majorEastAsia" w:cs="Arial"/>
          <w:b/>
          <w:bCs/>
          <w:sz w:val="20"/>
          <w:szCs w:val="20"/>
          <w:lang w:val="fr-FR"/>
        </w:rPr>
      </w:pPr>
      <w:r w:rsidRPr="00BA1CEF">
        <w:rPr>
          <w:rFonts w:cs="Arial"/>
          <w:sz w:val="20"/>
          <w:szCs w:val="20"/>
          <w:lang w:val="fr-FR"/>
        </w:rPr>
        <w:br w:type="page"/>
      </w:r>
    </w:p>
    <w:p w14:paraId="5E28292B" w14:textId="77777777" w:rsidR="00282133" w:rsidRPr="000806D2" w:rsidRDefault="003B087C" w:rsidP="00913A0C">
      <w:pPr>
        <w:pStyle w:val="Titre2"/>
      </w:pPr>
      <w:bookmarkStart w:id="150" w:name="_Toc393900330"/>
      <w:bookmarkStart w:id="151" w:name="_Toc20505722"/>
      <w:r w:rsidRPr="00BA1CEF">
        <w:lastRenderedPageBreak/>
        <w:t>8</w:t>
      </w:r>
      <w:r w:rsidR="00E87B53" w:rsidRPr="00BA1CEF">
        <w:t>.5</w:t>
      </w:r>
      <w:r w:rsidR="001C2032" w:rsidRPr="00BA1CEF">
        <w:t xml:space="preserve"> </w:t>
      </w:r>
      <w:r w:rsidR="00282133" w:rsidRPr="00BA1CEF">
        <w:t>Liste de la doc</w:t>
      </w:r>
      <w:r w:rsidR="00E5610D" w:rsidRPr="00BA1CEF">
        <w:t>umentation consultée</w:t>
      </w:r>
      <w:bookmarkEnd w:id="150"/>
      <w:bookmarkEnd w:id="151"/>
    </w:p>
    <w:p w14:paraId="45C03C60" w14:textId="77777777" w:rsidR="00282133" w:rsidRDefault="00282133" w:rsidP="00282133">
      <w:pPr>
        <w:spacing w:after="0" w:line="240" w:lineRule="auto"/>
        <w:rPr>
          <w:rFonts w:eastAsia="Calibri" w:cs="Arial"/>
          <w:sz w:val="20"/>
          <w:szCs w:val="20"/>
          <w:lang w:val="fr-FR" w:eastAsia="fr-FR"/>
        </w:rPr>
      </w:pPr>
    </w:p>
    <w:tbl>
      <w:tblPr>
        <w:tblW w:w="978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10"/>
        <w:gridCol w:w="1984"/>
        <w:gridCol w:w="7088"/>
      </w:tblGrid>
      <w:tr w:rsidR="00017D06" w:rsidRPr="00E5610D" w14:paraId="5D611CC7" w14:textId="77777777" w:rsidTr="0035619B">
        <w:trPr>
          <w:cantSplit/>
          <w:trHeight w:val="286"/>
          <w:tblHeader/>
        </w:trPr>
        <w:tc>
          <w:tcPr>
            <w:tcW w:w="710" w:type="dxa"/>
            <w:shd w:val="pct10" w:color="auto" w:fill="auto"/>
            <w:vAlign w:val="center"/>
          </w:tcPr>
          <w:p w14:paraId="7AD8FBF9" w14:textId="77777777" w:rsidR="00017D06" w:rsidRPr="00017D06" w:rsidRDefault="00017D06" w:rsidP="0035619B">
            <w:pPr>
              <w:spacing w:after="0" w:line="240" w:lineRule="auto"/>
              <w:jc w:val="center"/>
              <w:rPr>
                <w:rFonts w:eastAsia="SimSun" w:cs="Arial"/>
                <w:b/>
                <w:sz w:val="17"/>
                <w:szCs w:val="17"/>
                <w:lang w:val="fr-FR" w:eastAsia="zh-CN"/>
              </w:rPr>
            </w:pPr>
            <w:r w:rsidRPr="00017D06">
              <w:rPr>
                <w:rFonts w:eastAsia="SimSun" w:cs="Arial"/>
                <w:b/>
                <w:sz w:val="17"/>
                <w:szCs w:val="17"/>
                <w:lang w:val="fr-FR" w:eastAsia="zh-CN"/>
              </w:rPr>
              <w:t>ANNEE</w:t>
            </w:r>
          </w:p>
        </w:tc>
        <w:tc>
          <w:tcPr>
            <w:tcW w:w="1984" w:type="dxa"/>
            <w:shd w:val="pct10" w:color="auto" w:fill="auto"/>
            <w:vAlign w:val="center"/>
          </w:tcPr>
          <w:p w14:paraId="71477C23" w14:textId="77777777" w:rsidR="00017D06" w:rsidRPr="00017D06" w:rsidRDefault="00017D06" w:rsidP="0035619B">
            <w:pPr>
              <w:spacing w:after="0" w:line="240" w:lineRule="auto"/>
              <w:jc w:val="center"/>
              <w:rPr>
                <w:rFonts w:eastAsia="SimSun" w:cs="Arial"/>
                <w:b/>
                <w:sz w:val="17"/>
                <w:szCs w:val="17"/>
                <w:lang w:val="fr-FR" w:eastAsia="zh-CN"/>
              </w:rPr>
            </w:pPr>
            <w:r w:rsidRPr="00017D06">
              <w:rPr>
                <w:rFonts w:eastAsia="SimSun" w:cs="Arial"/>
                <w:b/>
                <w:sz w:val="17"/>
                <w:szCs w:val="17"/>
                <w:lang w:val="fr-FR" w:eastAsia="zh-CN"/>
              </w:rPr>
              <w:t>AUTEUR</w:t>
            </w:r>
          </w:p>
        </w:tc>
        <w:tc>
          <w:tcPr>
            <w:tcW w:w="7088" w:type="dxa"/>
            <w:shd w:val="pct10" w:color="auto" w:fill="auto"/>
            <w:vAlign w:val="center"/>
          </w:tcPr>
          <w:p w14:paraId="5E722E25" w14:textId="77777777" w:rsidR="00017D06" w:rsidRPr="00017D06" w:rsidRDefault="00017D06" w:rsidP="0035619B">
            <w:pPr>
              <w:spacing w:after="0" w:line="240" w:lineRule="auto"/>
              <w:jc w:val="center"/>
              <w:rPr>
                <w:rFonts w:eastAsia="SimSun" w:cs="Arial"/>
                <w:b/>
                <w:sz w:val="17"/>
                <w:szCs w:val="17"/>
                <w:lang w:val="fr-FR" w:eastAsia="zh-CN"/>
              </w:rPr>
            </w:pPr>
            <w:r w:rsidRPr="00017D06">
              <w:rPr>
                <w:rFonts w:eastAsia="SimSun" w:cs="Arial"/>
                <w:b/>
                <w:sz w:val="17"/>
                <w:szCs w:val="17"/>
                <w:lang w:val="fr-FR" w:eastAsia="zh-CN"/>
              </w:rPr>
              <w:t>TITRE</w:t>
            </w:r>
          </w:p>
        </w:tc>
      </w:tr>
      <w:tr w:rsidR="00DA23E1" w:rsidRPr="00111198" w14:paraId="40293FBB" w14:textId="77777777" w:rsidTr="0035619B">
        <w:trPr>
          <w:cantSplit/>
        </w:trPr>
        <w:tc>
          <w:tcPr>
            <w:tcW w:w="710" w:type="dxa"/>
            <w:vAlign w:val="center"/>
          </w:tcPr>
          <w:p w14:paraId="7199E83D" w14:textId="77777777" w:rsidR="00DA23E1" w:rsidRPr="00111198" w:rsidRDefault="00DA23E1" w:rsidP="0035619B">
            <w:pPr>
              <w:spacing w:after="0" w:line="240" w:lineRule="auto"/>
              <w:rPr>
                <w:rFonts w:eastAsia="SimSun" w:cs="Arial"/>
                <w:sz w:val="17"/>
                <w:szCs w:val="17"/>
                <w:lang w:val="fr-FR" w:eastAsia="zh-CN"/>
              </w:rPr>
            </w:pPr>
            <w:r w:rsidRPr="00111198">
              <w:rPr>
                <w:rFonts w:eastAsia="SimSun" w:cs="Arial"/>
                <w:sz w:val="17"/>
                <w:szCs w:val="17"/>
                <w:lang w:val="fr-FR" w:eastAsia="zh-CN"/>
              </w:rPr>
              <w:t>2019</w:t>
            </w:r>
          </w:p>
        </w:tc>
        <w:tc>
          <w:tcPr>
            <w:tcW w:w="1984" w:type="dxa"/>
            <w:vAlign w:val="center"/>
          </w:tcPr>
          <w:p w14:paraId="386F6638" w14:textId="77777777" w:rsidR="00DA23E1" w:rsidRPr="00111198" w:rsidRDefault="00DA23E1" w:rsidP="0035619B">
            <w:pPr>
              <w:spacing w:after="0" w:line="240" w:lineRule="auto"/>
              <w:rPr>
                <w:rFonts w:eastAsia="SimSun" w:cs="Arial"/>
                <w:sz w:val="17"/>
                <w:szCs w:val="17"/>
                <w:lang w:val="fr-FR" w:eastAsia="zh-CN"/>
              </w:rPr>
            </w:pPr>
            <w:r w:rsidRPr="00111198">
              <w:rPr>
                <w:rFonts w:eastAsia="SimSun" w:cs="Arial"/>
                <w:sz w:val="17"/>
                <w:szCs w:val="17"/>
                <w:lang w:val="fr-FR" w:eastAsia="zh-CN"/>
              </w:rPr>
              <w:t>BURGEAP/UE</w:t>
            </w:r>
          </w:p>
        </w:tc>
        <w:tc>
          <w:tcPr>
            <w:tcW w:w="7088" w:type="dxa"/>
            <w:vAlign w:val="center"/>
          </w:tcPr>
          <w:p w14:paraId="24B14823" w14:textId="77777777" w:rsidR="00DA23E1" w:rsidRPr="00111198" w:rsidRDefault="00DA23E1" w:rsidP="0035619B">
            <w:pPr>
              <w:spacing w:after="0" w:line="240" w:lineRule="auto"/>
              <w:rPr>
                <w:rFonts w:eastAsia="SimSun" w:cs="Arial"/>
                <w:sz w:val="17"/>
                <w:szCs w:val="17"/>
                <w:lang w:val="fr-FR" w:eastAsia="zh-CN"/>
              </w:rPr>
            </w:pPr>
            <w:r w:rsidRPr="00111198">
              <w:rPr>
                <w:rFonts w:eastAsia="SimSun" w:cs="Arial"/>
                <w:sz w:val="17"/>
                <w:szCs w:val="17"/>
                <w:lang w:val="fr-FR" w:eastAsia="zh-CN"/>
              </w:rPr>
              <w:t>Etude de la qualité de l’air à Bamako (Mali) (draft 9/2019)</w:t>
            </w:r>
          </w:p>
        </w:tc>
      </w:tr>
      <w:tr w:rsidR="00DA23E1" w:rsidRPr="00BA1CEF" w14:paraId="7AD1E391" w14:textId="77777777" w:rsidTr="0035619B">
        <w:trPr>
          <w:cantSplit/>
        </w:trPr>
        <w:tc>
          <w:tcPr>
            <w:tcW w:w="710" w:type="dxa"/>
            <w:vAlign w:val="center"/>
          </w:tcPr>
          <w:p w14:paraId="097EBAAF" w14:textId="77777777" w:rsidR="00DA23E1" w:rsidRPr="00111198" w:rsidRDefault="00DA23E1" w:rsidP="0035619B">
            <w:pPr>
              <w:spacing w:after="0" w:line="240" w:lineRule="auto"/>
              <w:rPr>
                <w:rFonts w:eastAsia="SimSun" w:cs="Arial"/>
                <w:sz w:val="17"/>
                <w:szCs w:val="17"/>
                <w:lang w:val="fr-FR" w:eastAsia="zh-CN"/>
              </w:rPr>
            </w:pPr>
            <w:r w:rsidRPr="00111198">
              <w:rPr>
                <w:rFonts w:eastAsia="SimSun" w:cs="Arial"/>
                <w:sz w:val="17"/>
                <w:szCs w:val="17"/>
                <w:lang w:val="fr-FR" w:eastAsia="zh-CN"/>
              </w:rPr>
              <w:t>2019</w:t>
            </w:r>
          </w:p>
        </w:tc>
        <w:tc>
          <w:tcPr>
            <w:tcW w:w="1984" w:type="dxa"/>
            <w:vAlign w:val="center"/>
          </w:tcPr>
          <w:p w14:paraId="5DCC8591" w14:textId="77777777" w:rsidR="00DA23E1" w:rsidRPr="00111198" w:rsidRDefault="00DA23E1" w:rsidP="0035619B">
            <w:pPr>
              <w:spacing w:after="0" w:line="240" w:lineRule="auto"/>
              <w:rPr>
                <w:rFonts w:eastAsia="SimSun" w:cs="Arial"/>
                <w:sz w:val="17"/>
                <w:szCs w:val="17"/>
                <w:lang w:val="fr-FR" w:eastAsia="zh-CN"/>
              </w:rPr>
            </w:pPr>
            <w:r w:rsidRPr="00111198">
              <w:rPr>
                <w:rFonts w:eastAsia="SimSun" w:cs="Arial"/>
                <w:sz w:val="17"/>
                <w:szCs w:val="17"/>
                <w:lang w:val="fr-FR" w:eastAsia="zh-CN"/>
              </w:rPr>
              <w:t>CT - CSLP</w:t>
            </w:r>
          </w:p>
        </w:tc>
        <w:tc>
          <w:tcPr>
            <w:tcW w:w="7088" w:type="dxa"/>
            <w:vAlign w:val="center"/>
          </w:tcPr>
          <w:p w14:paraId="0A2CFC26" w14:textId="77777777" w:rsidR="00DA23E1" w:rsidRPr="00111198" w:rsidRDefault="00DA23E1" w:rsidP="0035619B">
            <w:pPr>
              <w:spacing w:after="0" w:line="240" w:lineRule="auto"/>
              <w:rPr>
                <w:rFonts w:eastAsia="SimSun" w:cs="Arial"/>
                <w:sz w:val="17"/>
                <w:szCs w:val="17"/>
                <w:lang w:val="fr-FR" w:eastAsia="zh-CN"/>
              </w:rPr>
            </w:pPr>
            <w:r w:rsidRPr="00111198">
              <w:rPr>
                <w:rFonts w:eastAsia="SimSun" w:cs="Arial"/>
                <w:sz w:val="17"/>
                <w:szCs w:val="17"/>
                <w:lang w:val="fr-FR" w:eastAsia="zh-CN"/>
              </w:rPr>
              <w:t>CREDD 2019 - 2023</w:t>
            </w:r>
          </w:p>
        </w:tc>
      </w:tr>
      <w:tr w:rsidR="00017D06" w:rsidRPr="00BA1CEF" w14:paraId="1C1AB7D9" w14:textId="77777777" w:rsidTr="0035619B">
        <w:trPr>
          <w:cantSplit/>
        </w:trPr>
        <w:tc>
          <w:tcPr>
            <w:tcW w:w="710" w:type="dxa"/>
            <w:vAlign w:val="center"/>
          </w:tcPr>
          <w:p w14:paraId="6114207E"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2018</w:t>
            </w:r>
          </w:p>
        </w:tc>
        <w:tc>
          <w:tcPr>
            <w:tcW w:w="1984" w:type="dxa"/>
            <w:vAlign w:val="center"/>
          </w:tcPr>
          <w:p w14:paraId="5C2F747D"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AEDD</w:t>
            </w:r>
          </w:p>
        </w:tc>
        <w:tc>
          <w:tcPr>
            <w:tcW w:w="7088" w:type="dxa"/>
            <w:vAlign w:val="center"/>
          </w:tcPr>
          <w:p w14:paraId="2394BCC6"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Rapport national sur l’Etat de l’Environnement (REE) au Mali édition de 2017</w:t>
            </w:r>
          </w:p>
        </w:tc>
      </w:tr>
      <w:tr w:rsidR="00017D06" w:rsidRPr="00EF70F5" w14:paraId="7A5CBDDB" w14:textId="77777777" w:rsidTr="0035619B">
        <w:trPr>
          <w:cantSplit/>
        </w:trPr>
        <w:tc>
          <w:tcPr>
            <w:tcW w:w="710" w:type="dxa"/>
            <w:vAlign w:val="center"/>
          </w:tcPr>
          <w:p w14:paraId="480BB0FC"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2018</w:t>
            </w:r>
          </w:p>
        </w:tc>
        <w:tc>
          <w:tcPr>
            <w:tcW w:w="1984" w:type="dxa"/>
            <w:vAlign w:val="center"/>
          </w:tcPr>
          <w:p w14:paraId="03919362"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BM</w:t>
            </w:r>
          </w:p>
        </w:tc>
        <w:tc>
          <w:tcPr>
            <w:tcW w:w="7088" w:type="dxa"/>
            <w:vAlign w:val="center"/>
          </w:tcPr>
          <w:p w14:paraId="02CFD64B" w14:textId="77777777" w:rsidR="00017D06" w:rsidRPr="00BA1CEF" w:rsidRDefault="00017D06" w:rsidP="0035619B">
            <w:pPr>
              <w:spacing w:after="0" w:line="240" w:lineRule="auto"/>
              <w:rPr>
                <w:rFonts w:eastAsia="SimSun" w:cs="Arial"/>
                <w:sz w:val="17"/>
                <w:szCs w:val="17"/>
                <w:lang w:val="en-GB" w:eastAsia="zh-CN"/>
              </w:rPr>
            </w:pPr>
            <w:r w:rsidRPr="00BA1CEF">
              <w:rPr>
                <w:rFonts w:eastAsia="SimSun" w:cs="Arial"/>
                <w:sz w:val="17"/>
                <w:szCs w:val="17"/>
                <w:lang w:val="en-GB" w:eastAsia="zh-CN"/>
              </w:rPr>
              <w:t>Project Appraisal Document : Economic &amp; environmental rehabilitation of the Niger river project</w:t>
            </w:r>
          </w:p>
        </w:tc>
      </w:tr>
      <w:tr w:rsidR="00017D06" w:rsidRPr="00736FE4" w14:paraId="438CB998" w14:textId="77777777" w:rsidTr="0035619B">
        <w:trPr>
          <w:cantSplit/>
        </w:trPr>
        <w:tc>
          <w:tcPr>
            <w:tcW w:w="710" w:type="dxa"/>
            <w:vAlign w:val="center"/>
          </w:tcPr>
          <w:p w14:paraId="52EC66C2"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2018</w:t>
            </w:r>
          </w:p>
        </w:tc>
        <w:tc>
          <w:tcPr>
            <w:tcW w:w="1984" w:type="dxa"/>
            <w:vAlign w:val="center"/>
          </w:tcPr>
          <w:p w14:paraId="522EF61E"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BMZ</w:t>
            </w:r>
          </w:p>
        </w:tc>
        <w:tc>
          <w:tcPr>
            <w:tcW w:w="7088" w:type="dxa"/>
            <w:vAlign w:val="center"/>
          </w:tcPr>
          <w:p w14:paraId="6EA4CE56" w14:textId="77777777" w:rsidR="00017D06" w:rsidRPr="00BA1CEF" w:rsidRDefault="00017D06" w:rsidP="0035619B">
            <w:pPr>
              <w:spacing w:after="0" w:line="240" w:lineRule="auto"/>
              <w:rPr>
                <w:rFonts w:eastAsia="SimSun" w:cs="Arial"/>
                <w:sz w:val="17"/>
                <w:szCs w:val="17"/>
                <w:lang w:val="en-GB" w:eastAsia="zh-CN"/>
              </w:rPr>
            </w:pPr>
            <w:r w:rsidRPr="00BA1CEF">
              <w:rPr>
                <w:rFonts w:eastAsia="SimSun" w:cs="Arial"/>
                <w:sz w:val="17"/>
                <w:szCs w:val="17"/>
                <w:lang w:val="en-GB" w:eastAsia="zh-CN"/>
              </w:rPr>
              <w:t>Core Contributions by BMZ to the NDC Implementation in Mali under the NDC Partnership</w:t>
            </w:r>
          </w:p>
        </w:tc>
      </w:tr>
      <w:tr w:rsidR="00017D06" w:rsidRPr="00BA1CEF" w14:paraId="0CA291B6" w14:textId="77777777" w:rsidTr="0035619B">
        <w:trPr>
          <w:cantSplit/>
        </w:trPr>
        <w:tc>
          <w:tcPr>
            <w:tcW w:w="710" w:type="dxa"/>
            <w:vAlign w:val="center"/>
          </w:tcPr>
          <w:p w14:paraId="08B8DBE8"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2018</w:t>
            </w:r>
          </w:p>
        </w:tc>
        <w:tc>
          <w:tcPr>
            <w:tcW w:w="1984" w:type="dxa"/>
            <w:vAlign w:val="center"/>
          </w:tcPr>
          <w:p w14:paraId="36D90509"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CGQA</w:t>
            </w:r>
          </w:p>
        </w:tc>
        <w:tc>
          <w:tcPr>
            <w:tcW w:w="7088" w:type="dxa"/>
            <w:vAlign w:val="center"/>
          </w:tcPr>
          <w:p w14:paraId="3EA2F520" w14:textId="77777777" w:rsidR="00017D06" w:rsidRPr="00BA1CEF" w:rsidRDefault="00017D06" w:rsidP="0035619B">
            <w:pPr>
              <w:autoSpaceDE w:val="0"/>
              <w:autoSpaceDN w:val="0"/>
              <w:adjustRightInd w:val="0"/>
              <w:spacing w:after="0" w:line="240" w:lineRule="auto"/>
              <w:jc w:val="left"/>
              <w:rPr>
                <w:rFonts w:cs="SegoeUI-Bold"/>
                <w:bCs/>
                <w:sz w:val="17"/>
                <w:szCs w:val="17"/>
                <w:lang w:val="fr-FR"/>
              </w:rPr>
            </w:pPr>
            <w:r w:rsidRPr="00BA1CEF">
              <w:rPr>
                <w:rFonts w:cs="SegoeUI-Bold"/>
                <w:bCs/>
                <w:sz w:val="17"/>
                <w:szCs w:val="17"/>
                <w:lang w:val="fr-FR"/>
              </w:rPr>
              <w:t>Suivi de la qualité de l’air à Dakar. Rapport annuel 2017</w:t>
            </w:r>
          </w:p>
        </w:tc>
      </w:tr>
      <w:tr w:rsidR="00017D06" w:rsidRPr="00BA1CEF" w14:paraId="686F0DA3" w14:textId="77777777" w:rsidTr="0035619B">
        <w:trPr>
          <w:cantSplit/>
        </w:trPr>
        <w:tc>
          <w:tcPr>
            <w:tcW w:w="710" w:type="dxa"/>
            <w:vAlign w:val="center"/>
          </w:tcPr>
          <w:p w14:paraId="53BCB8BA"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2018</w:t>
            </w:r>
          </w:p>
        </w:tc>
        <w:tc>
          <w:tcPr>
            <w:tcW w:w="1984" w:type="dxa"/>
            <w:vAlign w:val="center"/>
          </w:tcPr>
          <w:p w14:paraId="0A078799"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CPS Mines Energie</w:t>
            </w:r>
          </w:p>
        </w:tc>
        <w:tc>
          <w:tcPr>
            <w:tcW w:w="7088" w:type="dxa"/>
            <w:vAlign w:val="center"/>
          </w:tcPr>
          <w:p w14:paraId="5DE9ABC2" w14:textId="77777777" w:rsidR="00017D06" w:rsidRPr="00BA1CEF" w:rsidRDefault="00017D06" w:rsidP="0035619B">
            <w:pPr>
              <w:autoSpaceDE w:val="0"/>
              <w:autoSpaceDN w:val="0"/>
              <w:adjustRightInd w:val="0"/>
              <w:spacing w:after="0" w:line="240" w:lineRule="auto"/>
              <w:jc w:val="left"/>
              <w:rPr>
                <w:rFonts w:cs="SegoeUI-Bold"/>
                <w:bCs/>
                <w:sz w:val="17"/>
                <w:szCs w:val="17"/>
                <w:lang w:val="fr-FR"/>
              </w:rPr>
            </w:pPr>
            <w:r w:rsidRPr="00BA1CEF">
              <w:rPr>
                <w:rFonts w:cs="SegoeUI-Bold"/>
                <w:bCs/>
                <w:sz w:val="17"/>
                <w:szCs w:val="17"/>
                <w:lang w:val="fr-FR"/>
              </w:rPr>
              <w:t>Document de la revue 2017 du secteur mines et énergie</w:t>
            </w:r>
          </w:p>
        </w:tc>
      </w:tr>
      <w:tr w:rsidR="00017D06" w:rsidRPr="00BA1CEF" w14:paraId="08A43745" w14:textId="77777777" w:rsidTr="0035619B">
        <w:trPr>
          <w:cantSplit/>
        </w:trPr>
        <w:tc>
          <w:tcPr>
            <w:tcW w:w="710" w:type="dxa"/>
            <w:vAlign w:val="center"/>
          </w:tcPr>
          <w:p w14:paraId="076B1018"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 xml:space="preserve">2018 </w:t>
            </w:r>
          </w:p>
        </w:tc>
        <w:tc>
          <w:tcPr>
            <w:tcW w:w="1984" w:type="dxa"/>
            <w:vAlign w:val="center"/>
          </w:tcPr>
          <w:p w14:paraId="31550F15"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CTB Mali</w:t>
            </w:r>
          </w:p>
        </w:tc>
        <w:tc>
          <w:tcPr>
            <w:tcW w:w="7088" w:type="dxa"/>
            <w:vAlign w:val="center"/>
          </w:tcPr>
          <w:p w14:paraId="27307278" w14:textId="77777777" w:rsidR="00017D06" w:rsidRPr="00BA1CEF" w:rsidRDefault="00017D06" w:rsidP="0035619B">
            <w:pPr>
              <w:autoSpaceDE w:val="0"/>
              <w:autoSpaceDN w:val="0"/>
              <w:adjustRightInd w:val="0"/>
              <w:spacing w:after="0" w:line="240" w:lineRule="auto"/>
              <w:jc w:val="left"/>
              <w:rPr>
                <w:rFonts w:cs="SegoeUI-Bold"/>
                <w:bCs/>
                <w:sz w:val="17"/>
                <w:szCs w:val="17"/>
                <w:lang w:val="fr-FR"/>
              </w:rPr>
            </w:pPr>
            <w:r w:rsidRPr="00BA1CEF">
              <w:rPr>
                <w:rFonts w:cs="SegoeUI-Bold"/>
                <w:bCs/>
                <w:sz w:val="17"/>
                <w:szCs w:val="17"/>
                <w:lang w:val="fr-FR"/>
              </w:rPr>
              <w:t>Vers une ville propre. Accompagner la commune de Sikasso pour concevoir et mettre en place sa gestion intégrée et durable des déchets</w:t>
            </w:r>
          </w:p>
        </w:tc>
      </w:tr>
      <w:tr w:rsidR="00017D06" w:rsidRPr="00BA1CEF" w14:paraId="7ED60E2B" w14:textId="77777777" w:rsidTr="0035619B">
        <w:trPr>
          <w:cantSplit/>
        </w:trPr>
        <w:tc>
          <w:tcPr>
            <w:tcW w:w="710" w:type="dxa"/>
            <w:vAlign w:val="center"/>
          </w:tcPr>
          <w:p w14:paraId="1EE90518"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2018</w:t>
            </w:r>
          </w:p>
        </w:tc>
        <w:tc>
          <w:tcPr>
            <w:tcW w:w="1984" w:type="dxa"/>
            <w:vAlign w:val="center"/>
          </w:tcPr>
          <w:p w14:paraId="6C7537F1"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DNA</w:t>
            </w:r>
          </w:p>
        </w:tc>
        <w:tc>
          <w:tcPr>
            <w:tcW w:w="7088" w:type="dxa"/>
            <w:vAlign w:val="center"/>
          </w:tcPr>
          <w:p w14:paraId="67F00AAA" w14:textId="77777777" w:rsidR="00017D06" w:rsidRPr="00BA1CEF" w:rsidRDefault="00017D06" w:rsidP="0035619B">
            <w:pPr>
              <w:autoSpaceDE w:val="0"/>
              <w:autoSpaceDN w:val="0"/>
              <w:adjustRightInd w:val="0"/>
              <w:spacing w:after="0" w:line="240" w:lineRule="auto"/>
              <w:jc w:val="left"/>
              <w:rPr>
                <w:rFonts w:cs="SegoeUI-Bold"/>
                <w:bCs/>
                <w:sz w:val="17"/>
                <w:szCs w:val="17"/>
                <w:lang w:val="fr-FR"/>
              </w:rPr>
            </w:pPr>
            <w:r w:rsidRPr="00BA1CEF">
              <w:rPr>
                <w:rFonts w:cs="SegoeUI-Bold"/>
                <w:bCs/>
                <w:sz w:val="17"/>
                <w:szCs w:val="17"/>
                <w:lang w:val="fr-FR"/>
              </w:rPr>
              <w:t>Rapport bilan de la campagne agricole 2017-2018</w:t>
            </w:r>
          </w:p>
        </w:tc>
      </w:tr>
      <w:tr w:rsidR="00017D06" w:rsidRPr="00BA1CEF" w14:paraId="7516044A" w14:textId="77777777" w:rsidTr="0035619B">
        <w:trPr>
          <w:cantSplit/>
        </w:trPr>
        <w:tc>
          <w:tcPr>
            <w:tcW w:w="710" w:type="dxa"/>
            <w:tcBorders>
              <w:top w:val="single" w:sz="4" w:space="0" w:color="auto"/>
              <w:left w:val="single" w:sz="4" w:space="0" w:color="auto"/>
              <w:bottom w:val="single" w:sz="4" w:space="0" w:color="auto"/>
              <w:right w:val="single" w:sz="4" w:space="0" w:color="auto"/>
            </w:tcBorders>
            <w:vAlign w:val="center"/>
          </w:tcPr>
          <w:p w14:paraId="74EA95D5"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2018</w:t>
            </w:r>
          </w:p>
        </w:tc>
        <w:tc>
          <w:tcPr>
            <w:tcW w:w="1984" w:type="dxa"/>
            <w:tcBorders>
              <w:top w:val="single" w:sz="4" w:space="0" w:color="auto"/>
              <w:left w:val="single" w:sz="4" w:space="0" w:color="auto"/>
              <w:bottom w:val="single" w:sz="4" w:space="0" w:color="auto"/>
              <w:right w:val="single" w:sz="4" w:space="0" w:color="auto"/>
            </w:tcBorders>
            <w:vAlign w:val="center"/>
          </w:tcPr>
          <w:p w14:paraId="6683034A"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DNEF</w:t>
            </w:r>
          </w:p>
        </w:tc>
        <w:tc>
          <w:tcPr>
            <w:tcW w:w="7088" w:type="dxa"/>
            <w:tcBorders>
              <w:top w:val="single" w:sz="4" w:space="0" w:color="auto"/>
              <w:left w:val="single" w:sz="4" w:space="0" w:color="auto"/>
              <w:bottom w:val="single" w:sz="4" w:space="0" w:color="auto"/>
              <w:right w:val="single" w:sz="4" w:space="0" w:color="auto"/>
            </w:tcBorders>
            <w:vAlign w:val="center"/>
          </w:tcPr>
          <w:p w14:paraId="4B2211E9" w14:textId="77777777" w:rsidR="00017D06" w:rsidRPr="00BA1CEF" w:rsidRDefault="00017D06" w:rsidP="0035619B">
            <w:pPr>
              <w:autoSpaceDE w:val="0"/>
              <w:autoSpaceDN w:val="0"/>
              <w:adjustRightInd w:val="0"/>
              <w:spacing w:after="0" w:line="240" w:lineRule="auto"/>
              <w:jc w:val="left"/>
              <w:rPr>
                <w:rFonts w:cs="SegoeUI-Bold"/>
                <w:bCs/>
                <w:sz w:val="17"/>
                <w:szCs w:val="17"/>
                <w:lang w:val="fr-FR"/>
              </w:rPr>
            </w:pPr>
            <w:r w:rsidRPr="00BA1CEF">
              <w:rPr>
                <w:rFonts w:cs="SegoeUI-Bold"/>
                <w:bCs/>
                <w:sz w:val="17"/>
                <w:szCs w:val="17"/>
                <w:lang w:val="fr-FR"/>
              </w:rPr>
              <w:t>Rapport Annuel 2017</w:t>
            </w:r>
          </w:p>
        </w:tc>
      </w:tr>
      <w:tr w:rsidR="00017D06" w:rsidRPr="00BA1CEF" w14:paraId="06E0EC72" w14:textId="77777777" w:rsidTr="0035619B">
        <w:trPr>
          <w:cantSplit/>
        </w:trPr>
        <w:tc>
          <w:tcPr>
            <w:tcW w:w="710" w:type="dxa"/>
            <w:tcBorders>
              <w:top w:val="single" w:sz="4" w:space="0" w:color="auto"/>
              <w:left w:val="single" w:sz="4" w:space="0" w:color="auto"/>
              <w:bottom w:val="single" w:sz="4" w:space="0" w:color="auto"/>
              <w:right w:val="single" w:sz="4" w:space="0" w:color="auto"/>
            </w:tcBorders>
            <w:vAlign w:val="center"/>
          </w:tcPr>
          <w:p w14:paraId="68AF7341"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2018</w:t>
            </w:r>
          </w:p>
        </w:tc>
        <w:tc>
          <w:tcPr>
            <w:tcW w:w="1984" w:type="dxa"/>
            <w:tcBorders>
              <w:top w:val="single" w:sz="4" w:space="0" w:color="auto"/>
              <w:left w:val="single" w:sz="4" w:space="0" w:color="auto"/>
              <w:bottom w:val="single" w:sz="4" w:space="0" w:color="auto"/>
              <w:right w:val="single" w:sz="4" w:space="0" w:color="auto"/>
            </w:tcBorders>
            <w:vAlign w:val="center"/>
          </w:tcPr>
          <w:p w14:paraId="2DE585DE"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DNP (pêche)</w:t>
            </w:r>
          </w:p>
        </w:tc>
        <w:tc>
          <w:tcPr>
            <w:tcW w:w="7088" w:type="dxa"/>
            <w:tcBorders>
              <w:top w:val="single" w:sz="4" w:space="0" w:color="auto"/>
              <w:left w:val="single" w:sz="4" w:space="0" w:color="auto"/>
              <w:bottom w:val="single" w:sz="4" w:space="0" w:color="auto"/>
              <w:right w:val="single" w:sz="4" w:space="0" w:color="auto"/>
            </w:tcBorders>
            <w:vAlign w:val="center"/>
          </w:tcPr>
          <w:p w14:paraId="594D55C9" w14:textId="77777777" w:rsidR="00017D06" w:rsidRPr="00BA1CEF" w:rsidRDefault="00017D06" w:rsidP="0035619B">
            <w:pPr>
              <w:autoSpaceDE w:val="0"/>
              <w:autoSpaceDN w:val="0"/>
              <w:adjustRightInd w:val="0"/>
              <w:spacing w:after="0" w:line="240" w:lineRule="auto"/>
              <w:jc w:val="left"/>
              <w:rPr>
                <w:rFonts w:cs="SegoeUI-Bold"/>
                <w:bCs/>
                <w:sz w:val="17"/>
                <w:szCs w:val="17"/>
                <w:lang w:val="fr-FR"/>
              </w:rPr>
            </w:pPr>
            <w:r w:rsidRPr="00BA1CEF">
              <w:rPr>
                <w:rFonts w:cs="SegoeUI-Bold"/>
                <w:bCs/>
                <w:sz w:val="17"/>
                <w:szCs w:val="17"/>
                <w:lang w:val="fr-FR"/>
              </w:rPr>
              <w:t>Rapport annuel 2017</w:t>
            </w:r>
          </w:p>
        </w:tc>
      </w:tr>
      <w:tr w:rsidR="00017D06" w:rsidRPr="00BA1CEF" w14:paraId="6AE132B0" w14:textId="77777777" w:rsidTr="0035619B">
        <w:trPr>
          <w:cantSplit/>
        </w:trPr>
        <w:tc>
          <w:tcPr>
            <w:tcW w:w="710" w:type="dxa"/>
            <w:vAlign w:val="center"/>
          </w:tcPr>
          <w:p w14:paraId="7DDB7E84"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2018</w:t>
            </w:r>
          </w:p>
        </w:tc>
        <w:tc>
          <w:tcPr>
            <w:tcW w:w="1984" w:type="dxa"/>
            <w:vAlign w:val="center"/>
          </w:tcPr>
          <w:p w14:paraId="68919B7E"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DNPIA</w:t>
            </w:r>
          </w:p>
        </w:tc>
        <w:tc>
          <w:tcPr>
            <w:tcW w:w="7088" w:type="dxa"/>
            <w:vAlign w:val="center"/>
          </w:tcPr>
          <w:p w14:paraId="35070F42" w14:textId="77777777" w:rsidR="00017D06" w:rsidRPr="00BA1CEF" w:rsidRDefault="00017D06" w:rsidP="0035619B">
            <w:pPr>
              <w:autoSpaceDE w:val="0"/>
              <w:autoSpaceDN w:val="0"/>
              <w:adjustRightInd w:val="0"/>
              <w:spacing w:after="0" w:line="240" w:lineRule="auto"/>
              <w:jc w:val="left"/>
              <w:rPr>
                <w:rFonts w:cs="SegoeUI-Bold"/>
                <w:bCs/>
                <w:sz w:val="17"/>
                <w:szCs w:val="17"/>
                <w:lang w:val="fr-FR"/>
              </w:rPr>
            </w:pPr>
            <w:r w:rsidRPr="00BA1CEF">
              <w:rPr>
                <w:rFonts w:cs="SegoeUI-Bold"/>
                <w:bCs/>
                <w:sz w:val="17"/>
                <w:szCs w:val="17"/>
                <w:lang w:val="fr-FR"/>
              </w:rPr>
              <w:t>Rapport annuel 2017</w:t>
            </w:r>
          </w:p>
        </w:tc>
      </w:tr>
      <w:tr w:rsidR="00017D06" w:rsidRPr="00BA1CEF" w14:paraId="2B6CB272" w14:textId="77777777" w:rsidTr="0035619B">
        <w:trPr>
          <w:cantSplit/>
        </w:trPr>
        <w:tc>
          <w:tcPr>
            <w:tcW w:w="710" w:type="dxa"/>
            <w:vAlign w:val="center"/>
          </w:tcPr>
          <w:p w14:paraId="5C62705D"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2018</w:t>
            </w:r>
          </w:p>
        </w:tc>
        <w:tc>
          <w:tcPr>
            <w:tcW w:w="1984" w:type="dxa"/>
            <w:vAlign w:val="center"/>
          </w:tcPr>
          <w:p w14:paraId="477D8550"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DRAPC Yonfolila</w:t>
            </w:r>
          </w:p>
        </w:tc>
        <w:tc>
          <w:tcPr>
            <w:tcW w:w="7088" w:type="dxa"/>
            <w:vAlign w:val="center"/>
          </w:tcPr>
          <w:p w14:paraId="35702C9F" w14:textId="77777777" w:rsidR="00017D06" w:rsidRPr="00BA1CEF" w:rsidRDefault="00017D06" w:rsidP="0035619B">
            <w:pPr>
              <w:autoSpaceDE w:val="0"/>
              <w:autoSpaceDN w:val="0"/>
              <w:adjustRightInd w:val="0"/>
              <w:spacing w:after="0" w:line="240" w:lineRule="auto"/>
              <w:jc w:val="left"/>
              <w:rPr>
                <w:rFonts w:cs="SegoeUI-Bold"/>
                <w:bCs/>
                <w:sz w:val="17"/>
                <w:szCs w:val="17"/>
                <w:lang w:val="fr-FR"/>
              </w:rPr>
            </w:pPr>
            <w:r w:rsidRPr="00BA1CEF">
              <w:rPr>
                <w:rFonts w:cs="SegoeUI-Bold"/>
                <w:bCs/>
                <w:sz w:val="17"/>
                <w:szCs w:val="17"/>
                <w:lang w:val="fr-FR"/>
              </w:rPr>
              <w:t>Rapport de mission de contrôle des pollutions à la Société des Mines de Komana (SMK)</w:t>
            </w:r>
          </w:p>
        </w:tc>
      </w:tr>
      <w:tr w:rsidR="00017D06" w:rsidRPr="00BA1CEF" w14:paraId="4AAB00F7" w14:textId="77777777" w:rsidTr="0035619B">
        <w:trPr>
          <w:cantSplit/>
        </w:trPr>
        <w:tc>
          <w:tcPr>
            <w:tcW w:w="710" w:type="dxa"/>
            <w:vAlign w:val="center"/>
          </w:tcPr>
          <w:p w14:paraId="04067B5C"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 xml:space="preserve">2018 </w:t>
            </w:r>
          </w:p>
        </w:tc>
        <w:tc>
          <w:tcPr>
            <w:tcW w:w="1984" w:type="dxa"/>
            <w:vAlign w:val="center"/>
          </w:tcPr>
          <w:p w14:paraId="07B737E4"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INSTAT/EMOP</w:t>
            </w:r>
          </w:p>
        </w:tc>
        <w:tc>
          <w:tcPr>
            <w:tcW w:w="7088" w:type="dxa"/>
            <w:vAlign w:val="center"/>
          </w:tcPr>
          <w:p w14:paraId="1AE7D389" w14:textId="77777777" w:rsidR="00017D06" w:rsidRPr="00BA1CEF" w:rsidRDefault="00017D06" w:rsidP="0035619B">
            <w:pPr>
              <w:autoSpaceDE w:val="0"/>
              <w:autoSpaceDN w:val="0"/>
              <w:adjustRightInd w:val="0"/>
              <w:spacing w:after="0" w:line="240" w:lineRule="auto"/>
              <w:jc w:val="left"/>
              <w:rPr>
                <w:rFonts w:cs="SegoeUI-Bold"/>
                <w:bCs/>
                <w:sz w:val="17"/>
                <w:szCs w:val="17"/>
                <w:lang w:val="fr-FR"/>
              </w:rPr>
            </w:pPr>
            <w:r w:rsidRPr="00BA1CEF">
              <w:rPr>
                <w:rFonts w:cs="SegoeUI-Bold"/>
                <w:bCs/>
                <w:sz w:val="17"/>
                <w:szCs w:val="17"/>
                <w:lang w:val="fr-FR"/>
              </w:rPr>
              <w:t>Consommation, pauvreté, bien-être des ménages (avril 2017 – mars 2018)</w:t>
            </w:r>
          </w:p>
        </w:tc>
      </w:tr>
      <w:tr w:rsidR="00017D06" w:rsidRPr="00BA1CEF" w14:paraId="43D74A6B" w14:textId="77777777" w:rsidTr="0035619B">
        <w:trPr>
          <w:cantSplit/>
        </w:trPr>
        <w:tc>
          <w:tcPr>
            <w:tcW w:w="710" w:type="dxa"/>
            <w:vAlign w:val="center"/>
          </w:tcPr>
          <w:p w14:paraId="1D50E78A"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2018</w:t>
            </w:r>
          </w:p>
        </w:tc>
        <w:tc>
          <w:tcPr>
            <w:tcW w:w="1984" w:type="dxa"/>
            <w:vAlign w:val="center"/>
          </w:tcPr>
          <w:p w14:paraId="43CF4A83"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FMI</w:t>
            </w:r>
          </w:p>
        </w:tc>
        <w:tc>
          <w:tcPr>
            <w:tcW w:w="7088" w:type="dxa"/>
            <w:vAlign w:val="center"/>
          </w:tcPr>
          <w:p w14:paraId="026A51F8" w14:textId="77777777" w:rsidR="00017D06" w:rsidRPr="00BA1CEF" w:rsidRDefault="00017D06" w:rsidP="0035619B">
            <w:pPr>
              <w:autoSpaceDE w:val="0"/>
              <w:autoSpaceDN w:val="0"/>
              <w:adjustRightInd w:val="0"/>
              <w:spacing w:after="0" w:line="240" w:lineRule="auto"/>
              <w:jc w:val="left"/>
              <w:rPr>
                <w:rFonts w:cs="SegoeUI-Bold"/>
                <w:bCs/>
                <w:sz w:val="17"/>
                <w:szCs w:val="17"/>
                <w:lang w:val="fr-FR"/>
              </w:rPr>
            </w:pPr>
            <w:r w:rsidRPr="00BA1CEF">
              <w:rPr>
                <w:rFonts w:cs="SegoeUI-Bold"/>
                <w:bCs/>
                <w:sz w:val="17"/>
                <w:szCs w:val="17"/>
                <w:lang w:val="fr-FR"/>
              </w:rPr>
              <w:t>Consultations de 2018 au titre de l’article IV et huitième et neuvième revue de l’accord au titre de la facilité élargie de crédit – Communiqué de presse N°18/191 ; Rapport des services du FMI et déclaration de l’administrateur pour le Mali.</w:t>
            </w:r>
          </w:p>
        </w:tc>
      </w:tr>
      <w:tr w:rsidR="00017D06" w:rsidRPr="00BA1CEF" w14:paraId="1E883B97" w14:textId="77777777" w:rsidTr="0035619B">
        <w:trPr>
          <w:cantSplit/>
        </w:trPr>
        <w:tc>
          <w:tcPr>
            <w:tcW w:w="710" w:type="dxa"/>
            <w:vAlign w:val="center"/>
          </w:tcPr>
          <w:p w14:paraId="354ED4F9"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2018</w:t>
            </w:r>
          </w:p>
        </w:tc>
        <w:tc>
          <w:tcPr>
            <w:tcW w:w="1984" w:type="dxa"/>
            <w:vAlign w:val="center"/>
          </w:tcPr>
          <w:p w14:paraId="2C4D26BB"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GIZ</w:t>
            </w:r>
          </w:p>
        </w:tc>
        <w:tc>
          <w:tcPr>
            <w:tcW w:w="7088" w:type="dxa"/>
            <w:vAlign w:val="center"/>
          </w:tcPr>
          <w:p w14:paraId="26D39858" w14:textId="77777777" w:rsidR="00017D06" w:rsidRPr="00BA1CEF" w:rsidRDefault="00017D06" w:rsidP="0035619B">
            <w:pPr>
              <w:autoSpaceDE w:val="0"/>
              <w:autoSpaceDN w:val="0"/>
              <w:adjustRightInd w:val="0"/>
              <w:spacing w:after="0" w:line="240" w:lineRule="auto"/>
              <w:jc w:val="left"/>
              <w:rPr>
                <w:rFonts w:cs="SegoeUI-Bold"/>
                <w:bCs/>
                <w:sz w:val="17"/>
                <w:szCs w:val="17"/>
                <w:lang w:val="fr-FR"/>
              </w:rPr>
            </w:pPr>
            <w:r w:rsidRPr="00BA1CEF">
              <w:rPr>
                <w:rFonts w:cs="SegoeUI-Bold"/>
                <w:bCs/>
                <w:sz w:val="17"/>
                <w:szCs w:val="17"/>
                <w:lang w:val="fr-FR"/>
              </w:rPr>
              <w:t>PASSIP Etude 5 : Analyse de l’évolution des problèmes écologiques causés par l’irrigation de proximité, de l’efficacité des mesures de correction et d’identification des solutions adéquates</w:t>
            </w:r>
          </w:p>
        </w:tc>
      </w:tr>
      <w:tr w:rsidR="00017D06" w:rsidRPr="00BA1CEF" w14:paraId="434C3DCF" w14:textId="77777777" w:rsidTr="0035619B">
        <w:trPr>
          <w:cantSplit/>
        </w:trPr>
        <w:tc>
          <w:tcPr>
            <w:tcW w:w="710" w:type="dxa"/>
            <w:vAlign w:val="center"/>
          </w:tcPr>
          <w:p w14:paraId="6B62DE9A"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2018</w:t>
            </w:r>
          </w:p>
        </w:tc>
        <w:tc>
          <w:tcPr>
            <w:tcW w:w="1984" w:type="dxa"/>
            <w:vAlign w:val="center"/>
          </w:tcPr>
          <w:p w14:paraId="4B02B67A"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GIZ/AEDD/NDC partnership</w:t>
            </w:r>
          </w:p>
        </w:tc>
        <w:tc>
          <w:tcPr>
            <w:tcW w:w="7088" w:type="dxa"/>
            <w:vAlign w:val="center"/>
          </w:tcPr>
          <w:p w14:paraId="421F3BF7" w14:textId="77777777" w:rsidR="00017D06" w:rsidRPr="00BA1CEF" w:rsidRDefault="00017D06" w:rsidP="0035619B">
            <w:pPr>
              <w:autoSpaceDE w:val="0"/>
              <w:autoSpaceDN w:val="0"/>
              <w:adjustRightInd w:val="0"/>
              <w:spacing w:after="0" w:line="240" w:lineRule="auto"/>
              <w:jc w:val="left"/>
              <w:rPr>
                <w:rFonts w:cs="SegoeUI-Bold"/>
                <w:bCs/>
                <w:sz w:val="17"/>
                <w:szCs w:val="17"/>
                <w:lang w:val="fr-FR"/>
              </w:rPr>
            </w:pPr>
            <w:r w:rsidRPr="00BA1CEF">
              <w:rPr>
                <w:rFonts w:cs="SegoeUI-Bold"/>
                <w:bCs/>
                <w:sz w:val="17"/>
                <w:szCs w:val="17"/>
                <w:lang w:val="fr-FR"/>
              </w:rPr>
              <w:t>Feuille de route de mise en œuvre  de la Contribution Déterminée au niveau National (CDN) du Mali 2017-2020</w:t>
            </w:r>
          </w:p>
        </w:tc>
      </w:tr>
      <w:tr w:rsidR="00017D06" w:rsidRPr="00BA1CEF" w14:paraId="35E7D434" w14:textId="77777777" w:rsidTr="0035619B">
        <w:trPr>
          <w:cantSplit/>
        </w:trPr>
        <w:tc>
          <w:tcPr>
            <w:tcW w:w="710" w:type="dxa"/>
            <w:vAlign w:val="center"/>
          </w:tcPr>
          <w:p w14:paraId="5EEC0830"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2018</w:t>
            </w:r>
          </w:p>
        </w:tc>
        <w:tc>
          <w:tcPr>
            <w:tcW w:w="1984" w:type="dxa"/>
            <w:vAlign w:val="center"/>
          </w:tcPr>
          <w:p w14:paraId="2002F90C"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GIZ/AEDD</w:t>
            </w:r>
          </w:p>
        </w:tc>
        <w:tc>
          <w:tcPr>
            <w:tcW w:w="7088" w:type="dxa"/>
            <w:vAlign w:val="center"/>
          </w:tcPr>
          <w:p w14:paraId="2D191282" w14:textId="77777777" w:rsidR="00017D06" w:rsidRPr="00BA1CEF" w:rsidRDefault="00017D06" w:rsidP="0035619B">
            <w:pPr>
              <w:autoSpaceDE w:val="0"/>
              <w:autoSpaceDN w:val="0"/>
              <w:adjustRightInd w:val="0"/>
              <w:spacing w:after="0" w:line="240" w:lineRule="auto"/>
              <w:jc w:val="left"/>
              <w:rPr>
                <w:rFonts w:cs="SegoeUI-Bold"/>
                <w:bCs/>
                <w:sz w:val="17"/>
                <w:szCs w:val="17"/>
                <w:lang w:val="fr-FR"/>
              </w:rPr>
            </w:pPr>
            <w:r w:rsidRPr="00BA1CEF">
              <w:rPr>
                <w:rFonts w:cs="SegoeUI-Bold"/>
                <w:bCs/>
                <w:sz w:val="17"/>
                <w:szCs w:val="17"/>
                <w:lang w:val="fr-FR"/>
              </w:rPr>
              <w:t>Plan d’investissement pour la mise en œuvre de la  Contribution  Déterminée  au niveau National (CDN) du Mali</w:t>
            </w:r>
            <w:r w:rsidR="00865CCB">
              <w:rPr>
                <w:rFonts w:cs="SegoeUI-Bold"/>
                <w:bCs/>
                <w:sz w:val="17"/>
                <w:szCs w:val="17"/>
                <w:lang w:val="fr-FR"/>
              </w:rPr>
              <w:t xml:space="preserve">, </w:t>
            </w:r>
            <w:r w:rsidRPr="00BA1CEF">
              <w:rPr>
                <w:rFonts w:cs="SegoeUI-Bold"/>
                <w:bCs/>
                <w:sz w:val="17"/>
                <w:szCs w:val="17"/>
                <w:lang w:val="fr-FR"/>
              </w:rPr>
              <w:t>document principal</w:t>
            </w:r>
          </w:p>
        </w:tc>
      </w:tr>
      <w:tr w:rsidR="00017D06" w:rsidRPr="00BA1CEF" w14:paraId="2EE74613" w14:textId="77777777" w:rsidTr="0035619B">
        <w:trPr>
          <w:cantSplit/>
        </w:trPr>
        <w:tc>
          <w:tcPr>
            <w:tcW w:w="710" w:type="dxa"/>
            <w:vAlign w:val="center"/>
          </w:tcPr>
          <w:p w14:paraId="19C4939A"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2018</w:t>
            </w:r>
          </w:p>
        </w:tc>
        <w:tc>
          <w:tcPr>
            <w:tcW w:w="1984" w:type="dxa"/>
            <w:vAlign w:val="center"/>
          </w:tcPr>
          <w:p w14:paraId="255F4414"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GIZ/AEDD</w:t>
            </w:r>
          </w:p>
        </w:tc>
        <w:tc>
          <w:tcPr>
            <w:tcW w:w="7088" w:type="dxa"/>
            <w:vAlign w:val="center"/>
          </w:tcPr>
          <w:p w14:paraId="52C37188" w14:textId="77777777" w:rsidR="00017D06" w:rsidRPr="00BA1CEF" w:rsidRDefault="00017D06" w:rsidP="0035619B">
            <w:pPr>
              <w:autoSpaceDE w:val="0"/>
              <w:autoSpaceDN w:val="0"/>
              <w:adjustRightInd w:val="0"/>
              <w:spacing w:after="0" w:line="240" w:lineRule="auto"/>
              <w:jc w:val="left"/>
              <w:rPr>
                <w:rFonts w:cs="SegoeUI-Bold"/>
                <w:bCs/>
                <w:sz w:val="17"/>
                <w:szCs w:val="17"/>
                <w:lang w:val="fr-FR"/>
              </w:rPr>
            </w:pPr>
            <w:r w:rsidRPr="00BA1CEF">
              <w:rPr>
                <w:rFonts w:cs="SegoeUI-Bold"/>
                <w:bCs/>
                <w:sz w:val="17"/>
                <w:szCs w:val="17"/>
                <w:lang w:val="fr-FR"/>
              </w:rPr>
              <w:t>Proposition d’une stratégie d’engagement du secteur privé dans le cadre de la mise en œuvre de la Contribution Déterminée au niveau National (CDN)</w:t>
            </w:r>
          </w:p>
        </w:tc>
      </w:tr>
      <w:tr w:rsidR="00017D06" w:rsidRPr="00BA1CEF" w14:paraId="485F3D6E" w14:textId="77777777" w:rsidTr="0035619B">
        <w:trPr>
          <w:cantSplit/>
        </w:trPr>
        <w:tc>
          <w:tcPr>
            <w:tcW w:w="710" w:type="dxa"/>
            <w:vAlign w:val="center"/>
          </w:tcPr>
          <w:p w14:paraId="79780E4E"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2018</w:t>
            </w:r>
          </w:p>
        </w:tc>
        <w:tc>
          <w:tcPr>
            <w:tcW w:w="1984" w:type="dxa"/>
            <w:vAlign w:val="center"/>
          </w:tcPr>
          <w:p w14:paraId="0DC9CA83"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MEF/</w:t>
            </w:r>
            <w:r w:rsidRPr="00BA1CEF">
              <w:rPr>
                <w:sz w:val="17"/>
                <w:szCs w:val="17"/>
              </w:rPr>
              <w:t xml:space="preserve"> </w:t>
            </w:r>
            <w:r w:rsidRPr="00BA1CEF">
              <w:rPr>
                <w:rFonts w:eastAsia="SimSun" w:cs="Arial"/>
                <w:sz w:val="17"/>
                <w:szCs w:val="17"/>
                <w:lang w:val="fr-FR" w:eastAsia="zh-CN"/>
              </w:rPr>
              <w:t>Cellule Technique CSLP</w:t>
            </w:r>
          </w:p>
        </w:tc>
        <w:tc>
          <w:tcPr>
            <w:tcW w:w="7088" w:type="dxa"/>
            <w:vAlign w:val="center"/>
          </w:tcPr>
          <w:p w14:paraId="116AC6F4"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Rapport 2017 de mise en œuvre du cadre stratégique pour la relance économique et le développement durable. CREDD 2016 – 2018)</w:t>
            </w:r>
          </w:p>
        </w:tc>
      </w:tr>
      <w:tr w:rsidR="00017D06" w:rsidRPr="00BA1CEF" w14:paraId="0ED553FD" w14:textId="77777777" w:rsidTr="0035619B">
        <w:trPr>
          <w:cantSplit/>
        </w:trPr>
        <w:tc>
          <w:tcPr>
            <w:tcW w:w="710" w:type="dxa"/>
            <w:vAlign w:val="center"/>
          </w:tcPr>
          <w:p w14:paraId="08C4870C"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2018</w:t>
            </w:r>
          </w:p>
        </w:tc>
        <w:tc>
          <w:tcPr>
            <w:tcW w:w="1984" w:type="dxa"/>
            <w:vAlign w:val="center"/>
          </w:tcPr>
          <w:p w14:paraId="767D81EA"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OCHA</w:t>
            </w:r>
          </w:p>
        </w:tc>
        <w:tc>
          <w:tcPr>
            <w:tcW w:w="7088" w:type="dxa"/>
            <w:vAlign w:val="center"/>
          </w:tcPr>
          <w:p w14:paraId="47EDF4CE"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Plan de réponse humanitaire. Janvier – décembre 2018. Synthèse.</w:t>
            </w:r>
          </w:p>
        </w:tc>
      </w:tr>
      <w:tr w:rsidR="00017D06" w:rsidRPr="00BA1CEF" w14:paraId="380CFC22" w14:textId="77777777" w:rsidTr="0035619B">
        <w:trPr>
          <w:cantSplit/>
        </w:trPr>
        <w:tc>
          <w:tcPr>
            <w:tcW w:w="710" w:type="dxa"/>
            <w:vAlign w:val="center"/>
          </w:tcPr>
          <w:p w14:paraId="2903B986"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2018</w:t>
            </w:r>
          </w:p>
        </w:tc>
        <w:tc>
          <w:tcPr>
            <w:tcW w:w="1984" w:type="dxa"/>
            <w:vAlign w:val="center"/>
          </w:tcPr>
          <w:p w14:paraId="0EF10E64"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République Mali</w:t>
            </w:r>
          </w:p>
        </w:tc>
        <w:tc>
          <w:tcPr>
            <w:tcW w:w="7088" w:type="dxa"/>
            <w:vAlign w:val="center"/>
          </w:tcPr>
          <w:p w14:paraId="50C1DB75"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Rapport national volontaire sur la mise en œuvre des objectifs du développement durable. Forum politique de haut niveau sur le développement durable.</w:t>
            </w:r>
          </w:p>
        </w:tc>
      </w:tr>
      <w:tr w:rsidR="00017D06" w:rsidRPr="00BA1CEF" w14:paraId="6978E4AD" w14:textId="77777777" w:rsidTr="0035619B">
        <w:trPr>
          <w:cantSplit/>
        </w:trPr>
        <w:tc>
          <w:tcPr>
            <w:tcW w:w="710" w:type="dxa"/>
            <w:vAlign w:val="center"/>
          </w:tcPr>
          <w:p w14:paraId="65317C04"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2018</w:t>
            </w:r>
          </w:p>
        </w:tc>
        <w:tc>
          <w:tcPr>
            <w:tcW w:w="1984" w:type="dxa"/>
            <w:vAlign w:val="center"/>
          </w:tcPr>
          <w:p w14:paraId="366F9339"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TRACTEBEL</w:t>
            </w:r>
          </w:p>
        </w:tc>
        <w:tc>
          <w:tcPr>
            <w:tcW w:w="7088" w:type="dxa"/>
            <w:vAlign w:val="center"/>
          </w:tcPr>
          <w:p w14:paraId="716FCF84"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Assistance technique pour la révision du document politique et des textes législatifs et réglementaires du secteur de l’énergie. Politique Energétique Nationale du Mali, versions provisoires, Avril 2018</w:t>
            </w:r>
          </w:p>
        </w:tc>
      </w:tr>
      <w:tr w:rsidR="00017D06" w:rsidRPr="00BA1CEF" w14:paraId="60F65FDB" w14:textId="77777777" w:rsidTr="0035619B">
        <w:trPr>
          <w:cantSplit/>
        </w:trPr>
        <w:tc>
          <w:tcPr>
            <w:tcW w:w="710" w:type="dxa"/>
            <w:tcBorders>
              <w:top w:val="single" w:sz="4" w:space="0" w:color="auto"/>
              <w:left w:val="single" w:sz="4" w:space="0" w:color="auto"/>
              <w:bottom w:val="single" w:sz="4" w:space="0" w:color="auto"/>
              <w:right w:val="single" w:sz="4" w:space="0" w:color="auto"/>
            </w:tcBorders>
            <w:vAlign w:val="center"/>
          </w:tcPr>
          <w:p w14:paraId="5DE9A613"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2018</w:t>
            </w:r>
          </w:p>
        </w:tc>
        <w:tc>
          <w:tcPr>
            <w:tcW w:w="1984" w:type="dxa"/>
            <w:tcBorders>
              <w:top w:val="single" w:sz="4" w:space="0" w:color="auto"/>
              <w:left w:val="single" w:sz="4" w:space="0" w:color="auto"/>
              <w:bottom w:val="single" w:sz="4" w:space="0" w:color="auto"/>
              <w:right w:val="single" w:sz="4" w:space="0" w:color="auto"/>
            </w:tcBorders>
            <w:vAlign w:val="center"/>
          </w:tcPr>
          <w:p w14:paraId="67950FF3"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UNESCO</w:t>
            </w:r>
          </w:p>
        </w:tc>
        <w:tc>
          <w:tcPr>
            <w:tcW w:w="7088" w:type="dxa"/>
            <w:tcBorders>
              <w:top w:val="single" w:sz="4" w:space="0" w:color="auto"/>
              <w:left w:val="single" w:sz="4" w:space="0" w:color="auto"/>
              <w:bottom w:val="single" w:sz="4" w:space="0" w:color="auto"/>
              <w:right w:val="single" w:sz="4" w:space="0" w:color="auto"/>
            </w:tcBorders>
            <w:vAlign w:val="center"/>
          </w:tcPr>
          <w:p w14:paraId="5C91D071" w14:textId="77777777" w:rsidR="00017D06" w:rsidRPr="00BA1CEF" w:rsidRDefault="00736FE4" w:rsidP="0035619B">
            <w:pPr>
              <w:spacing w:after="0" w:line="240" w:lineRule="auto"/>
              <w:rPr>
                <w:rFonts w:eastAsia="SimSun" w:cs="Arial"/>
                <w:sz w:val="17"/>
                <w:szCs w:val="17"/>
                <w:lang w:val="fr-FR" w:eastAsia="zh-CN"/>
              </w:rPr>
            </w:pPr>
            <w:hyperlink r:id="rId99" w:history="1">
              <w:r w:rsidR="00017D06" w:rsidRPr="00BA1CEF">
                <w:rPr>
                  <w:rStyle w:val="Lienhypertexte"/>
                  <w:rFonts w:eastAsia="SimSun" w:cs="Arial"/>
                  <w:color w:val="auto"/>
                  <w:sz w:val="17"/>
                  <w:szCs w:val="17"/>
                  <w:lang w:val="fr-FR" w:eastAsia="zh-CN"/>
                </w:rPr>
                <w:t>https ://ich.unesco.org/fr/etat/mali-ML?info=elements-sur-les-listes</w:t>
              </w:r>
            </w:hyperlink>
            <w:r w:rsidR="00017D06" w:rsidRPr="00BA1CEF">
              <w:rPr>
                <w:rFonts w:eastAsia="SimSun" w:cs="Arial"/>
                <w:sz w:val="17"/>
                <w:szCs w:val="17"/>
                <w:lang w:val="fr-FR" w:eastAsia="zh-CN"/>
              </w:rPr>
              <w:t xml:space="preserve"> </w:t>
            </w:r>
          </w:p>
        </w:tc>
      </w:tr>
      <w:tr w:rsidR="00017D06" w:rsidRPr="00BA1CEF" w14:paraId="3E24DA28" w14:textId="77777777" w:rsidTr="0035619B">
        <w:trPr>
          <w:cantSplit/>
        </w:trPr>
        <w:tc>
          <w:tcPr>
            <w:tcW w:w="710" w:type="dxa"/>
            <w:tcBorders>
              <w:top w:val="single" w:sz="4" w:space="0" w:color="auto"/>
              <w:left w:val="single" w:sz="4" w:space="0" w:color="auto"/>
              <w:bottom w:val="single" w:sz="4" w:space="0" w:color="auto"/>
              <w:right w:val="single" w:sz="4" w:space="0" w:color="auto"/>
            </w:tcBorders>
            <w:vAlign w:val="center"/>
          </w:tcPr>
          <w:p w14:paraId="66C84878"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2018</w:t>
            </w:r>
          </w:p>
        </w:tc>
        <w:tc>
          <w:tcPr>
            <w:tcW w:w="1984" w:type="dxa"/>
            <w:tcBorders>
              <w:top w:val="single" w:sz="4" w:space="0" w:color="auto"/>
              <w:left w:val="single" w:sz="4" w:space="0" w:color="auto"/>
              <w:bottom w:val="single" w:sz="4" w:space="0" w:color="auto"/>
              <w:right w:val="single" w:sz="4" w:space="0" w:color="auto"/>
            </w:tcBorders>
            <w:vAlign w:val="center"/>
          </w:tcPr>
          <w:p w14:paraId="2C9123B9"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UE/SNV</w:t>
            </w:r>
          </w:p>
        </w:tc>
        <w:tc>
          <w:tcPr>
            <w:tcW w:w="7088" w:type="dxa"/>
            <w:tcBorders>
              <w:top w:val="single" w:sz="4" w:space="0" w:color="auto"/>
              <w:left w:val="single" w:sz="4" w:space="0" w:color="auto"/>
              <w:bottom w:val="single" w:sz="4" w:space="0" w:color="auto"/>
              <w:right w:val="single" w:sz="4" w:space="0" w:color="auto"/>
            </w:tcBorders>
            <w:vAlign w:val="center"/>
          </w:tcPr>
          <w:p w14:paraId="57143AE9" w14:textId="77777777" w:rsidR="00017D06" w:rsidRPr="00BA1CEF" w:rsidRDefault="00017D06" w:rsidP="0035619B">
            <w:pPr>
              <w:spacing w:after="0" w:line="240" w:lineRule="auto"/>
              <w:rPr>
                <w:sz w:val="17"/>
                <w:szCs w:val="17"/>
              </w:rPr>
            </w:pPr>
            <w:r w:rsidRPr="00BA1CEF">
              <w:rPr>
                <w:sz w:val="17"/>
                <w:szCs w:val="17"/>
              </w:rPr>
              <w:t>Rapport recherche sur le secteur privé (PME et autres entreprises) travaillant dans les chaines de gestion de déchets urbain y inclus la chaine alimentaire urbaine</w:t>
            </w:r>
          </w:p>
        </w:tc>
      </w:tr>
      <w:tr w:rsidR="00017D06" w:rsidRPr="00BA1CEF" w14:paraId="20FC8704" w14:textId="77777777" w:rsidTr="0035619B">
        <w:trPr>
          <w:cantSplit/>
        </w:trPr>
        <w:tc>
          <w:tcPr>
            <w:tcW w:w="710" w:type="dxa"/>
            <w:tcBorders>
              <w:top w:val="single" w:sz="4" w:space="0" w:color="auto"/>
              <w:left w:val="single" w:sz="4" w:space="0" w:color="auto"/>
              <w:bottom w:val="single" w:sz="4" w:space="0" w:color="auto"/>
              <w:right w:val="single" w:sz="4" w:space="0" w:color="auto"/>
            </w:tcBorders>
            <w:vAlign w:val="center"/>
          </w:tcPr>
          <w:p w14:paraId="26D1FE62"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2018</w:t>
            </w:r>
          </w:p>
        </w:tc>
        <w:tc>
          <w:tcPr>
            <w:tcW w:w="1984" w:type="dxa"/>
            <w:tcBorders>
              <w:top w:val="single" w:sz="4" w:space="0" w:color="auto"/>
              <w:left w:val="single" w:sz="4" w:space="0" w:color="auto"/>
              <w:bottom w:val="single" w:sz="4" w:space="0" w:color="auto"/>
              <w:right w:val="single" w:sz="4" w:space="0" w:color="auto"/>
            </w:tcBorders>
            <w:vAlign w:val="center"/>
          </w:tcPr>
          <w:p w14:paraId="6118C4E0"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UE/SNV</w:t>
            </w:r>
          </w:p>
        </w:tc>
        <w:tc>
          <w:tcPr>
            <w:tcW w:w="7088" w:type="dxa"/>
            <w:tcBorders>
              <w:top w:val="single" w:sz="4" w:space="0" w:color="auto"/>
              <w:left w:val="single" w:sz="4" w:space="0" w:color="auto"/>
              <w:bottom w:val="single" w:sz="4" w:space="0" w:color="auto"/>
              <w:right w:val="single" w:sz="4" w:space="0" w:color="auto"/>
            </w:tcBorders>
            <w:vAlign w:val="center"/>
          </w:tcPr>
          <w:p w14:paraId="0E45A5F6" w14:textId="77777777" w:rsidR="00017D06" w:rsidRPr="00BA1CEF" w:rsidRDefault="00017D06" w:rsidP="0035619B">
            <w:pPr>
              <w:spacing w:after="0" w:line="240" w:lineRule="auto"/>
              <w:rPr>
                <w:sz w:val="17"/>
                <w:szCs w:val="17"/>
              </w:rPr>
            </w:pPr>
            <w:r w:rsidRPr="00BA1CEF">
              <w:rPr>
                <w:sz w:val="17"/>
                <w:szCs w:val="17"/>
              </w:rPr>
              <w:t>RAPPORT FINAL. Etat des lieux de la gestion des déchets dans le District de Bamako</w:t>
            </w:r>
          </w:p>
        </w:tc>
      </w:tr>
      <w:tr w:rsidR="00356695" w:rsidRPr="00BA1CEF" w14:paraId="57124493" w14:textId="77777777" w:rsidTr="0035619B">
        <w:trPr>
          <w:cantSplit/>
        </w:trPr>
        <w:tc>
          <w:tcPr>
            <w:tcW w:w="710" w:type="dxa"/>
            <w:tcBorders>
              <w:top w:val="single" w:sz="4" w:space="0" w:color="auto"/>
              <w:left w:val="single" w:sz="4" w:space="0" w:color="auto"/>
              <w:bottom w:val="single" w:sz="4" w:space="0" w:color="auto"/>
              <w:right w:val="single" w:sz="4" w:space="0" w:color="auto"/>
            </w:tcBorders>
            <w:vAlign w:val="center"/>
          </w:tcPr>
          <w:p w14:paraId="12D46438" w14:textId="77777777" w:rsidR="00356695" w:rsidRPr="00BA1CEF" w:rsidRDefault="00356695"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2018</w:t>
            </w:r>
          </w:p>
        </w:tc>
        <w:tc>
          <w:tcPr>
            <w:tcW w:w="1984" w:type="dxa"/>
            <w:tcBorders>
              <w:top w:val="single" w:sz="4" w:space="0" w:color="auto"/>
              <w:left w:val="single" w:sz="4" w:space="0" w:color="auto"/>
              <w:bottom w:val="single" w:sz="4" w:space="0" w:color="auto"/>
              <w:right w:val="single" w:sz="4" w:space="0" w:color="auto"/>
            </w:tcBorders>
            <w:vAlign w:val="center"/>
          </w:tcPr>
          <w:p w14:paraId="791581EC" w14:textId="77777777" w:rsidR="00356695" w:rsidRPr="00BA1CEF" w:rsidRDefault="00356695"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WFP</w:t>
            </w:r>
          </w:p>
        </w:tc>
        <w:tc>
          <w:tcPr>
            <w:tcW w:w="7088" w:type="dxa"/>
            <w:tcBorders>
              <w:top w:val="single" w:sz="4" w:space="0" w:color="auto"/>
              <w:left w:val="single" w:sz="4" w:space="0" w:color="auto"/>
              <w:bottom w:val="single" w:sz="4" w:space="0" w:color="auto"/>
              <w:right w:val="single" w:sz="4" w:space="0" w:color="auto"/>
            </w:tcBorders>
            <w:vAlign w:val="center"/>
          </w:tcPr>
          <w:p w14:paraId="492622CF" w14:textId="77777777" w:rsidR="00356695" w:rsidRPr="00BA1CEF" w:rsidRDefault="00356695" w:rsidP="0035619B">
            <w:pPr>
              <w:spacing w:after="0" w:line="240" w:lineRule="auto"/>
              <w:rPr>
                <w:sz w:val="17"/>
                <w:szCs w:val="17"/>
              </w:rPr>
            </w:pPr>
            <w:r w:rsidRPr="00BA1CEF">
              <w:rPr>
                <w:sz w:val="17"/>
                <w:szCs w:val="17"/>
              </w:rPr>
              <w:t>Analyse intégrée du contexte (AIC), Partie II recommandations programmatiques</w:t>
            </w:r>
          </w:p>
        </w:tc>
      </w:tr>
      <w:tr w:rsidR="00017D06" w:rsidRPr="00BA1CEF" w14:paraId="1E2C548F" w14:textId="77777777" w:rsidTr="0035619B">
        <w:trPr>
          <w:cantSplit/>
        </w:trPr>
        <w:tc>
          <w:tcPr>
            <w:tcW w:w="710" w:type="dxa"/>
            <w:tcBorders>
              <w:top w:val="single" w:sz="4" w:space="0" w:color="auto"/>
              <w:left w:val="single" w:sz="4" w:space="0" w:color="auto"/>
              <w:bottom w:val="single" w:sz="4" w:space="0" w:color="auto"/>
              <w:right w:val="single" w:sz="4" w:space="0" w:color="auto"/>
            </w:tcBorders>
            <w:vAlign w:val="center"/>
          </w:tcPr>
          <w:p w14:paraId="72DDB263"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2018</w:t>
            </w:r>
          </w:p>
        </w:tc>
        <w:tc>
          <w:tcPr>
            <w:tcW w:w="1984" w:type="dxa"/>
            <w:tcBorders>
              <w:top w:val="single" w:sz="4" w:space="0" w:color="auto"/>
              <w:left w:val="single" w:sz="4" w:space="0" w:color="auto"/>
              <w:bottom w:val="single" w:sz="4" w:space="0" w:color="auto"/>
              <w:right w:val="single" w:sz="4" w:space="0" w:color="auto"/>
            </w:tcBorders>
            <w:vAlign w:val="center"/>
          </w:tcPr>
          <w:p w14:paraId="3E116AE3"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UE (Facilité d’AT)</w:t>
            </w:r>
          </w:p>
        </w:tc>
        <w:tc>
          <w:tcPr>
            <w:tcW w:w="7088" w:type="dxa"/>
            <w:tcBorders>
              <w:top w:val="single" w:sz="4" w:space="0" w:color="auto"/>
              <w:left w:val="single" w:sz="4" w:space="0" w:color="auto"/>
              <w:bottom w:val="single" w:sz="4" w:space="0" w:color="auto"/>
              <w:right w:val="single" w:sz="4" w:space="0" w:color="auto"/>
            </w:tcBorders>
            <w:vAlign w:val="center"/>
          </w:tcPr>
          <w:p w14:paraId="3D3E6819"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Mali, Diagnostic du secteur de l’énergie</w:t>
            </w:r>
          </w:p>
        </w:tc>
      </w:tr>
      <w:tr w:rsidR="00017D06" w:rsidRPr="00BA1CEF" w14:paraId="0B63937D" w14:textId="77777777" w:rsidTr="0035619B">
        <w:trPr>
          <w:cantSplit/>
        </w:trPr>
        <w:tc>
          <w:tcPr>
            <w:tcW w:w="710" w:type="dxa"/>
            <w:tcBorders>
              <w:top w:val="single" w:sz="4" w:space="0" w:color="auto"/>
              <w:left w:val="single" w:sz="4" w:space="0" w:color="auto"/>
              <w:bottom w:val="single" w:sz="4" w:space="0" w:color="auto"/>
              <w:right w:val="single" w:sz="4" w:space="0" w:color="auto"/>
            </w:tcBorders>
            <w:vAlign w:val="center"/>
          </w:tcPr>
          <w:p w14:paraId="25B4C4BF"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2017</w:t>
            </w:r>
          </w:p>
        </w:tc>
        <w:tc>
          <w:tcPr>
            <w:tcW w:w="1984" w:type="dxa"/>
            <w:tcBorders>
              <w:top w:val="single" w:sz="4" w:space="0" w:color="auto"/>
              <w:left w:val="single" w:sz="4" w:space="0" w:color="auto"/>
              <w:bottom w:val="single" w:sz="4" w:space="0" w:color="auto"/>
              <w:right w:val="single" w:sz="4" w:space="0" w:color="auto"/>
            </w:tcBorders>
            <w:vAlign w:val="center"/>
          </w:tcPr>
          <w:p w14:paraId="22ECA237"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ABFN/BM</w:t>
            </w:r>
          </w:p>
        </w:tc>
        <w:tc>
          <w:tcPr>
            <w:tcW w:w="7088" w:type="dxa"/>
            <w:tcBorders>
              <w:top w:val="single" w:sz="4" w:space="0" w:color="auto"/>
              <w:left w:val="single" w:sz="4" w:space="0" w:color="auto"/>
              <w:bottom w:val="single" w:sz="4" w:space="0" w:color="auto"/>
              <w:right w:val="single" w:sz="4" w:space="0" w:color="auto"/>
            </w:tcBorders>
            <w:vAlign w:val="center"/>
          </w:tcPr>
          <w:p w14:paraId="6B17CEC0"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Projet de Réhabilitation Économique et Environnementale du Fleuve Niger – PREEFN. Etude d’Impact Environnemental et Social (EIES) et Cadre de Gestion Environnementale et Sociale (CGES)</w:t>
            </w:r>
          </w:p>
        </w:tc>
      </w:tr>
      <w:tr w:rsidR="00017D06" w:rsidRPr="00BA1CEF" w14:paraId="727F5C9B" w14:textId="77777777" w:rsidTr="0035619B">
        <w:trPr>
          <w:cantSplit/>
        </w:trPr>
        <w:tc>
          <w:tcPr>
            <w:tcW w:w="710" w:type="dxa"/>
            <w:tcBorders>
              <w:top w:val="single" w:sz="4" w:space="0" w:color="auto"/>
              <w:left w:val="single" w:sz="4" w:space="0" w:color="auto"/>
              <w:bottom w:val="single" w:sz="4" w:space="0" w:color="auto"/>
              <w:right w:val="single" w:sz="4" w:space="0" w:color="auto"/>
            </w:tcBorders>
            <w:vAlign w:val="center"/>
          </w:tcPr>
          <w:p w14:paraId="061DE014" w14:textId="77777777" w:rsidR="00017D06" w:rsidRPr="00BA1CEF" w:rsidRDefault="00017D06" w:rsidP="0035619B">
            <w:pPr>
              <w:spacing w:after="0" w:line="240" w:lineRule="auto"/>
              <w:rPr>
                <w:rFonts w:eastAsia="SimSun" w:cs="Arial"/>
                <w:sz w:val="17"/>
                <w:szCs w:val="17"/>
                <w:lang w:eastAsia="zh-CN"/>
              </w:rPr>
            </w:pPr>
            <w:r w:rsidRPr="00BA1CEF">
              <w:rPr>
                <w:rFonts w:eastAsia="SimSun" w:cs="Arial"/>
                <w:sz w:val="17"/>
                <w:szCs w:val="17"/>
                <w:lang w:eastAsia="zh-CN"/>
              </w:rPr>
              <w:t>2017</w:t>
            </w:r>
          </w:p>
        </w:tc>
        <w:tc>
          <w:tcPr>
            <w:tcW w:w="1984" w:type="dxa"/>
            <w:tcBorders>
              <w:top w:val="single" w:sz="4" w:space="0" w:color="auto"/>
              <w:left w:val="single" w:sz="4" w:space="0" w:color="auto"/>
              <w:bottom w:val="single" w:sz="4" w:space="0" w:color="auto"/>
              <w:right w:val="single" w:sz="4" w:space="0" w:color="auto"/>
            </w:tcBorders>
            <w:vAlign w:val="center"/>
          </w:tcPr>
          <w:p w14:paraId="432A258C"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AEDD/GIZ</w:t>
            </w:r>
          </w:p>
        </w:tc>
        <w:tc>
          <w:tcPr>
            <w:tcW w:w="7088" w:type="dxa"/>
            <w:tcBorders>
              <w:top w:val="single" w:sz="4" w:space="0" w:color="auto"/>
              <w:left w:val="single" w:sz="4" w:space="0" w:color="auto"/>
              <w:bottom w:val="single" w:sz="4" w:space="0" w:color="auto"/>
              <w:right w:val="single" w:sz="4" w:space="0" w:color="auto"/>
            </w:tcBorders>
            <w:vAlign w:val="center"/>
          </w:tcPr>
          <w:p w14:paraId="42EF543C"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Rapport de cartographie des projets changements climatiques au mali (période 2014-2017)</w:t>
            </w:r>
          </w:p>
        </w:tc>
      </w:tr>
      <w:tr w:rsidR="00017D06" w:rsidRPr="00BA1CEF" w14:paraId="2A7E0D76" w14:textId="77777777" w:rsidTr="0035619B">
        <w:trPr>
          <w:cantSplit/>
        </w:trPr>
        <w:tc>
          <w:tcPr>
            <w:tcW w:w="710" w:type="dxa"/>
            <w:vAlign w:val="center"/>
          </w:tcPr>
          <w:p w14:paraId="1B10AC35"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2017</w:t>
            </w:r>
          </w:p>
        </w:tc>
        <w:tc>
          <w:tcPr>
            <w:tcW w:w="1984" w:type="dxa"/>
            <w:vAlign w:val="center"/>
          </w:tcPr>
          <w:p w14:paraId="69AB3781" w14:textId="77777777" w:rsidR="00017D06" w:rsidRPr="00BA1CEF" w:rsidRDefault="00017D06" w:rsidP="0035619B">
            <w:pPr>
              <w:spacing w:after="0" w:line="240" w:lineRule="auto"/>
              <w:jc w:val="left"/>
              <w:rPr>
                <w:rFonts w:eastAsia="SimSun" w:cs="Arial"/>
                <w:sz w:val="17"/>
                <w:szCs w:val="17"/>
                <w:lang w:val="fr-FR" w:eastAsia="zh-CN"/>
              </w:rPr>
            </w:pPr>
            <w:r w:rsidRPr="00BA1CEF">
              <w:rPr>
                <w:sz w:val="17"/>
                <w:szCs w:val="17"/>
                <w:lang w:val="fr-FR"/>
              </w:rPr>
              <w:t xml:space="preserve">BERGAMETTI et </w:t>
            </w:r>
            <w:r w:rsidRPr="00BA1CEF">
              <w:rPr>
                <w:i/>
                <w:sz w:val="17"/>
                <w:szCs w:val="17"/>
                <w:lang w:val="fr-FR"/>
              </w:rPr>
              <w:t>al.</w:t>
            </w:r>
          </w:p>
        </w:tc>
        <w:tc>
          <w:tcPr>
            <w:tcW w:w="7088" w:type="dxa"/>
            <w:vAlign w:val="center"/>
          </w:tcPr>
          <w:p w14:paraId="687D504A" w14:textId="77777777" w:rsidR="00017D06" w:rsidRPr="00BA1CEF" w:rsidRDefault="00017D06" w:rsidP="0035619B">
            <w:pPr>
              <w:spacing w:after="0" w:line="240" w:lineRule="auto"/>
              <w:rPr>
                <w:rFonts w:eastAsia="SimSun" w:cs="Arial"/>
                <w:sz w:val="17"/>
                <w:szCs w:val="17"/>
                <w:lang w:val="en-US" w:eastAsia="zh-CN"/>
              </w:rPr>
            </w:pPr>
            <w:r w:rsidRPr="00BA1CEF">
              <w:rPr>
                <w:sz w:val="17"/>
                <w:szCs w:val="17"/>
                <w:lang w:val="en-US"/>
              </w:rPr>
              <w:t>Dust uplift potential in the Central Sahel: an analysis based on 10 years of meteorological measurements at high temporal resolution, J. Geophys. Res. Atmos., 122,10.1002/2017JD027471, 2017.</w:t>
            </w:r>
          </w:p>
        </w:tc>
      </w:tr>
      <w:tr w:rsidR="00017D06" w:rsidRPr="00BA1CEF" w14:paraId="35EC5977" w14:textId="77777777" w:rsidTr="0035619B">
        <w:trPr>
          <w:cantSplit/>
        </w:trPr>
        <w:tc>
          <w:tcPr>
            <w:tcW w:w="710" w:type="dxa"/>
            <w:vAlign w:val="center"/>
          </w:tcPr>
          <w:p w14:paraId="40D734E5"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2017</w:t>
            </w:r>
          </w:p>
        </w:tc>
        <w:tc>
          <w:tcPr>
            <w:tcW w:w="1984" w:type="dxa"/>
            <w:vAlign w:val="center"/>
          </w:tcPr>
          <w:p w14:paraId="1B15048B"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CPS SEEUDE</w:t>
            </w:r>
          </w:p>
        </w:tc>
        <w:tc>
          <w:tcPr>
            <w:tcW w:w="7088" w:type="dxa"/>
            <w:vAlign w:val="center"/>
          </w:tcPr>
          <w:p w14:paraId="105C09B0"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Annuaire statistique 2016, Secteur eau, environnement, urbanisme et domaines de l’Etat</w:t>
            </w:r>
          </w:p>
        </w:tc>
      </w:tr>
      <w:tr w:rsidR="00017D06" w:rsidRPr="00BA1CEF" w14:paraId="4CE6EA67" w14:textId="77777777" w:rsidTr="0035619B">
        <w:trPr>
          <w:cantSplit/>
        </w:trPr>
        <w:tc>
          <w:tcPr>
            <w:tcW w:w="710" w:type="dxa"/>
            <w:vAlign w:val="center"/>
          </w:tcPr>
          <w:p w14:paraId="4730EA5E"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2017</w:t>
            </w:r>
          </w:p>
        </w:tc>
        <w:tc>
          <w:tcPr>
            <w:tcW w:w="1984" w:type="dxa"/>
            <w:vAlign w:val="center"/>
          </w:tcPr>
          <w:p w14:paraId="3A9C0492"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DNH/Wetlands International</w:t>
            </w:r>
          </w:p>
        </w:tc>
        <w:tc>
          <w:tcPr>
            <w:tcW w:w="7088" w:type="dxa"/>
            <w:vAlign w:val="center"/>
          </w:tcPr>
          <w:p w14:paraId="0E682883"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La situation actuelle de la qualité de l’eau de surface au Mali</w:t>
            </w:r>
          </w:p>
        </w:tc>
      </w:tr>
      <w:tr w:rsidR="00017D06" w:rsidRPr="00BA1CEF" w14:paraId="2A366042" w14:textId="77777777" w:rsidTr="0035619B">
        <w:trPr>
          <w:cantSplit/>
        </w:trPr>
        <w:tc>
          <w:tcPr>
            <w:tcW w:w="710" w:type="dxa"/>
            <w:tcBorders>
              <w:top w:val="single" w:sz="4" w:space="0" w:color="auto"/>
              <w:left w:val="single" w:sz="4" w:space="0" w:color="auto"/>
              <w:bottom w:val="single" w:sz="4" w:space="0" w:color="auto"/>
              <w:right w:val="single" w:sz="4" w:space="0" w:color="auto"/>
            </w:tcBorders>
            <w:vAlign w:val="center"/>
          </w:tcPr>
          <w:p w14:paraId="51BB4FD4"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2017</w:t>
            </w:r>
          </w:p>
        </w:tc>
        <w:tc>
          <w:tcPr>
            <w:tcW w:w="1984" w:type="dxa"/>
            <w:tcBorders>
              <w:top w:val="single" w:sz="4" w:space="0" w:color="auto"/>
              <w:left w:val="single" w:sz="4" w:space="0" w:color="auto"/>
              <w:bottom w:val="single" w:sz="4" w:space="0" w:color="auto"/>
              <w:right w:val="single" w:sz="4" w:space="0" w:color="auto"/>
            </w:tcBorders>
            <w:vAlign w:val="center"/>
          </w:tcPr>
          <w:p w14:paraId="19F24CC3"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DNPIA</w:t>
            </w:r>
          </w:p>
        </w:tc>
        <w:tc>
          <w:tcPr>
            <w:tcW w:w="7088" w:type="dxa"/>
            <w:tcBorders>
              <w:top w:val="single" w:sz="4" w:space="0" w:color="auto"/>
              <w:left w:val="single" w:sz="4" w:space="0" w:color="auto"/>
              <w:bottom w:val="single" w:sz="4" w:space="0" w:color="auto"/>
              <w:right w:val="single" w:sz="4" w:space="0" w:color="auto"/>
            </w:tcBorders>
            <w:vAlign w:val="center"/>
          </w:tcPr>
          <w:p w14:paraId="7F779905"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Rapport annuel 2016</w:t>
            </w:r>
          </w:p>
        </w:tc>
      </w:tr>
      <w:tr w:rsidR="00017D06" w:rsidRPr="00BA1CEF" w14:paraId="738F5355" w14:textId="77777777" w:rsidTr="0035619B">
        <w:trPr>
          <w:cantSplit/>
        </w:trPr>
        <w:tc>
          <w:tcPr>
            <w:tcW w:w="710" w:type="dxa"/>
            <w:tcBorders>
              <w:top w:val="single" w:sz="4" w:space="0" w:color="auto"/>
              <w:left w:val="single" w:sz="4" w:space="0" w:color="auto"/>
              <w:bottom w:val="single" w:sz="4" w:space="0" w:color="auto"/>
              <w:right w:val="single" w:sz="4" w:space="0" w:color="auto"/>
            </w:tcBorders>
            <w:vAlign w:val="center"/>
          </w:tcPr>
          <w:p w14:paraId="03179F2B"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2017</w:t>
            </w:r>
          </w:p>
        </w:tc>
        <w:tc>
          <w:tcPr>
            <w:tcW w:w="1984" w:type="dxa"/>
            <w:tcBorders>
              <w:top w:val="single" w:sz="4" w:space="0" w:color="auto"/>
              <w:left w:val="single" w:sz="4" w:space="0" w:color="auto"/>
              <w:bottom w:val="single" w:sz="4" w:space="0" w:color="auto"/>
              <w:right w:val="single" w:sz="4" w:space="0" w:color="auto"/>
            </w:tcBorders>
            <w:vAlign w:val="center"/>
          </w:tcPr>
          <w:p w14:paraId="3C41EA45"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DNPD</w:t>
            </w:r>
          </w:p>
        </w:tc>
        <w:tc>
          <w:tcPr>
            <w:tcW w:w="7088" w:type="dxa"/>
            <w:tcBorders>
              <w:top w:val="single" w:sz="4" w:space="0" w:color="auto"/>
              <w:left w:val="single" w:sz="4" w:space="0" w:color="auto"/>
              <w:bottom w:val="single" w:sz="4" w:space="0" w:color="auto"/>
              <w:right w:val="single" w:sz="4" w:space="0" w:color="auto"/>
            </w:tcBorders>
            <w:vAlign w:val="center"/>
          </w:tcPr>
          <w:p w14:paraId="47C53501"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Rapport de la 17</w:t>
            </w:r>
            <w:r w:rsidRPr="00BA1CEF">
              <w:rPr>
                <w:rFonts w:eastAsia="SimSun" w:cs="Arial"/>
                <w:sz w:val="17"/>
                <w:szCs w:val="17"/>
                <w:vertAlign w:val="superscript"/>
                <w:lang w:val="fr-FR" w:eastAsia="zh-CN"/>
              </w:rPr>
              <w:t>ème</w:t>
            </w:r>
            <w:r w:rsidRPr="00BA1CEF">
              <w:rPr>
                <w:rFonts w:eastAsia="SimSun" w:cs="Arial"/>
                <w:sz w:val="17"/>
                <w:szCs w:val="17"/>
                <w:lang w:val="fr-FR" w:eastAsia="zh-CN"/>
              </w:rPr>
              <w:t xml:space="preserve"> revue des projets/programmes de développement du Mali au 31 Décembre  2016</w:t>
            </w:r>
          </w:p>
        </w:tc>
      </w:tr>
      <w:tr w:rsidR="00017D06" w:rsidRPr="00BA1CEF" w14:paraId="00100D74" w14:textId="77777777" w:rsidTr="0035619B">
        <w:trPr>
          <w:cantSplit/>
        </w:trPr>
        <w:tc>
          <w:tcPr>
            <w:tcW w:w="710" w:type="dxa"/>
            <w:tcBorders>
              <w:top w:val="single" w:sz="4" w:space="0" w:color="auto"/>
              <w:left w:val="single" w:sz="4" w:space="0" w:color="auto"/>
              <w:bottom w:val="single" w:sz="4" w:space="0" w:color="auto"/>
              <w:right w:val="single" w:sz="4" w:space="0" w:color="auto"/>
            </w:tcBorders>
            <w:vAlign w:val="center"/>
          </w:tcPr>
          <w:p w14:paraId="5C7CDA44"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2017</w:t>
            </w:r>
          </w:p>
        </w:tc>
        <w:tc>
          <w:tcPr>
            <w:tcW w:w="1984" w:type="dxa"/>
            <w:tcBorders>
              <w:top w:val="single" w:sz="4" w:space="0" w:color="auto"/>
              <w:left w:val="single" w:sz="4" w:space="0" w:color="auto"/>
              <w:bottom w:val="single" w:sz="4" w:space="0" w:color="auto"/>
              <w:right w:val="single" w:sz="4" w:space="0" w:color="auto"/>
            </w:tcBorders>
            <w:vAlign w:val="center"/>
          </w:tcPr>
          <w:p w14:paraId="3CCE3C3E"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DRACPN Sikasso</w:t>
            </w:r>
          </w:p>
        </w:tc>
        <w:tc>
          <w:tcPr>
            <w:tcW w:w="7088" w:type="dxa"/>
            <w:tcBorders>
              <w:top w:val="single" w:sz="4" w:space="0" w:color="auto"/>
              <w:left w:val="single" w:sz="4" w:space="0" w:color="auto"/>
              <w:bottom w:val="single" w:sz="4" w:space="0" w:color="auto"/>
              <w:right w:val="single" w:sz="4" w:space="0" w:color="auto"/>
            </w:tcBorders>
            <w:vAlign w:val="center"/>
          </w:tcPr>
          <w:p w14:paraId="4EE9F2AF"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Rapport de mission de suivi environnemental des usines (I ; II) CMDT de Sikasso</w:t>
            </w:r>
          </w:p>
        </w:tc>
      </w:tr>
      <w:tr w:rsidR="00E2553C" w:rsidRPr="009B4A49" w14:paraId="7B17C1A1" w14:textId="77777777" w:rsidTr="0035619B">
        <w:trPr>
          <w:cantSplit/>
        </w:trPr>
        <w:tc>
          <w:tcPr>
            <w:tcW w:w="710" w:type="dxa"/>
            <w:vAlign w:val="center"/>
          </w:tcPr>
          <w:p w14:paraId="02E0C182" w14:textId="77777777" w:rsidR="00E2553C" w:rsidRPr="009B4A49" w:rsidRDefault="00E2553C" w:rsidP="0035619B">
            <w:pPr>
              <w:spacing w:after="0" w:line="240" w:lineRule="auto"/>
              <w:rPr>
                <w:rFonts w:eastAsia="SimSun" w:cs="Arial"/>
                <w:sz w:val="17"/>
                <w:szCs w:val="17"/>
                <w:lang w:val="fr-FR" w:eastAsia="zh-CN"/>
              </w:rPr>
            </w:pPr>
            <w:r w:rsidRPr="009B4A49">
              <w:rPr>
                <w:rFonts w:eastAsia="SimSun" w:cs="Arial"/>
                <w:sz w:val="17"/>
                <w:szCs w:val="17"/>
                <w:lang w:val="fr-FR" w:eastAsia="zh-CN"/>
              </w:rPr>
              <w:t>2017</w:t>
            </w:r>
          </w:p>
        </w:tc>
        <w:tc>
          <w:tcPr>
            <w:tcW w:w="1984" w:type="dxa"/>
            <w:vAlign w:val="center"/>
          </w:tcPr>
          <w:p w14:paraId="036C4BB5" w14:textId="77777777" w:rsidR="00E2553C" w:rsidRPr="009B4A49" w:rsidRDefault="00E2553C" w:rsidP="0035619B">
            <w:pPr>
              <w:spacing w:after="0" w:line="240" w:lineRule="auto"/>
              <w:rPr>
                <w:rFonts w:eastAsia="SimSun" w:cs="Arial"/>
                <w:sz w:val="17"/>
                <w:szCs w:val="17"/>
                <w:lang w:val="fr-FR" w:eastAsia="zh-CN"/>
              </w:rPr>
            </w:pPr>
            <w:r w:rsidRPr="009B4A49">
              <w:rPr>
                <w:rFonts w:eastAsia="SimSun" w:cs="Arial"/>
                <w:sz w:val="17"/>
                <w:szCs w:val="17"/>
                <w:lang w:val="fr-FR" w:eastAsia="zh-CN"/>
              </w:rPr>
              <w:t>ENSAN</w:t>
            </w:r>
          </w:p>
        </w:tc>
        <w:tc>
          <w:tcPr>
            <w:tcW w:w="7088" w:type="dxa"/>
            <w:vAlign w:val="center"/>
          </w:tcPr>
          <w:p w14:paraId="6CA117B7" w14:textId="77777777" w:rsidR="00E2553C" w:rsidRPr="009B4A49" w:rsidRDefault="00E2553C" w:rsidP="0035619B">
            <w:pPr>
              <w:spacing w:after="0" w:line="240" w:lineRule="auto"/>
              <w:rPr>
                <w:rFonts w:eastAsia="SimSun" w:cs="Arial"/>
                <w:sz w:val="17"/>
                <w:szCs w:val="17"/>
                <w:lang w:val="fr-FR" w:eastAsia="zh-CN"/>
              </w:rPr>
            </w:pPr>
            <w:r w:rsidRPr="009B4A49">
              <w:rPr>
                <w:rFonts w:eastAsia="SimSun" w:cs="Arial"/>
                <w:sz w:val="17"/>
                <w:szCs w:val="17"/>
                <w:lang w:val="fr-FR" w:eastAsia="zh-CN"/>
              </w:rPr>
              <w:t>Rapport de synthèse enquête nationale sur la sécurité alimentaire et nutritionnelle de février 2017</w:t>
            </w:r>
          </w:p>
        </w:tc>
      </w:tr>
      <w:tr w:rsidR="00017D06" w:rsidRPr="00BA1CEF" w14:paraId="5EF97490" w14:textId="77777777" w:rsidTr="0035619B">
        <w:trPr>
          <w:cantSplit/>
        </w:trPr>
        <w:tc>
          <w:tcPr>
            <w:tcW w:w="710" w:type="dxa"/>
            <w:vAlign w:val="center"/>
          </w:tcPr>
          <w:p w14:paraId="596C38BE"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2017</w:t>
            </w:r>
          </w:p>
        </w:tc>
        <w:tc>
          <w:tcPr>
            <w:tcW w:w="1984" w:type="dxa"/>
            <w:vAlign w:val="center"/>
          </w:tcPr>
          <w:p w14:paraId="27C9C996"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FONABES</w:t>
            </w:r>
          </w:p>
        </w:tc>
        <w:tc>
          <w:tcPr>
            <w:tcW w:w="7088" w:type="dxa"/>
            <w:vAlign w:val="center"/>
          </w:tcPr>
          <w:p w14:paraId="03473CF0"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Schéma Directeur d’Approvisionnement en Combustibles Domestiques de Bamako</w:t>
            </w:r>
          </w:p>
        </w:tc>
      </w:tr>
      <w:tr w:rsidR="00017D06" w:rsidRPr="00BA1CEF" w14:paraId="27D60397" w14:textId="77777777" w:rsidTr="0035619B">
        <w:trPr>
          <w:cantSplit/>
        </w:trPr>
        <w:tc>
          <w:tcPr>
            <w:tcW w:w="710" w:type="dxa"/>
            <w:vAlign w:val="center"/>
          </w:tcPr>
          <w:p w14:paraId="22F9AD0E"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2017</w:t>
            </w:r>
          </w:p>
        </w:tc>
        <w:tc>
          <w:tcPr>
            <w:tcW w:w="1984" w:type="dxa"/>
            <w:vAlign w:val="center"/>
          </w:tcPr>
          <w:p w14:paraId="5F70BC6A"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INSTAT</w:t>
            </w:r>
          </w:p>
        </w:tc>
        <w:tc>
          <w:tcPr>
            <w:tcW w:w="7088" w:type="dxa"/>
            <w:vAlign w:val="center"/>
          </w:tcPr>
          <w:p w14:paraId="02F90F8B"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Recueil de données du Système d’Informations Statistiques Environnementales (SISE 2012-2016)</w:t>
            </w:r>
          </w:p>
        </w:tc>
      </w:tr>
      <w:tr w:rsidR="00017D06" w:rsidRPr="00BA1CEF" w14:paraId="2A521EDA" w14:textId="77777777" w:rsidTr="0035619B">
        <w:trPr>
          <w:cantSplit/>
        </w:trPr>
        <w:tc>
          <w:tcPr>
            <w:tcW w:w="710" w:type="dxa"/>
            <w:vAlign w:val="center"/>
          </w:tcPr>
          <w:p w14:paraId="58548542" w14:textId="77777777" w:rsidR="00017D06" w:rsidRPr="00BA1CEF" w:rsidRDefault="00017D06" w:rsidP="0035619B">
            <w:pPr>
              <w:spacing w:after="0" w:line="240" w:lineRule="auto"/>
              <w:rPr>
                <w:rFonts w:eastAsia="SimSun" w:cs="Arial"/>
                <w:sz w:val="17"/>
                <w:szCs w:val="17"/>
                <w:lang w:eastAsia="zh-CN"/>
              </w:rPr>
            </w:pPr>
            <w:r w:rsidRPr="00BA1CEF">
              <w:rPr>
                <w:rFonts w:eastAsia="SimSun" w:cs="Arial"/>
                <w:sz w:val="17"/>
                <w:szCs w:val="17"/>
                <w:lang w:eastAsia="zh-CN"/>
              </w:rPr>
              <w:t>2017</w:t>
            </w:r>
          </w:p>
        </w:tc>
        <w:tc>
          <w:tcPr>
            <w:tcW w:w="1984" w:type="dxa"/>
            <w:vAlign w:val="center"/>
          </w:tcPr>
          <w:p w14:paraId="3D8917CF"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INSTAT</w:t>
            </w:r>
          </w:p>
        </w:tc>
        <w:tc>
          <w:tcPr>
            <w:tcW w:w="7088" w:type="dxa"/>
            <w:vAlign w:val="center"/>
          </w:tcPr>
          <w:p w14:paraId="4F632A14"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Enquête modulaire et permanente auprès des ménages (EMOP)</w:t>
            </w:r>
          </w:p>
        </w:tc>
      </w:tr>
      <w:tr w:rsidR="00017D06" w:rsidRPr="00BA1CEF" w14:paraId="7A8E5D56" w14:textId="77777777" w:rsidTr="0035619B">
        <w:trPr>
          <w:cantSplit/>
        </w:trPr>
        <w:tc>
          <w:tcPr>
            <w:tcW w:w="710" w:type="dxa"/>
            <w:vAlign w:val="center"/>
          </w:tcPr>
          <w:p w14:paraId="2B766604"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2017</w:t>
            </w:r>
          </w:p>
        </w:tc>
        <w:tc>
          <w:tcPr>
            <w:tcW w:w="1984" w:type="dxa"/>
            <w:vAlign w:val="center"/>
          </w:tcPr>
          <w:p w14:paraId="7834729A"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IRENA</w:t>
            </w:r>
          </w:p>
        </w:tc>
        <w:tc>
          <w:tcPr>
            <w:tcW w:w="7088" w:type="dxa"/>
            <w:vAlign w:val="center"/>
          </w:tcPr>
          <w:p w14:paraId="0F1D8545"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Mali Renewables Readiness Assessment: Document de base</w:t>
            </w:r>
          </w:p>
        </w:tc>
      </w:tr>
      <w:tr w:rsidR="00017D06" w:rsidRPr="00BA1CEF" w14:paraId="2FE2FCD1" w14:textId="77777777" w:rsidTr="0035619B">
        <w:trPr>
          <w:cantSplit/>
        </w:trPr>
        <w:tc>
          <w:tcPr>
            <w:tcW w:w="710" w:type="dxa"/>
            <w:vAlign w:val="center"/>
          </w:tcPr>
          <w:p w14:paraId="429FB210"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2017</w:t>
            </w:r>
          </w:p>
        </w:tc>
        <w:tc>
          <w:tcPr>
            <w:tcW w:w="1984" w:type="dxa"/>
            <w:vAlign w:val="center"/>
          </w:tcPr>
          <w:p w14:paraId="037EF98A"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ITIE</w:t>
            </w:r>
          </w:p>
        </w:tc>
        <w:tc>
          <w:tcPr>
            <w:tcW w:w="7088" w:type="dxa"/>
            <w:vAlign w:val="center"/>
          </w:tcPr>
          <w:p w14:paraId="3937E1EC"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ITIE Mali, Rapport ITIE 2015</w:t>
            </w:r>
          </w:p>
        </w:tc>
      </w:tr>
      <w:tr w:rsidR="00017D06" w:rsidRPr="00BA1CEF" w14:paraId="0601AA4E" w14:textId="77777777" w:rsidTr="0035619B">
        <w:trPr>
          <w:cantSplit/>
        </w:trPr>
        <w:tc>
          <w:tcPr>
            <w:tcW w:w="710" w:type="dxa"/>
            <w:vAlign w:val="center"/>
          </w:tcPr>
          <w:p w14:paraId="3209AED9"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2017</w:t>
            </w:r>
          </w:p>
        </w:tc>
        <w:tc>
          <w:tcPr>
            <w:tcW w:w="1984" w:type="dxa"/>
            <w:vAlign w:val="center"/>
          </w:tcPr>
          <w:p w14:paraId="38859B44"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KEITA Amadou</w:t>
            </w:r>
          </w:p>
        </w:tc>
        <w:tc>
          <w:tcPr>
            <w:tcW w:w="7088" w:type="dxa"/>
            <w:vAlign w:val="center"/>
          </w:tcPr>
          <w:p w14:paraId="78A250C6"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Orpaillage et accès aux ressources naturelles et foncières au Mali. Les Cahiers du CIRDIS. Collection recherche N°2017-01.</w:t>
            </w:r>
          </w:p>
        </w:tc>
      </w:tr>
      <w:tr w:rsidR="00017D06" w:rsidRPr="00BA1CEF" w14:paraId="5974AAD6" w14:textId="77777777" w:rsidTr="0035619B">
        <w:trPr>
          <w:cantSplit/>
        </w:trPr>
        <w:tc>
          <w:tcPr>
            <w:tcW w:w="710" w:type="dxa"/>
            <w:vAlign w:val="center"/>
          </w:tcPr>
          <w:p w14:paraId="08EF14E2"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2017</w:t>
            </w:r>
          </w:p>
        </w:tc>
        <w:tc>
          <w:tcPr>
            <w:tcW w:w="1984" w:type="dxa"/>
            <w:vAlign w:val="center"/>
          </w:tcPr>
          <w:p w14:paraId="5700CB76"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MEADD</w:t>
            </w:r>
          </w:p>
        </w:tc>
        <w:tc>
          <w:tcPr>
            <w:tcW w:w="7088" w:type="dxa"/>
            <w:vAlign w:val="center"/>
          </w:tcPr>
          <w:p w14:paraId="548A51E5"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Rapport Troisième communication du Mali à la Convention Cadre des Nations Unies sur les Changements Climatiques.</w:t>
            </w:r>
          </w:p>
        </w:tc>
      </w:tr>
      <w:tr w:rsidR="00017D06" w:rsidRPr="00BA1CEF" w14:paraId="5662CED9" w14:textId="77777777" w:rsidTr="0035619B">
        <w:trPr>
          <w:cantSplit/>
        </w:trPr>
        <w:tc>
          <w:tcPr>
            <w:tcW w:w="710" w:type="dxa"/>
            <w:vAlign w:val="center"/>
          </w:tcPr>
          <w:p w14:paraId="6BCABC1D"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2017</w:t>
            </w:r>
          </w:p>
        </w:tc>
        <w:tc>
          <w:tcPr>
            <w:tcW w:w="1984" w:type="dxa"/>
            <w:vAlign w:val="center"/>
          </w:tcPr>
          <w:p w14:paraId="5B9FA5B6"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MEADD</w:t>
            </w:r>
          </w:p>
        </w:tc>
        <w:tc>
          <w:tcPr>
            <w:tcW w:w="7088" w:type="dxa"/>
            <w:vAlign w:val="center"/>
          </w:tcPr>
          <w:p w14:paraId="16A516A7"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Evaluation des impacts de l’exploitation aurifère par dragage sur les ressources en eaux du Mali.</w:t>
            </w:r>
          </w:p>
        </w:tc>
      </w:tr>
      <w:tr w:rsidR="00017D06" w:rsidRPr="00BA1CEF" w14:paraId="468270B6" w14:textId="77777777" w:rsidTr="0035619B">
        <w:trPr>
          <w:cantSplit/>
        </w:trPr>
        <w:tc>
          <w:tcPr>
            <w:tcW w:w="710" w:type="dxa"/>
            <w:vAlign w:val="center"/>
          </w:tcPr>
          <w:p w14:paraId="27A62DEE"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2017</w:t>
            </w:r>
          </w:p>
        </w:tc>
        <w:tc>
          <w:tcPr>
            <w:tcW w:w="1984" w:type="dxa"/>
            <w:vAlign w:val="center"/>
          </w:tcPr>
          <w:p w14:paraId="2D3CC7CC"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MINUSMA SR</w:t>
            </w:r>
          </w:p>
        </w:tc>
        <w:tc>
          <w:tcPr>
            <w:tcW w:w="7088" w:type="dxa"/>
            <w:vAlign w:val="center"/>
          </w:tcPr>
          <w:p w14:paraId="0FC9A9C4"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Bulletin Mensuel 25 février</w:t>
            </w:r>
          </w:p>
        </w:tc>
      </w:tr>
      <w:tr w:rsidR="00017D06" w:rsidRPr="00BA1CEF" w14:paraId="6350C86F" w14:textId="77777777" w:rsidTr="0035619B">
        <w:trPr>
          <w:cantSplit/>
        </w:trPr>
        <w:tc>
          <w:tcPr>
            <w:tcW w:w="710" w:type="dxa"/>
            <w:vAlign w:val="center"/>
          </w:tcPr>
          <w:p w14:paraId="152ACBEA"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2017</w:t>
            </w:r>
          </w:p>
        </w:tc>
        <w:tc>
          <w:tcPr>
            <w:tcW w:w="1984" w:type="dxa"/>
            <w:vAlign w:val="center"/>
          </w:tcPr>
          <w:p w14:paraId="25DD82A9"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OCHA</w:t>
            </w:r>
          </w:p>
        </w:tc>
        <w:tc>
          <w:tcPr>
            <w:tcW w:w="7088" w:type="dxa"/>
            <w:vAlign w:val="center"/>
          </w:tcPr>
          <w:p w14:paraId="3DEA5F24"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Situation de l’inondation août 2017</w:t>
            </w:r>
          </w:p>
        </w:tc>
      </w:tr>
      <w:tr w:rsidR="00017D06" w:rsidRPr="00BA1CEF" w14:paraId="2ED15DA8" w14:textId="77777777" w:rsidTr="0035619B">
        <w:trPr>
          <w:cantSplit/>
        </w:trPr>
        <w:tc>
          <w:tcPr>
            <w:tcW w:w="710" w:type="dxa"/>
            <w:vAlign w:val="center"/>
          </w:tcPr>
          <w:p w14:paraId="2D263ACB"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2017</w:t>
            </w:r>
          </w:p>
        </w:tc>
        <w:tc>
          <w:tcPr>
            <w:tcW w:w="1984" w:type="dxa"/>
            <w:vAlign w:val="center"/>
          </w:tcPr>
          <w:p w14:paraId="2EAA49E0"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SAP</w:t>
            </w:r>
          </w:p>
        </w:tc>
        <w:tc>
          <w:tcPr>
            <w:tcW w:w="7088" w:type="dxa"/>
            <w:vAlign w:val="center"/>
          </w:tcPr>
          <w:p w14:paraId="55E0DED4"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Enquête nationale sur la sécurité alimentaire et nutritionnelle (ENSAN, Mali). Février 2017</w:t>
            </w:r>
          </w:p>
        </w:tc>
      </w:tr>
      <w:tr w:rsidR="00017D06" w:rsidRPr="00BA1CEF" w14:paraId="2EB819A1" w14:textId="77777777" w:rsidTr="0035619B">
        <w:trPr>
          <w:cantSplit/>
        </w:trPr>
        <w:tc>
          <w:tcPr>
            <w:tcW w:w="710" w:type="dxa"/>
            <w:vAlign w:val="center"/>
          </w:tcPr>
          <w:p w14:paraId="3102CC6D"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2017</w:t>
            </w:r>
          </w:p>
        </w:tc>
        <w:tc>
          <w:tcPr>
            <w:tcW w:w="1984" w:type="dxa"/>
            <w:vAlign w:val="center"/>
          </w:tcPr>
          <w:p w14:paraId="536935A2"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SIE</w:t>
            </w:r>
          </w:p>
        </w:tc>
        <w:tc>
          <w:tcPr>
            <w:tcW w:w="7088" w:type="dxa"/>
            <w:vAlign w:val="center"/>
          </w:tcPr>
          <w:p w14:paraId="063B5EFF"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Livre bleu Mali, 2</w:t>
            </w:r>
            <w:r w:rsidRPr="00BA1CEF">
              <w:rPr>
                <w:rFonts w:eastAsia="SimSun" w:cs="Arial"/>
                <w:sz w:val="17"/>
                <w:szCs w:val="17"/>
                <w:vertAlign w:val="superscript"/>
                <w:lang w:val="fr-FR" w:eastAsia="zh-CN"/>
              </w:rPr>
              <w:t>ème</w:t>
            </w:r>
            <w:r w:rsidRPr="00BA1CEF">
              <w:rPr>
                <w:rFonts w:eastAsia="SimSun" w:cs="Arial"/>
                <w:sz w:val="17"/>
                <w:szCs w:val="17"/>
                <w:lang w:val="fr-FR" w:eastAsia="zh-CN"/>
              </w:rPr>
              <w:t xml:space="preserve"> édition</w:t>
            </w:r>
          </w:p>
        </w:tc>
      </w:tr>
      <w:tr w:rsidR="00017D06" w:rsidRPr="00BA1CEF" w14:paraId="66FFF93C" w14:textId="77777777" w:rsidTr="0035619B">
        <w:trPr>
          <w:cantSplit/>
        </w:trPr>
        <w:tc>
          <w:tcPr>
            <w:tcW w:w="710" w:type="dxa"/>
            <w:vAlign w:val="center"/>
          </w:tcPr>
          <w:p w14:paraId="67BC09C8"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lastRenderedPageBreak/>
              <w:t>2017</w:t>
            </w:r>
          </w:p>
        </w:tc>
        <w:tc>
          <w:tcPr>
            <w:tcW w:w="1984" w:type="dxa"/>
            <w:vAlign w:val="center"/>
          </w:tcPr>
          <w:p w14:paraId="33D024C2"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UE</w:t>
            </w:r>
          </w:p>
        </w:tc>
        <w:tc>
          <w:tcPr>
            <w:tcW w:w="7088" w:type="dxa"/>
            <w:vAlign w:val="center"/>
          </w:tcPr>
          <w:p w14:paraId="531EFDEB"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L'Union européenne au MALI en 2017. Portefeuille global pour le Mali</w:t>
            </w:r>
          </w:p>
        </w:tc>
      </w:tr>
      <w:tr w:rsidR="00017D06" w:rsidRPr="00BA1CEF" w14:paraId="50905EFC" w14:textId="77777777" w:rsidTr="0035619B">
        <w:trPr>
          <w:cantSplit/>
        </w:trPr>
        <w:tc>
          <w:tcPr>
            <w:tcW w:w="710" w:type="dxa"/>
            <w:vAlign w:val="center"/>
          </w:tcPr>
          <w:p w14:paraId="05095CF9"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2017</w:t>
            </w:r>
          </w:p>
        </w:tc>
        <w:tc>
          <w:tcPr>
            <w:tcW w:w="1984" w:type="dxa"/>
            <w:vAlign w:val="center"/>
          </w:tcPr>
          <w:p w14:paraId="53407EB1"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UNESCO</w:t>
            </w:r>
          </w:p>
        </w:tc>
        <w:tc>
          <w:tcPr>
            <w:tcW w:w="7088" w:type="dxa"/>
            <w:vAlign w:val="center"/>
          </w:tcPr>
          <w:p w14:paraId="6C493C04"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Rôle et action de l’UNESCO en matière de protection et de sauvegarde du patrimoine culturel et de promotion du pluralisme culturel dans les situations de crise. Eude de cas – Leçons tirées au Mali</w:t>
            </w:r>
          </w:p>
        </w:tc>
      </w:tr>
      <w:tr w:rsidR="00017D06" w:rsidRPr="00BA1CEF" w14:paraId="00CBA580" w14:textId="77777777" w:rsidTr="0035619B">
        <w:trPr>
          <w:cantSplit/>
        </w:trPr>
        <w:tc>
          <w:tcPr>
            <w:tcW w:w="710" w:type="dxa"/>
            <w:vAlign w:val="center"/>
          </w:tcPr>
          <w:p w14:paraId="4D98DB5D"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2016</w:t>
            </w:r>
          </w:p>
        </w:tc>
        <w:tc>
          <w:tcPr>
            <w:tcW w:w="1984" w:type="dxa"/>
            <w:vAlign w:val="center"/>
          </w:tcPr>
          <w:p w14:paraId="7C245540"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ASDI</w:t>
            </w:r>
          </w:p>
        </w:tc>
        <w:tc>
          <w:tcPr>
            <w:tcW w:w="7088" w:type="dxa"/>
            <w:vAlign w:val="center"/>
          </w:tcPr>
          <w:p w14:paraId="18E7699F"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Stratégie pour la coopération suédoise au développement avec le Mali 2016 à 2020</w:t>
            </w:r>
          </w:p>
        </w:tc>
      </w:tr>
      <w:tr w:rsidR="00017D06" w:rsidRPr="00BA1CEF" w14:paraId="4435FC66" w14:textId="77777777" w:rsidTr="0035619B">
        <w:trPr>
          <w:cantSplit/>
        </w:trPr>
        <w:tc>
          <w:tcPr>
            <w:tcW w:w="710" w:type="dxa"/>
            <w:vAlign w:val="center"/>
          </w:tcPr>
          <w:p w14:paraId="1F98BD79"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2016</w:t>
            </w:r>
          </w:p>
        </w:tc>
        <w:tc>
          <w:tcPr>
            <w:tcW w:w="1984" w:type="dxa"/>
            <w:vAlign w:val="center"/>
          </w:tcPr>
          <w:p w14:paraId="41A9979C"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CT-CSLP</w:t>
            </w:r>
          </w:p>
        </w:tc>
        <w:tc>
          <w:tcPr>
            <w:tcW w:w="7088" w:type="dxa"/>
            <w:vAlign w:val="center"/>
          </w:tcPr>
          <w:p w14:paraId="222A1A0C"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Cadre Stratégique pour la Relance Economique et le Développement Durable (CREDD) 2016-2018</w:t>
            </w:r>
          </w:p>
        </w:tc>
      </w:tr>
      <w:tr w:rsidR="00017D06" w:rsidRPr="00BA1CEF" w14:paraId="6102776F" w14:textId="77777777" w:rsidTr="0035619B">
        <w:trPr>
          <w:cantSplit/>
        </w:trPr>
        <w:tc>
          <w:tcPr>
            <w:tcW w:w="710" w:type="dxa"/>
            <w:vAlign w:val="center"/>
          </w:tcPr>
          <w:p w14:paraId="6620BE2D"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2016</w:t>
            </w:r>
          </w:p>
        </w:tc>
        <w:tc>
          <w:tcPr>
            <w:tcW w:w="1984" w:type="dxa"/>
            <w:vAlign w:val="center"/>
          </w:tcPr>
          <w:p w14:paraId="112CBE7C"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COWI</w:t>
            </w:r>
          </w:p>
        </w:tc>
        <w:tc>
          <w:tcPr>
            <w:tcW w:w="7088" w:type="dxa"/>
            <w:vAlign w:val="center"/>
          </w:tcPr>
          <w:p w14:paraId="7C94515E"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Document de référence sur la gestion des conflits lies a l’eau au mali</w:t>
            </w:r>
          </w:p>
        </w:tc>
      </w:tr>
      <w:tr w:rsidR="00017D06" w:rsidRPr="00BA1CEF" w14:paraId="4094FD81" w14:textId="77777777" w:rsidTr="0035619B">
        <w:trPr>
          <w:cantSplit/>
        </w:trPr>
        <w:tc>
          <w:tcPr>
            <w:tcW w:w="710" w:type="dxa"/>
            <w:tcBorders>
              <w:top w:val="single" w:sz="4" w:space="0" w:color="auto"/>
              <w:left w:val="single" w:sz="4" w:space="0" w:color="auto"/>
              <w:bottom w:val="single" w:sz="4" w:space="0" w:color="auto"/>
              <w:right w:val="single" w:sz="4" w:space="0" w:color="auto"/>
            </w:tcBorders>
            <w:vAlign w:val="center"/>
          </w:tcPr>
          <w:p w14:paraId="36ACD9EE"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2016</w:t>
            </w:r>
          </w:p>
        </w:tc>
        <w:tc>
          <w:tcPr>
            <w:tcW w:w="1984" w:type="dxa"/>
            <w:tcBorders>
              <w:top w:val="single" w:sz="4" w:space="0" w:color="auto"/>
              <w:left w:val="single" w:sz="4" w:space="0" w:color="auto"/>
              <w:bottom w:val="single" w:sz="4" w:space="0" w:color="auto"/>
              <w:right w:val="single" w:sz="4" w:space="0" w:color="auto"/>
            </w:tcBorders>
            <w:vAlign w:val="center"/>
          </w:tcPr>
          <w:p w14:paraId="20315BED"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CPS SDR</w:t>
            </w:r>
          </w:p>
        </w:tc>
        <w:tc>
          <w:tcPr>
            <w:tcW w:w="7088" w:type="dxa"/>
            <w:tcBorders>
              <w:top w:val="single" w:sz="4" w:space="0" w:color="auto"/>
              <w:left w:val="single" w:sz="4" w:space="0" w:color="auto"/>
              <w:bottom w:val="single" w:sz="4" w:space="0" w:color="auto"/>
              <w:right w:val="single" w:sz="4" w:space="0" w:color="auto"/>
            </w:tcBorders>
            <w:vAlign w:val="center"/>
          </w:tcPr>
          <w:p w14:paraId="20A04C1F"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Annuaire Statistique Secteur Développement Rural 2015</w:t>
            </w:r>
          </w:p>
        </w:tc>
      </w:tr>
      <w:tr w:rsidR="00017D06" w:rsidRPr="00BA1CEF" w14:paraId="7E0A962B" w14:textId="77777777" w:rsidTr="0035619B">
        <w:trPr>
          <w:cantSplit/>
        </w:trPr>
        <w:tc>
          <w:tcPr>
            <w:tcW w:w="710" w:type="dxa"/>
            <w:tcBorders>
              <w:top w:val="single" w:sz="4" w:space="0" w:color="auto"/>
              <w:left w:val="single" w:sz="4" w:space="0" w:color="auto"/>
              <w:bottom w:val="single" w:sz="4" w:space="0" w:color="auto"/>
              <w:right w:val="single" w:sz="4" w:space="0" w:color="auto"/>
            </w:tcBorders>
            <w:vAlign w:val="center"/>
          </w:tcPr>
          <w:p w14:paraId="2ECE1934"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2016</w:t>
            </w:r>
          </w:p>
        </w:tc>
        <w:tc>
          <w:tcPr>
            <w:tcW w:w="1984" w:type="dxa"/>
            <w:tcBorders>
              <w:top w:val="single" w:sz="4" w:space="0" w:color="auto"/>
              <w:left w:val="single" w:sz="4" w:space="0" w:color="auto"/>
              <w:bottom w:val="single" w:sz="4" w:space="0" w:color="auto"/>
              <w:right w:val="single" w:sz="4" w:space="0" w:color="auto"/>
            </w:tcBorders>
            <w:vAlign w:val="center"/>
          </w:tcPr>
          <w:p w14:paraId="33A9A37A"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DAKOUO A.</w:t>
            </w:r>
          </w:p>
        </w:tc>
        <w:tc>
          <w:tcPr>
            <w:tcW w:w="7088" w:type="dxa"/>
            <w:tcBorders>
              <w:top w:val="single" w:sz="4" w:space="0" w:color="auto"/>
              <w:left w:val="single" w:sz="4" w:space="0" w:color="auto"/>
              <w:bottom w:val="single" w:sz="4" w:space="0" w:color="auto"/>
              <w:right w:val="single" w:sz="4" w:space="0" w:color="auto"/>
            </w:tcBorders>
            <w:vAlign w:val="center"/>
          </w:tcPr>
          <w:p w14:paraId="0DF15305"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Les pratiques du dialogue intercommunautaire pour la paix et la réconciliation au Mali. Expériences et analyses.</w:t>
            </w:r>
          </w:p>
        </w:tc>
      </w:tr>
      <w:tr w:rsidR="00017D06" w:rsidRPr="00BA1CEF" w14:paraId="43AB7765" w14:textId="77777777" w:rsidTr="0035619B">
        <w:trPr>
          <w:cantSplit/>
        </w:trPr>
        <w:tc>
          <w:tcPr>
            <w:tcW w:w="710" w:type="dxa"/>
            <w:tcBorders>
              <w:top w:val="single" w:sz="4" w:space="0" w:color="auto"/>
              <w:left w:val="single" w:sz="4" w:space="0" w:color="auto"/>
              <w:bottom w:val="single" w:sz="4" w:space="0" w:color="auto"/>
              <w:right w:val="single" w:sz="4" w:space="0" w:color="auto"/>
            </w:tcBorders>
            <w:vAlign w:val="center"/>
          </w:tcPr>
          <w:p w14:paraId="772FE807"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2016</w:t>
            </w:r>
          </w:p>
        </w:tc>
        <w:tc>
          <w:tcPr>
            <w:tcW w:w="1984" w:type="dxa"/>
            <w:tcBorders>
              <w:top w:val="single" w:sz="4" w:space="0" w:color="auto"/>
              <w:left w:val="single" w:sz="4" w:space="0" w:color="auto"/>
              <w:bottom w:val="single" w:sz="4" w:space="0" w:color="auto"/>
              <w:right w:val="single" w:sz="4" w:space="0" w:color="auto"/>
            </w:tcBorders>
            <w:vAlign w:val="center"/>
          </w:tcPr>
          <w:p w14:paraId="03E550DA"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DEZA (coop. Suisse)</w:t>
            </w:r>
          </w:p>
        </w:tc>
        <w:tc>
          <w:tcPr>
            <w:tcW w:w="7088" w:type="dxa"/>
            <w:tcBorders>
              <w:top w:val="single" w:sz="4" w:space="0" w:color="auto"/>
              <w:left w:val="single" w:sz="4" w:space="0" w:color="auto"/>
              <w:bottom w:val="single" w:sz="4" w:space="0" w:color="auto"/>
              <w:right w:val="single" w:sz="4" w:space="0" w:color="auto"/>
            </w:tcBorders>
            <w:vAlign w:val="center"/>
          </w:tcPr>
          <w:p w14:paraId="0F5B7BDD"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Stratégie de coopération suisse au Mali 2017 – 2020</w:t>
            </w:r>
          </w:p>
        </w:tc>
      </w:tr>
      <w:tr w:rsidR="00017D06" w:rsidRPr="00BA1CEF" w14:paraId="657DB9C5" w14:textId="77777777" w:rsidTr="0035619B">
        <w:trPr>
          <w:cantSplit/>
        </w:trPr>
        <w:tc>
          <w:tcPr>
            <w:tcW w:w="710" w:type="dxa"/>
            <w:tcBorders>
              <w:top w:val="single" w:sz="4" w:space="0" w:color="auto"/>
              <w:left w:val="single" w:sz="4" w:space="0" w:color="auto"/>
              <w:bottom w:val="single" w:sz="4" w:space="0" w:color="auto"/>
              <w:right w:val="single" w:sz="4" w:space="0" w:color="auto"/>
            </w:tcBorders>
            <w:vAlign w:val="center"/>
          </w:tcPr>
          <w:p w14:paraId="24103AAE"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2016</w:t>
            </w:r>
          </w:p>
        </w:tc>
        <w:tc>
          <w:tcPr>
            <w:tcW w:w="1984" w:type="dxa"/>
            <w:tcBorders>
              <w:top w:val="single" w:sz="4" w:space="0" w:color="auto"/>
              <w:left w:val="single" w:sz="4" w:space="0" w:color="auto"/>
              <w:bottom w:val="single" w:sz="4" w:space="0" w:color="auto"/>
              <w:right w:val="single" w:sz="4" w:space="0" w:color="auto"/>
            </w:tcBorders>
            <w:vAlign w:val="center"/>
          </w:tcPr>
          <w:p w14:paraId="1DA7E8A6"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District Bamako (DSUVA)</w:t>
            </w:r>
          </w:p>
        </w:tc>
        <w:tc>
          <w:tcPr>
            <w:tcW w:w="7088" w:type="dxa"/>
            <w:tcBorders>
              <w:top w:val="single" w:sz="4" w:space="0" w:color="auto"/>
              <w:left w:val="single" w:sz="4" w:space="0" w:color="auto"/>
              <w:bottom w:val="single" w:sz="4" w:space="0" w:color="auto"/>
              <w:right w:val="single" w:sz="4" w:space="0" w:color="auto"/>
            </w:tcBorders>
            <w:vAlign w:val="center"/>
          </w:tcPr>
          <w:p w14:paraId="4D94EE10"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Rapport sur les prestations de la société OZONE  de février 2015 au 31 décembre 2016</w:t>
            </w:r>
          </w:p>
        </w:tc>
      </w:tr>
      <w:tr w:rsidR="00017D06" w:rsidRPr="00BA1CEF" w14:paraId="2CFA1255" w14:textId="77777777" w:rsidTr="0035619B">
        <w:trPr>
          <w:cantSplit/>
        </w:trPr>
        <w:tc>
          <w:tcPr>
            <w:tcW w:w="710" w:type="dxa"/>
            <w:tcBorders>
              <w:top w:val="single" w:sz="4" w:space="0" w:color="auto"/>
              <w:left w:val="single" w:sz="4" w:space="0" w:color="auto"/>
              <w:bottom w:val="single" w:sz="4" w:space="0" w:color="auto"/>
              <w:right w:val="single" w:sz="4" w:space="0" w:color="auto"/>
            </w:tcBorders>
            <w:vAlign w:val="center"/>
          </w:tcPr>
          <w:p w14:paraId="234CB23B"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 xml:space="preserve">2016 </w:t>
            </w:r>
          </w:p>
        </w:tc>
        <w:tc>
          <w:tcPr>
            <w:tcW w:w="1984" w:type="dxa"/>
            <w:tcBorders>
              <w:top w:val="single" w:sz="4" w:space="0" w:color="auto"/>
              <w:left w:val="single" w:sz="4" w:space="0" w:color="auto"/>
              <w:bottom w:val="single" w:sz="4" w:space="0" w:color="auto"/>
              <w:right w:val="single" w:sz="4" w:space="0" w:color="auto"/>
            </w:tcBorders>
            <w:vAlign w:val="center"/>
          </w:tcPr>
          <w:p w14:paraId="505E37FB"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DNP (Pêche)</w:t>
            </w:r>
          </w:p>
        </w:tc>
        <w:tc>
          <w:tcPr>
            <w:tcW w:w="7088" w:type="dxa"/>
            <w:tcBorders>
              <w:top w:val="single" w:sz="4" w:space="0" w:color="auto"/>
              <w:left w:val="single" w:sz="4" w:space="0" w:color="auto"/>
              <w:bottom w:val="single" w:sz="4" w:space="0" w:color="auto"/>
              <w:right w:val="single" w:sz="4" w:space="0" w:color="auto"/>
            </w:tcBorders>
            <w:vAlign w:val="center"/>
          </w:tcPr>
          <w:p w14:paraId="49967B04"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Rapport annuel 2015</w:t>
            </w:r>
          </w:p>
        </w:tc>
      </w:tr>
      <w:tr w:rsidR="00017D06" w:rsidRPr="00BA1CEF" w14:paraId="6F634954" w14:textId="77777777" w:rsidTr="0035619B">
        <w:trPr>
          <w:cantSplit/>
        </w:trPr>
        <w:tc>
          <w:tcPr>
            <w:tcW w:w="710" w:type="dxa"/>
            <w:vAlign w:val="center"/>
          </w:tcPr>
          <w:p w14:paraId="109E2478" w14:textId="77777777" w:rsidR="00017D06" w:rsidRPr="00BA1CEF" w:rsidRDefault="00017D06" w:rsidP="0035619B">
            <w:pPr>
              <w:spacing w:after="0" w:line="240" w:lineRule="auto"/>
              <w:rPr>
                <w:rFonts w:eastAsia="SimSun" w:cs="Arial"/>
                <w:sz w:val="17"/>
                <w:szCs w:val="17"/>
                <w:lang w:eastAsia="zh-CN"/>
              </w:rPr>
            </w:pPr>
            <w:r w:rsidRPr="00BA1CEF">
              <w:rPr>
                <w:rFonts w:eastAsia="SimSun" w:cs="Arial"/>
                <w:sz w:val="17"/>
                <w:szCs w:val="17"/>
                <w:lang w:eastAsia="zh-CN"/>
              </w:rPr>
              <w:t>2016</w:t>
            </w:r>
          </w:p>
        </w:tc>
        <w:tc>
          <w:tcPr>
            <w:tcW w:w="1984" w:type="dxa"/>
            <w:vAlign w:val="center"/>
          </w:tcPr>
          <w:p w14:paraId="1DE9BE0D"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DRCTU (Bamako)</w:t>
            </w:r>
          </w:p>
        </w:tc>
        <w:tc>
          <w:tcPr>
            <w:tcW w:w="7088" w:type="dxa"/>
            <w:vAlign w:val="center"/>
          </w:tcPr>
          <w:p w14:paraId="2B2CC3E1"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Bilan des accidents corporels de la circulation routière dans le district de Bamako</w:t>
            </w:r>
          </w:p>
        </w:tc>
      </w:tr>
      <w:tr w:rsidR="00017D06" w:rsidRPr="00BA1CEF" w14:paraId="6E57D48B" w14:textId="77777777" w:rsidTr="0035619B">
        <w:trPr>
          <w:cantSplit/>
        </w:trPr>
        <w:tc>
          <w:tcPr>
            <w:tcW w:w="710" w:type="dxa"/>
            <w:vAlign w:val="center"/>
          </w:tcPr>
          <w:p w14:paraId="4F011D5E"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2016</w:t>
            </w:r>
          </w:p>
        </w:tc>
        <w:tc>
          <w:tcPr>
            <w:tcW w:w="1984" w:type="dxa"/>
            <w:vAlign w:val="center"/>
          </w:tcPr>
          <w:p w14:paraId="78D070BE"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MEF</w:t>
            </w:r>
          </w:p>
        </w:tc>
        <w:tc>
          <w:tcPr>
            <w:tcW w:w="7088" w:type="dxa"/>
            <w:vAlign w:val="center"/>
          </w:tcPr>
          <w:p w14:paraId="6F8221CE"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Rapport sur le cadre des ressources externes à moyen-terme (CRMT). Analyse des décaissements 2014 et des prévisions de décaissement d’aides publiques au développement sur la période 2016 -2018</w:t>
            </w:r>
          </w:p>
        </w:tc>
      </w:tr>
      <w:tr w:rsidR="00017D06" w:rsidRPr="00BA1CEF" w14:paraId="6095920E" w14:textId="77777777" w:rsidTr="0035619B">
        <w:trPr>
          <w:cantSplit/>
        </w:trPr>
        <w:tc>
          <w:tcPr>
            <w:tcW w:w="710" w:type="dxa"/>
            <w:vAlign w:val="center"/>
          </w:tcPr>
          <w:p w14:paraId="3A81CA50"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2016</w:t>
            </w:r>
          </w:p>
        </w:tc>
        <w:tc>
          <w:tcPr>
            <w:tcW w:w="1984" w:type="dxa"/>
            <w:vAlign w:val="center"/>
          </w:tcPr>
          <w:p w14:paraId="203B359B"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IER</w:t>
            </w:r>
          </w:p>
        </w:tc>
        <w:tc>
          <w:tcPr>
            <w:tcW w:w="7088" w:type="dxa"/>
            <w:vAlign w:val="center"/>
          </w:tcPr>
          <w:p w14:paraId="1A844D48"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Etude diagnostique de la dégradation des sols autour des aménagements hydro-agricoles (AHA) dans le Bélédougou et sur le plateau de Bandiagara.</w:t>
            </w:r>
          </w:p>
        </w:tc>
      </w:tr>
      <w:tr w:rsidR="00017D06" w:rsidRPr="00BA1CEF" w14:paraId="6C494001" w14:textId="77777777" w:rsidTr="0035619B">
        <w:trPr>
          <w:cantSplit/>
        </w:trPr>
        <w:tc>
          <w:tcPr>
            <w:tcW w:w="710" w:type="dxa"/>
            <w:vAlign w:val="center"/>
          </w:tcPr>
          <w:p w14:paraId="65110730"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2016</w:t>
            </w:r>
          </w:p>
        </w:tc>
        <w:tc>
          <w:tcPr>
            <w:tcW w:w="1984" w:type="dxa"/>
            <w:vAlign w:val="center"/>
          </w:tcPr>
          <w:p w14:paraId="594DB00D"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MEF/SHA</w:t>
            </w:r>
          </w:p>
        </w:tc>
        <w:tc>
          <w:tcPr>
            <w:tcW w:w="7088" w:type="dxa"/>
            <w:vAlign w:val="center"/>
          </w:tcPr>
          <w:p w14:paraId="1467C6FB"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Rapport sur le cadre des ressources externes à moyen-terme(CRMT). Analyse des décaissements 2014 et des prévisions de décaissement d’aides publiques au développement sur la période 2016 -2018</w:t>
            </w:r>
          </w:p>
        </w:tc>
      </w:tr>
      <w:tr w:rsidR="00017D06" w:rsidRPr="00BA1CEF" w14:paraId="79459A4F" w14:textId="77777777" w:rsidTr="0035619B">
        <w:trPr>
          <w:cantSplit/>
        </w:trPr>
        <w:tc>
          <w:tcPr>
            <w:tcW w:w="710" w:type="dxa"/>
            <w:vAlign w:val="center"/>
          </w:tcPr>
          <w:p w14:paraId="512968BD"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2016</w:t>
            </w:r>
          </w:p>
        </w:tc>
        <w:tc>
          <w:tcPr>
            <w:tcW w:w="1984" w:type="dxa"/>
            <w:vAlign w:val="center"/>
          </w:tcPr>
          <w:p w14:paraId="3CA3F699"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OCHA</w:t>
            </w:r>
          </w:p>
        </w:tc>
        <w:tc>
          <w:tcPr>
            <w:tcW w:w="7088" w:type="dxa"/>
            <w:vAlign w:val="center"/>
          </w:tcPr>
          <w:p w14:paraId="7938208C"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Bulletin humanitaire août-septembre 2016</w:t>
            </w:r>
          </w:p>
        </w:tc>
      </w:tr>
      <w:tr w:rsidR="00017D06" w:rsidRPr="00BA1CEF" w14:paraId="3CD88709" w14:textId="77777777" w:rsidTr="0035619B">
        <w:trPr>
          <w:cantSplit/>
        </w:trPr>
        <w:tc>
          <w:tcPr>
            <w:tcW w:w="710" w:type="dxa"/>
            <w:vAlign w:val="center"/>
          </w:tcPr>
          <w:p w14:paraId="7E3DC7D9"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2016</w:t>
            </w:r>
          </w:p>
        </w:tc>
        <w:tc>
          <w:tcPr>
            <w:tcW w:w="1984" w:type="dxa"/>
            <w:vAlign w:val="center"/>
          </w:tcPr>
          <w:p w14:paraId="2328D97A"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ODHD/PNUD</w:t>
            </w:r>
          </w:p>
        </w:tc>
        <w:tc>
          <w:tcPr>
            <w:tcW w:w="7088" w:type="dxa"/>
            <w:vAlign w:val="center"/>
          </w:tcPr>
          <w:p w14:paraId="712BEAB8"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Rapport national sur le développement humain, Edition 2016</w:t>
            </w:r>
          </w:p>
        </w:tc>
      </w:tr>
      <w:tr w:rsidR="00017D06" w:rsidRPr="00BA1CEF" w14:paraId="61207F7E" w14:textId="77777777" w:rsidTr="0035619B">
        <w:trPr>
          <w:cantSplit/>
        </w:trPr>
        <w:tc>
          <w:tcPr>
            <w:tcW w:w="710" w:type="dxa"/>
            <w:vAlign w:val="center"/>
          </w:tcPr>
          <w:p w14:paraId="59C13737"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2016</w:t>
            </w:r>
          </w:p>
        </w:tc>
        <w:tc>
          <w:tcPr>
            <w:tcW w:w="1984" w:type="dxa"/>
            <w:vAlign w:val="center"/>
          </w:tcPr>
          <w:p w14:paraId="647015BD"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PTF</w:t>
            </w:r>
          </w:p>
        </w:tc>
        <w:tc>
          <w:tcPr>
            <w:tcW w:w="7088" w:type="dxa"/>
            <w:vAlign w:val="center"/>
          </w:tcPr>
          <w:p w14:paraId="3AFEEEEB"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Stratégie Commune d’Accompagnement Pays SCAP II Période 2016 - 2018</w:t>
            </w:r>
          </w:p>
        </w:tc>
      </w:tr>
      <w:tr w:rsidR="00017D06" w:rsidRPr="00BA1CEF" w14:paraId="6952C4C6" w14:textId="77777777" w:rsidTr="0035619B">
        <w:trPr>
          <w:cantSplit/>
        </w:trPr>
        <w:tc>
          <w:tcPr>
            <w:tcW w:w="710" w:type="dxa"/>
            <w:vAlign w:val="center"/>
          </w:tcPr>
          <w:p w14:paraId="36C7E19C"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2016</w:t>
            </w:r>
          </w:p>
        </w:tc>
        <w:tc>
          <w:tcPr>
            <w:tcW w:w="1984" w:type="dxa"/>
            <w:vAlign w:val="center"/>
          </w:tcPr>
          <w:p w14:paraId="2D26F989"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Synergie Environnement</w:t>
            </w:r>
          </w:p>
        </w:tc>
        <w:tc>
          <w:tcPr>
            <w:tcW w:w="7088" w:type="dxa"/>
            <w:vAlign w:val="center"/>
          </w:tcPr>
          <w:p w14:paraId="4B3FCAC5"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Etude succincte sur l’exploitation de bois de vêne, N’Guenou</w:t>
            </w:r>
          </w:p>
        </w:tc>
      </w:tr>
      <w:tr w:rsidR="00017D06" w:rsidRPr="00BA1CEF" w14:paraId="33FAE836" w14:textId="77777777" w:rsidTr="0035619B">
        <w:trPr>
          <w:cantSplit/>
        </w:trPr>
        <w:tc>
          <w:tcPr>
            <w:tcW w:w="710" w:type="dxa"/>
            <w:vAlign w:val="center"/>
          </w:tcPr>
          <w:p w14:paraId="2753DEA3" w14:textId="77777777" w:rsidR="00017D06" w:rsidRPr="00BA1CEF" w:rsidRDefault="00017D06" w:rsidP="0035619B">
            <w:pPr>
              <w:spacing w:after="0" w:line="240" w:lineRule="auto"/>
              <w:rPr>
                <w:rFonts w:eastAsia="SimSun" w:cs="Arial"/>
                <w:sz w:val="17"/>
                <w:szCs w:val="17"/>
                <w:lang w:eastAsia="zh-CN"/>
              </w:rPr>
            </w:pPr>
            <w:r w:rsidRPr="00BA1CEF">
              <w:rPr>
                <w:rFonts w:eastAsia="SimSun" w:cs="Arial"/>
                <w:sz w:val="17"/>
                <w:szCs w:val="17"/>
                <w:lang w:eastAsia="zh-CN"/>
              </w:rPr>
              <w:t>2016</w:t>
            </w:r>
          </w:p>
        </w:tc>
        <w:tc>
          <w:tcPr>
            <w:tcW w:w="1984" w:type="dxa"/>
            <w:vAlign w:val="center"/>
          </w:tcPr>
          <w:p w14:paraId="5790CC9C"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TOURE B. / PNUD</w:t>
            </w:r>
          </w:p>
        </w:tc>
        <w:tc>
          <w:tcPr>
            <w:tcW w:w="7088" w:type="dxa"/>
            <w:vAlign w:val="center"/>
          </w:tcPr>
          <w:p w14:paraId="69065BC1"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Etude sur la revue du système national de collecte sur l’environnement pour la comptabilité du capital naturel et la désagrégation intégrant les dimensions Genre et Pauvreté au Mali</w:t>
            </w:r>
          </w:p>
        </w:tc>
      </w:tr>
      <w:tr w:rsidR="00017D06" w:rsidRPr="00BA1CEF" w14:paraId="1BC28BBC" w14:textId="77777777" w:rsidTr="0035619B">
        <w:trPr>
          <w:cantSplit/>
        </w:trPr>
        <w:tc>
          <w:tcPr>
            <w:tcW w:w="710" w:type="dxa"/>
            <w:vAlign w:val="center"/>
          </w:tcPr>
          <w:p w14:paraId="3BAB2514" w14:textId="77777777" w:rsidR="00017D06" w:rsidRPr="00BA1CEF" w:rsidRDefault="00017D06" w:rsidP="0035619B">
            <w:pPr>
              <w:spacing w:after="0" w:line="240" w:lineRule="auto"/>
              <w:rPr>
                <w:rFonts w:eastAsia="SimSun" w:cs="Arial"/>
                <w:sz w:val="17"/>
                <w:szCs w:val="17"/>
                <w:lang w:eastAsia="zh-CN"/>
              </w:rPr>
            </w:pPr>
            <w:r w:rsidRPr="00BA1CEF">
              <w:rPr>
                <w:rFonts w:eastAsia="SimSun" w:cs="Arial"/>
                <w:sz w:val="17"/>
                <w:szCs w:val="17"/>
                <w:lang w:eastAsia="zh-CN"/>
              </w:rPr>
              <w:t>2015</w:t>
            </w:r>
          </w:p>
        </w:tc>
        <w:tc>
          <w:tcPr>
            <w:tcW w:w="1984" w:type="dxa"/>
            <w:vAlign w:val="center"/>
          </w:tcPr>
          <w:p w14:paraId="2FBA325B"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ABN</w:t>
            </w:r>
          </w:p>
        </w:tc>
        <w:tc>
          <w:tcPr>
            <w:tcW w:w="7088" w:type="dxa"/>
            <w:vAlign w:val="center"/>
          </w:tcPr>
          <w:p w14:paraId="152A887B" w14:textId="77777777" w:rsidR="00017D06" w:rsidRPr="00BA1CEF" w:rsidRDefault="00017D06" w:rsidP="0035619B">
            <w:pPr>
              <w:spacing w:after="0" w:line="240" w:lineRule="auto"/>
              <w:rPr>
                <w:rFonts w:eastAsia="SimSun" w:cs="Arial"/>
                <w:sz w:val="17"/>
                <w:szCs w:val="17"/>
                <w:lang w:val="fr-FR" w:eastAsia="zh-CN"/>
              </w:rPr>
            </w:pPr>
            <w:r w:rsidRPr="00BA1CEF">
              <w:rPr>
                <w:rFonts w:cs="Arial"/>
                <w:sz w:val="17"/>
                <w:szCs w:val="17"/>
                <w:lang w:val="fr-FR"/>
              </w:rPr>
              <w:t xml:space="preserve"> </w:t>
            </w:r>
            <w:r w:rsidRPr="00BA1CEF">
              <w:rPr>
                <w:rFonts w:cs="Arial"/>
                <w:bCs/>
                <w:sz w:val="17"/>
                <w:szCs w:val="17"/>
                <w:lang w:val="fr-FR"/>
              </w:rPr>
              <w:t>Plan d’investissement pour le renforcement de la résilience au changement climatique du bassin du fleuve Niger</w:t>
            </w:r>
          </w:p>
        </w:tc>
      </w:tr>
      <w:tr w:rsidR="00FB4389" w:rsidRPr="00BA1CEF" w14:paraId="4C8F43EB" w14:textId="77777777" w:rsidTr="0035619B">
        <w:trPr>
          <w:cantSplit/>
        </w:trPr>
        <w:tc>
          <w:tcPr>
            <w:tcW w:w="710" w:type="dxa"/>
            <w:vAlign w:val="center"/>
          </w:tcPr>
          <w:p w14:paraId="117775DB" w14:textId="77777777" w:rsidR="00FB4389" w:rsidRPr="00111198" w:rsidRDefault="00FB4389" w:rsidP="0035619B">
            <w:pPr>
              <w:spacing w:after="0" w:line="240" w:lineRule="auto"/>
              <w:rPr>
                <w:rFonts w:eastAsia="SimSun" w:cs="Arial"/>
                <w:sz w:val="17"/>
                <w:szCs w:val="17"/>
                <w:lang w:eastAsia="zh-CN"/>
              </w:rPr>
            </w:pPr>
            <w:r w:rsidRPr="00111198">
              <w:rPr>
                <w:rFonts w:eastAsia="SimSun" w:cs="Arial"/>
                <w:sz w:val="17"/>
                <w:szCs w:val="17"/>
                <w:lang w:eastAsia="zh-CN"/>
              </w:rPr>
              <w:t>2015</w:t>
            </w:r>
          </w:p>
        </w:tc>
        <w:tc>
          <w:tcPr>
            <w:tcW w:w="1984" w:type="dxa"/>
            <w:vAlign w:val="center"/>
          </w:tcPr>
          <w:p w14:paraId="2EF0FBC5" w14:textId="77777777" w:rsidR="00FB4389" w:rsidRPr="00111198" w:rsidRDefault="00FB4389" w:rsidP="0035619B">
            <w:pPr>
              <w:spacing w:after="0" w:line="240" w:lineRule="auto"/>
              <w:rPr>
                <w:rFonts w:eastAsia="SimSun" w:cs="Arial"/>
                <w:sz w:val="17"/>
                <w:szCs w:val="17"/>
                <w:lang w:val="fr-FR" w:eastAsia="zh-CN"/>
              </w:rPr>
            </w:pPr>
            <w:r w:rsidRPr="00111198">
              <w:rPr>
                <w:rFonts w:eastAsia="SimSun" w:cs="Arial"/>
                <w:sz w:val="17"/>
                <w:szCs w:val="17"/>
                <w:lang w:val="fr-FR" w:eastAsia="zh-CN"/>
              </w:rPr>
              <w:t>AEDD</w:t>
            </w:r>
          </w:p>
        </w:tc>
        <w:tc>
          <w:tcPr>
            <w:tcW w:w="7088" w:type="dxa"/>
            <w:vAlign w:val="center"/>
          </w:tcPr>
          <w:p w14:paraId="6DF78AA8" w14:textId="77777777" w:rsidR="00FB4389" w:rsidRPr="00BA1CEF" w:rsidRDefault="00FB4389" w:rsidP="00FB4389">
            <w:pPr>
              <w:spacing w:after="0" w:line="240" w:lineRule="auto"/>
              <w:rPr>
                <w:rFonts w:eastAsia="SimSun" w:cs="Arial"/>
                <w:sz w:val="17"/>
                <w:szCs w:val="17"/>
                <w:lang w:val="fr-FR" w:eastAsia="zh-CN"/>
              </w:rPr>
            </w:pPr>
            <w:r w:rsidRPr="00111198">
              <w:rPr>
                <w:rFonts w:eastAsia="SimSun" w:cs="Arial"/>
                <w:sz w:val="17"/>
                <w:szCs w:val="17"/>
                <w:lang w:val="fr-FR" w:eastAsia="zh-CN"/>
              </w:rPr>
              <w:t xml:space="preserve">Rapport National sur l’Etat de </w:t>
            </w:r>
            <w:r w:rsidR="009B4A49" w:rsidRPr="00111198">
              <w:rPr>
                <w:rFonts w:eastAsia="SimSun" w:cs="Arial"/>
                <w:sz w:val="17"/>
                <w:szCs w:val="17"/>
                <w:lang w:val="fr-FR" w:eastAsia="zh-CN"/>
              </w:rPr>
              <w:t>l’Environnement 2012</w:t>
            </w:r>
            <w:r w:rsidRPr="00111198">
              <w:rPr>
                <w:rFonts w:eastAsia="SimSun" w:cs="Arial"/>
                <w:sz w:val="17"/>
                <w:szCs w:val="17"/>
                <w:lang w:val="fr-FR" w:eastAsia="zh-CN"/>
              </w:rPr>
              <w:t xml:space="preserve"> - 2014</w:t>
            </w:r>
          </w:p>
        </w:tc>
      </w:tr>
      <w:tr w:rsidR="00017D06" w:rsidRPr="00BA1CEF" w14:paraId="06D61A0B" w14:textId="77777777" w:rsidTr="0035619B">
        <w:trPr>
          <w:cantSplit/>
        </w:trPr>
        <w:tc>
          <w:tcPr>
            <w:tcW w:w="710" w:type="dxa"/>
            <w:vAlign w:val="center"/>
          </w:tcPr>
          <w:p w14:paraId="2F2D7600" w14:textId="77777777" w:rsidR="00017D06" w:rsidRPr="00BA1CEF" w:rsidRDefault="00017D06" w:rsidP="0035619B">
            <w:pPr>
              <w:spacing w:after="0" w:line="240" w:lineRule="auto"/>
              <w:rPr>
                <w:rFonts w:eastAsia="SimSun" w:cs="Arial"/>
                <w:sz w:val="17"/>
                <w:szCs w:val="17"/>
                <w:lang w:eastAsia="zh-CN"/>
              </w:rPr>
            </w:pPr>
            <w:r w:rsidRPr="00BA1CEF">
              <w:rPr>
                <w:rFonts w:eastAsia="SimSun" w:cs="Arial"/>
                <w:sz w:val="17"/>
                <w:szCs w:val="17"/>
                <w:lang w:eastAsia="zh-CN"/>
              </w:rPr>
              <w:t>2015</w:t>
            </w:r>
          </w:p>
        </w:tc>
        <w:tc>
          <w:tcPr>
            <w:tcW w:w="1984" w:type="dxa"/>
            <w:vAlign w:val="center"/>
          </w:tcPr>
          <w:p w14:paraId="7E14997D"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BAD</w:t>
            </w:r>
          </w:p>
        </w:tc>
        <w:tc>
          <w:tcPr>
            <w:tcW w:w="7088" w:type="dxa"/>
            <w:vAlign w:val="center"/>
          </w:tcPr>
          <w:p w14:paraId="77515927"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Document de stratégie pays du groupe de la banque au Mali 2015-2019</w:t>
            </w:r>
          </w:p>
        </w:tc>
      </w:tr>
      <w:tr w:rsidR="00017D06" w:rsidRPr="00BA1CEF" w14:paraId="7A03D541" w14:textId="77777777" w:rsidTr="0035619B">
        <w:trPr>
          <w:cantSplit/>
        </w:trPr>
        <w:tc>
          <w:tcPr>
            <w:tcW w:w="710" w:type="dxa"/>
            <w:vAlign w:val="center"/>
          </w:tcPr>
          <w:p w14:paraId="5EB1C89F" w14:textId="77777777" w:rsidR="00017D06" w:rsidRPr="00BA1CEF" w:rsidRDefault="00017D06" w:rsidP="0035619B">
            <w:pPr>
              <w:spacing w:after="0" w:line="240" w:lineRule="auto"/>
              <w:rPr>
                <w:rFonts w:eastAsia="SimSun" w:cs="Arial"/>
                <w:sz w:val="17"/>
                <w:szCs w:val="17"/>
                <w:lang w:eastAsia="zh-CN"/>
              </w:rPr>
            </w:pPr>
            <w:r w:rsidRPr="00BA1CEF">
              <w:rPr>
                <w:rFonts w:eastAsia="SimSun" w:cs="Arial"/>
                <w:sz w:val="17"/>
                <w:szCs w:val="17"/>
                <w:lang w:eastAsia="zh-CN"/>
              </w:rPr>
              <w:t>2015</w:t>
            </w:r>
          </w:p>
        </w:tc>
        <w:tc>
          <w:tcPr>
            <w:tcW w:w="1984" w:type="dxa"/>
            <w:vAlign w:val="center"/>
          </w:tcPr>
          <w:p w14:paraId="656A778B"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EGIS</w:t>
            </w:r>
          </w:p>
        </w:tc>
        <w:tc>
          <w:tcPr>
            <w:tcW w:w="7088" w:type="dxa"/>
            <w:vAlign w:val="center"/>
          </w:tcPr>
          <w:p w14:paraId="4078EC08"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Missions d’études d’actualisation du schéma directeur d’assainissement de Bamako (SDAB) et définition d’un projet prioritaire d’assainissement connexe au projet AEP Bamako-Kabala D2/D3 – Rapport d’analyse et de synthèse des données du SDAB &amp; de la situation actuelle de la SGDSB</w:t>
            </w:r>
          </w:p>
        </w:tc>
      </w:tr>
      <w:tr w:rsidR="00017D06" w:rsidRPr="00BA1CEF" w14:paraId="63C301C8" w14:textId="77777777" w:rsidTr="0035619B">
        <w:trPr>
          <w:cantSplit/>
        </w:trPr>
        <w:tc>
          <w:tcPr>
            <w:tcW w:w="710" w:type="dxa"/>
            <w:vAlign w:val="center"/>
          </w:tcPr>
          <w:p w14:paraId="00192377" w14:textId="77777777" w:rsidR="00017D06" w:rsidRPr="00BA1CEF" w:rsidRDefault="00017D06" w:rsidP="0035619B">
            <w:pPr>
              <w:spacing w:after="0" w:line="240" w:lineRule="auto"/>
              <w:rPr>
                <w:rFonts w:eastAsia="SimSun" w:cs="Arial"/>
                <w:sz w:val="17"/>
                <w:szCs w:val="17"/>
                <w:lang w:eastAsia="zh-CN"/>
              </w:rPr>
            </w:pPr>
            <w:r w:rsidRPr="00BA1CEF">
              <w:rPr>
                <w:rFonts w:eastAsia="SimSun" w:cs="Arial"/>
                <w:sz w:val="17"/>
                <w:szCs w:val="17"/>
                <w:lang w:eastAsia="zh-CN"/>
              </w:rPr>
              <w:t>2015</w:t>
            </w:r>
          </w:p>
        </w:tc>
        <w:tc>
          <w:tcPr>
            <w:tcW w:w="1984" w:type="dxa"/>
            <w:vAlign w:val="center"/>
          </w:tcPr>
          <w:p w14:paraId="5F7241A7"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ICF</w:t>
            </w:r>
          </w:p>
        </w:tc>
        <w:tc>
          <w:tcPr>
            <w:tcW w:w="7088" w:type="dxa"/>
            <w:vAlign w:val="center"/>
          </w:tcPr>
          <w:p w14:paraId="3D4D9111"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Evaluation de la mise en œuvre du Plan Sahel 2010 – 2014 – Résumé</w:t>
            </w:r>
          </w:p>
        </w:tc>
      </w:tr>
      <w:tr w:rsidR="00017D06" w:rsidRPr="00BA1CEF" w14:paraId="5D3BF218" w14:textId="77777777" w:rsidTr="0035619B">
        <w:trPr>
          <w:cantSplit/>
        </w:trPr>
        <w:tc>
          <w:tcPr>
            <w:tcW w:w="710" w:type="dxa"/>
            <w:vAlign w:val="center"/>
          </w:tcPr>
          <w:p w14:paraId="4B282FDF" w14:textId="77777777" w:rsidR="00017D06" w:rsidRPr="00BA1CEF" w:rsidRDefault="00017D06" w:rsidP="0035619B">
            <w:pPr>
              <w:spacing w:after="0" w:line="240" w:lineRule="auto"/>
              <w:rPr>
                <w:rFonts w:eastAsia="SimSun" w:cs="Arial"/>
                <w:sz w:val="17"/>
                <w:szCs w:val="17"/>
                <w:lang w:eastAsia="zh-CN"/>
              </w:rPr>
            </w:pPr>
            <w:r w:rsidRPr="00BA1CEF">
              <w:rPr>
                <w:rFonts w:eastAsia="SimSun" w:cs="Arial"/>
                <w:sz w:val="17"/>
                <w:szCs w:val="17"/>
                <w:lang w:eastAsia="zh-CN"/>
              </w:rPr>
              <w:t>2015</w:t>
            </w:r>
          </w:p>
        </w:tc>
        <w:tc>
          <w:tcPr>
            <w:tcW w:w="1984" w:type="dxa"/>
            <w:vAlign w:val="center"/>
          </w:tcPr>
          <w:p w14:paraId="5FC14C29"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MEF</w:t>
            </w:r>
          </w:p>
        </w:tc>
        <w:tc>
          <w:tcPr>
            <w:tcW w:w="7088" w:type="dxa"/>
            <w:vAlign w:val="center"/>
          </w:tcPr>
          <w:p w14:paraId="1593AC0B"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CADRAGE BUDGETAIRE A MOYEN TERME 2016-2018</w:t>
            </w:r>
          </w:p>
        </w:tc>
      </w:tr>
      <w:tr w:rsidR="00017D06" w:rsidRPr="00BA1CEF" w14:paraId="78B2A470" w14:textId="77777777" w:rsidTr="0035619B">
        <w:trPr>
          <w:cantSplit/>
        </w:trPr>
        <w:tc>
          <w:tcPr>
            <w:tcW w:w="710" w:type="dxa"/>
            <w:vAlign w:val="center"/>
          </w:tcPr>
          <w:p w14:paraId="5FC3633A" w14:textId="77777777" w:rsidR="00017D06" w:rsidRPr="00BA1CEF" w:rsidRDefault="00017D06" w:rsidP="0035619B">
            <w:pPr>
              <w:spacing w:after="0" w:line="240" w:lineRule="auto"/>
              <w:rPr>
                <w:rFonts w:eastAsia="SimSun" w:cs="Arial"/>
                <w:sz w:val="17"/>
                <w:szCs w:val="17"/>
                <w:lang w:eastAsia="zh-CN"/>
              </w:rPr>
            </w:pPr>
            <w:r w:rsidRPr="00BA1CEF">
              <w:rPr>
                <w:rFonts w:eastAsia="SimSun" w:cs="Arial"/>
                <w:sz w:val="17"/>
                <w:szCs w:val="17"/>
                <w:lang w:eastAsia="zh-CN"/>
              </w:rPr>
              <w:t>2015</w:t>
            </w:r>
          </w:p>
        </w:tc>
        <w:tc>
          <w:tcPr>
            <w:tcW w:w="1984" w:type="dxa"/>
            <w:vAlign w:val="center"/>
          </w:tcPr>
          <w:p w14:paraId="65C2801C"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METD</w:t>
            </w:r>
          </w:p>
        </w:tc>
        <w:tc>
          <w:tcPr>
            <w:tcW w:w="7088" w:type="dxa"/>
            <w:vAlign w:val="center"/>
          </w:tcPr>
          <w:p w14:paraId="71B99C6B"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Politique nationale des transports, des infrastructures de transport et du désenclavement</w:t>
            </w:r>
          </w:p>
        </w:tc>
      </w:tr>
      <w:tr w:rsidR="00B517F1" w:rsidRPr="00BA1CEF" w14:paraId="370F9E42" w14:textId="77777777" w:rsidTr="0035619B">
        <w:trPr>
          <w:cantSplit/>
        </w:trPr>
        <w:tc>
          <w:tcPr>
            <w:tcW w:w="710" w:type="dxa"/>
            <w:vAlign w:val="center"/>
          </w:tcPr>
          <w:p w14:paraId="785B485B" w14:textId="77777777" w:rsidR="00B517F1" w:rsidRPr="00BA1CEF" w:rsidRDefault="00B517F1" w:rsidP="0035619B">
            <w:pPr>
              <w:spacing w:after="0" w:line="240" w:lineRule="auto"/>
              <w:rPr>
                <w:rFonts w:eastAsia="SimSun" w:cs="Arial"/>
                <w:sz w:val="17"/>
                <w:szCs w:val="17"/>
                <w:lang w:eastAsia="zh-CN"/>
              </w:rPr>
            </w:pPr>
            <w:r>
              <w:rPr>
                <w:rFonts w:eastAsia="SimSun" w:cs="Arial"/>
                <w:sz w:val="17"/>
                <w:szCs w:val="17"/>
                <w:lang w:eastAsia="zh-CN"/>
              </w:rPr>
              <w:t>2015</w:t>
            </w:r>
          </w:p>
        </w:tc>
        <w:tc>
          <w:tcPr>
            <w:tcW w:w="1984" w:type="dxa"/>
            <w:vAlign w:val="center"/>
          </w:tcPr>
          <w:p w14:paraId="60F3CC02" w14:textId="77777777" w:rsidR="00B517F1" w:rsidRPr="00BA1CEF" w:rsidRDefault="00B517F1" w:rsidP="0035619B">
            <w:pPr>
              <w:spacing w:after="0" w:line="240" w:lineRule="auto"/>
              <w:rPr>
                <w:rFonts w:eastAsia="SimSun" w:cs="Arial"/>
                <w:sz w:val="17"/>
                <w:szCs w:val="17"/>
                <w:lang w:val="fr-FR" w:eastAsia="zh-CN"/>
              </w:rPr>
            </w:pPr>
            <w:r>
              <w:rPr>
                <w:rFonts w:eastAsia="SimSun" w:cs="Arial"/>
                <w:sz w:val="17"/>
                <w:szCs w:val="17"/>
                <w:lang w:val="fr-FR" w:eastAsia="zh-CN"/>
              </w:rPr>
              <w:t>ONU/SG</w:t>
            </w:r>
          </w:p>
        </w:tc>
        <w:tc>
          <w:tcPr>
            <w:tcW w:w="7088" w:type="dxa"/>
            <w:vAlign w:val="center"/>
          </w:tcPr>
          <w:p w14:paraId="03E659CC" w14:textId="77777777" w:rsidR="00B517F1" w:rsidRPr="00BA1CEF" w:rsidRDefault="00B517F1" w:rsidP="0035619B">
            <w:pPr>
              <w:spacing w:after="0" w:line="240" w:lineRule="auto"/>
              <w:rPr>
                <w:rFonts w:eastAsia="SimSun" w:cs="Arial"/>
                <w:sz w:val="17"/>
                <w:szCs w:val="17"/>
                <w:lang w:val="fr-FR" w:eastAsia="zh-CN"/>
              </w:rPr>
            </w:pPr>
            <w:r>
              <w:rPr>
                <w:rFonts w:eastAsia="SimSun" w:cs="Arial"/>
                <w:sz w:val="17"/>
                <w:szCs w:val="17"/>
                <w:lang w:val="fr-FR" w:eastAsia="zh-CN"/>
              </w:rPr>
              <w:t>R</w:t>
            </w:r>
            <w:r w:rsidRPr="00B517F1">
              <w:rPr>
                <w:rFonts w:eastAsia="SimSun" w:cs="Arial"/>
                <w:sz w:val="17"/>
                <w:szCs w:val="17"/>
                <w:lang w:val="fr-FR" w:eastAsia="zh-CN"/>
              </w:rPr>
              <w:t>apport sur la situation du Mal</w:t>
            </w:r>
            <w:r w:rsidR="00FB4389">
              <w:rPr>
                <w:rFonts w:eastAsia="SimSun" w:cs="Arial"/>
                <w:sz w:val="17"/>
                <w:szCs w:val="17"/>
                <w:lang w:val="fr-FR" w:eastAsia="zh-CN"/>
              </w:rPr>
              <w:t>i</w:t>
            </w:r>
          </w:p>
        </w:tc>
      </w:tr>
      <w:tr w:rsidR="00017D06" w:rsidRPr="00BA1CEF" w14:paraId="4DD2D60E" w14:textId="77777777" w:rsidTr="0035619B">
        <w:trPr>
          <w:cantSplit/>
        </w:trPr>
        <w:tc>
          <w:tcPr>
            <w:tcW w:w="710" w:type="dxa"/>
            <w:vAlign w:val="center"/>
          </w:tcPr>
          <w:p w14:paraId="6D3717D3" w14:textId="77777777" w:rsidR="00017D06" w:rsidRPr="00BA1CEF" w:rsidRDefault="00017D06" w:rsidP="0035619B">
            <w:pPr>
              <w:spacing w:after="0" w:line="240" w:lineRule="auto"/>
              <w:rPr>
                <w:rFonts w:eastAsia="SimSun" w:cs="Arial"/>
                <w:sz w:val="17"/>
                <w:szCs w:val="17"/>
                <w:lang w:eastAsia="zh-CN"/>
              </w:rPr>
            </w:pPr>
            <w:r w:rsidRPr="00BA1CEF">
              <w:rPr>
                <w:rFonts w:eastAsia="SimSun" w:cs="Arial"/>
                <w:sz w:val="17"/>
                <w:szCs w:val="17"/>
                <w:lang w:eastAsia="zh-CN"/>
              </w:rPr>
              <w:t xml:space="preserve">2015 </w:t>
            </w:r>
          </w:p>
        </w:tc>
        <w:tc>
          <w:tcPr>
            <w:tcW w:w="1984" w:type="dxa"/>
            <w:vAlign w:val="center"/>
          </w:tcPr>
          <w:p w14:paraId="7599EF49"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PNUD</w:t>
            </w:r>
          </w:p>
        </w:tc>
        <w:tc>
          <w:tcPr>
            <w:tcW w:w="7088" w:type="dxa"/>
            <w:vAlign w:val="center"/>
          </w:tcPr>
          <w:p w14:paraId="2D7DCA9E"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Projet IPE. Analyse économique du développement du secteur minier et des défis de la préservation de l’environnement et des ressources naturelles.</w:t>
            </w:r>
          </w:p>
        </w:tc>
      </w:tr>
      <w:tr w:rsidR="00017D06" w:rsidRPr="00BA1CEF" w14:paraId="62A4E609" w14:textId="77777777" w:rsidTr="0035619B">
        <w:trPr>
          <w:cantSplit/>
        </w:trPr>
        <w:tc>
          <w:tcPr>
            <w:tcW w:w="710" w:type="dxa"/>
            <w:vAlign w:val="center"/>
          </w:tcPr>
          <w:p w14:paraId="2C6ABBF1"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2015</w:t>
            </w:r>
          </w:p>
        </w:tc>
        <w:tc>
          <w:tcPr>
            <w:tcW w:w="1984" w:type="dxa"/>
            <w:vAlign w:val="center"/>
          </w:tcPr>
          <w:p w14:paraId="15B8D2C3"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République Mali</w:t>
            </w:r>
          </w:p>
        </w:tc>
        <w:tc>
          <w:tcPr>
            <w:tcW w:w="7088" w:type="dxa"/>
            <w:vAlign w:val="center"/>
          </w:tcPr>
          <w:p w14:paraId="6E7A3DE1"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Contribution Déterminée au niveau National (CDN). COP 21 de Paris.</w:t>
            </w:r>
          </w:p>
        </w:tc>
      </w:tr>
      <w:tr w:rsidR="00017D06" w:rsidRPr="00BA1CEF" w14:paraId="741C2F7C" w14:textId="77777777" w:rsidTr="0035619B">
        <w:trPr>
          <w:cantSplit/>
        </w:trPr>
        <w:tc>
          <w:tcPr>
            <w:tcW w:w="710" w:type="dxa"/>
            <w:vAlign w:val="center"/>
          </w:tcPr>
          <w:p w14:paraId="6B19C680"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2015</w:t>
            </w:r>
          </w:p>
        </w:tc>
        <w:tc>
          <w:tcPr>
            <w:tcW w:w="1984" w:type="dxa"/>
            <w:vAlign w:val="center"/>
          </w:tcPr>
          <w:p w14:paraId="56E11788"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République du Mali</w:t>
            </w:r>
          </w:p>
        </w:tc>
        <w:tc>
          <w:tcPr>
            <w:tcW w:w="7088" w:type="dxa"/>
            <w:vAlign w:val="center"/>
          </w:tcPr>
          <w:p w14:paraId="1450A024"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Rapport d’évaluation des capacités nationales pour la réduction des risques, la préparation et la réponse aux urgences au Mali</w:t>
            </w:r>
          </w:p>
        </w:tc>
      </w:tr>
      <w:tr w:rsidR="00017D06" w:rsidRPr="00BA1CEF" w14:paraId="3B231ABE" w14:textId="77777777" w:rsidTr="0035619B">
        <w:trPr>
          <w:cantSplit/>
        </w:trPr>
        <w:tc>
          <w:tcPr>
            <w:tcW w:w="710" w:type="dxa"/>
            <w:vAlign w:val="center"/>
          </w:tcPr>
          <w:p w14:paraId="7856A0E7"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2015</w:t>
            </w:r>
          </w:p>
        </w:tc>
        <w:tc>
          <w:tcPr>
            <w:tcW w:w="1984" w:type="dxa"/>
            <w:vAlign w:val="center"/>
          </w:tcPr>
          <w:p w14:paraId="2E67BDAC"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UNDAF</w:t>
            </w:r>
          </w:p>
        </w:tc>
        <w:tc>
          <w:tcPr>
            <w:tcW w:w="7088" w:type="dxa"/>
            <w:vAlign w:val="center"/>
          </w:tcPr>
          <w:p w14:paraId="5CE43DC8"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P L A N C A D R E intégré des Nat ions Unies pour l’aide au développement a u Ma l i 2015-2019</w:t>
            </w:r>
          </w:p>
        </w:tc>
      </w:tr>
      <w:tr w:rsidR="00017D06" w:rsidRPr="00BA1CEF" w14:paraId="5E728B40" w14:textId="77777777" w:rsidTr="0035619B">
        <w:trPr>
          <w:cantSplit/>
        </w:trPr>
        <w:tc>
          <w:tcPr>
            <w:tcW w:w="710" w:type="dxa"/>
            <w:vAlign w:val="center"/>
          </w:tcPr>
          <w:p w14:paraId="4CC5B2E1"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2015</w:t>
            </w:r>
          </w:p>
        </w:tc>
        <w:tc>
          <w:tcPr>
            <w:tcW w:w="1984" w:type="dxa"/>
            <w:vAlign w:val="center"/>
          </w:tcPr>
          <w:p w14:paraId="576C42FE"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UNESCO</w:t>
            </w:r>
          </w:p>
        </w:tc>
        <w:tc>
          <w:tcPr>
            <w:tcW w:w="7088" w:type="dxa"/>
            <w:vAlign w:val="center"/>
          </w:tcPr>
          <w:p w14:paraId="6F5301A2"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L’action de l’UNESCO pour la protection de la culture en temps de crise</w:t>
            </w:r>
          </w:p>
        </w:tc>
      </w:tr>
      <w:tr w:rsidR="004131DC" w:rsidRPr="00BA1CEF" w14:paraId="22BD28BC" w14:textId="77777777" w:rsidTr="0035619B">
        <w:trPr>
          <w:cantSplit/>
        </w:trPr>
        <w:tc>
          <w:tcPr>
            <w:tcW w:w="710" w:type="dxa"/>
            <w:vAlign w:val="center"/>
          </w:tcPr>
          <w:p w14:paraId="6B550990" w14:textId="77777777" w:rsidR="004131DC" w:rsidRPr="00BA1CEF" w:rsidRDefault="004131DC"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2014</w:t>
            </w:r>
          </w:p>
        </w:tc>
        <w:tc>
          <w:tcPr>
            <w:tcW w:w="1984" w:type="dxa"/>
            <w:vAlign w:val="center"/>
          </w:tcPr>
          <w:p w14:paraId="385CC80F" w14:textId="77777777" w:rsidR="004131DC" w:rsidRPr="00BA1CEF" w:rsidRDefault="004131DC"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AGCC</w:t>
            </w:r>
          </w:p>
        </w:tc>
        <w:tc>
          <w:tcPr>
            <w:tcW w:w="7088" w:type="dxa"/>
            <w:vAlign w:val="center"/>
          </w:tcPr>
          <w:p w14:paraId="5A73ACE8" w14:textId="77777777" w:rsidR="004131DC" w:rsidRPr="00BA1CEF" w:rsidRDefault="004131DC" w:rsidP="004131DC">
            <w:pPr>
              <w:spacing w:after="0" w:line="240" w:lineRule="auto"/>
              <w:rPr>
                <w:rFonts w:eastAsia="SimSun" w:cs="Arial"/>
                <w:sz w:val="17"/>
                <w:szCs w:val="17"/>
                <w:lang w:val="fr-FR" w:eastAsia="zh-CN"/>
              </w:rPr>
            </w:pPr>
            <w:r w:rsidRPr="00BA1CEF">
              <w:rPr>
                <w:rFonts w:eastAsia="SimSun" w:cs="Arial"/>
                <w:sz w:val="17"/>
                <w:szCs w:val="17"/>
                <w:lang w:val="fr-FR" w:eastAsia="zh-CN"/>
              </w:rPr>
              <w:t>Mission d’inventaire forestier des régions de Kayes, Koulikoro, Sikasso et Ségou, et mise au point d’une méthodologie d’inventaire forestier communal au Mali. Tome 1 et 2</w:t>
            </w:r>
          </w:p>
        </w:tc>
      </w:tr>
      <w:tr w:rsidR="00017D06" w:rsidRPr="00BA1CEF" w14:paraId="5A1D27F6" w14:textId="77777777" w:rsidTr="0035619B">
        <w:trPr>
          <w:cantSplit/>
        </w:trPr>
        <w:tc>
          <w:tcPr>
            <w:tcW w:w="710" w:type="dxa"/>
            <w:vAlign w:val="center"/>
          </w:tcPr>
          <w:p w14:paraId="4DD06FB7"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2014</w:t>
            </w:r>
          </w:p>
        </w:tc>
        <w:tc>
          <w:tcPr>
            <w:tcW w:w="1984" w:type="dxa"/>
            <w:vAlign w:val="center"/>
          </w:tcPr>
          <w:p w14:paraId="505A9AE4"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BAD</w:t>
            </w:r>
          </w:p>
        </w:tc>
        <w:tc>
          <w:tcPr>
            <w:tcW w:w="7088" w:type="dxa"/>
            <w:vAlign w:val="center"/>
          </w:tcPr>
          <w:p w14:paraId="3EF50DBF"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Mali- Note sur le secteur des transports</w:t>
            </w:r>
          </w:p>
        </w:tc>
      </w:tr>
      <w:tr w:rsidR="00FC2CDC" w:rsidRPr="00BA1CEF" w14:paraId="398C647F" w14:textId="77777777" w:rsidTr="0035619B">
        <w:trPr>
          <w:cantSplit/>
        </w:trPr>
        <w:tc>
          <w:tcPr>
            <w:tcW w:w="710" w:type="dxa"/>
            <w:vAlign w:val="center"/>
          </w:tcPr>
          <w:p w14:paraId="2B92DE76" w14:textId="77777777" w:rsidR="00FC2CDC" w:rsidRPr="00BA1CEF" w:rsidRDefault="00FC2CDC"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2014</w:t>
            </w:r>
          </w:p>
        </w:tc>
        <w:tc>
          <w:tcPr>
            <w:tcW w:w="1984" w:type="dxa"/>
            <w:vAlign w:val="center"/>
          </w:tcPr>
          <w:p w14:paraId="3C6D2365" w14:textId="77777777" w:rsidR="00FC2CDC" w:rsidRPr="00BA1CEF" w:rsidRDefault="00FC2CDC"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Gouv./District Bamako/AFD</w:t>
            </w:r>
          </w:p>
        </w:tc>
        <w:tc>
          <w:tcPr>
            <w:tcW w:w="7088" w:type="dxa"/>
            <w:vAlign w:val="center"/>
          </w:tcPr>
          <w:p w14:paraId="41F39AF4" w14:textId="77777777" w:rsidR="00FC2CDC" w:rsidRPr="00BA1CEF" w:rsidRDefault="00FC2CDC" w:rsidP="00FA52F0">
            <w:pPr>
              <w:spacing w:after="0" w:line="240" w:lineRule="auto"/>
              <w:rPr>
                <w:rFonts w:eastAsia="SimSun" w:cs="Arial"/>
                <w:sz w:val="17"/>
                <w:szCs w:val="17"/>
                <w:lang w:val="fr-FR" w:eastAsia="zh-CN"/>
              </w:rPr>
            </w:pPr>
            <w:r w:rsidRPr="00BA1CEF">
              <w:rPr>
                <w:rFonts w:eastAsia="SimSun" w:cs="Arial"/>
                <w:sz w:val="17"/>
                <w:szCs w:val="17"/>
                <w:lang w:val="fr-FR" w:eastAsia="zh-CN"/>
              </w:rPr>
              <w:t>Atelier international de maîtrise d’</w:t>
            </w:r>
            <w:r w:rsidR="00FA52F0" w:rsidRPr="00BA1CEF">
              <w:rPr>
                <w:rFonts w:eastAsia="SimSun" w:cs="Arial"/>
                <w:sz w:val="17"/>
                <w:szCs w:val="17"/>
                <w:lang w:val="fr-FR" w:eastAsia="zh-CN"/>
              </w:rPr>
              <w:t xml:space="preserve">œuvre </w:t>
            </w:r>
            <w:r w:rsidRPr="00BA1CEF">
              <w:rPr>
                <w:rFonts w:eastAsia="SimSun" w:cs="Arial"/>
                <w:sz w:val="17"/>
                <w:szCs w:val="17"/>
                <w:lang w:val="fr-FR" w:eastAsia="zh-CN"/>
              </w:rPr>
              <w:t>urbaine 12-20 juin 2014.Objectif: une feuille de route opérationnelle avec l’identification des principaux projets leviers pour réaliser la vision Bamako 2030.</w:t>
            </w:r>
          </w:p>
        </w:tc>
      </w:tr>
      <w:tr w:rsidR="00017D06" w:rsidRPr="00BA1CEF" w14:paraId="2F3B509A" w14:textId="77777777" w:rsidTr="0035619B">
        <w:trPr>
          <w:cantSplit/>
        </w:trPr>
        <w:tc>
          <w:tcPr>
            <w:tcW w:w="710" w:type="dxa"/>
            <w:vAlign w:val="center"/>
          </w:tcPr>
          <w:p w14:paraId="59F83E84"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2014</w:t>
            </w:r>
          </w:p>
        </w:tc>
        <w:tc>
          <w:tcPr>
            <w:tcW w:w="1984" w:type="dxa"/>
            <w:vAlign w:val="center"/>
          </w:tcPr>
          <w:p w14:paraId="23833AC0"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Coopération canadienne</w:t>
            </w:r>
          </w:p>
        </w:tc>
        <w:tc>
          <w:tcPr>
            <w:tcW w:w="7088" w:type="dxa"/>
            <w:vAlign w:val="center"/>
          </w:tcPr>
          <w:p w14:paraId="7C71A7B2"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Rapport d’évaluation environnementale stratégique. Stratégie de développement pour le Mali, 2014-2019</w:t>
            </w:r>
          </w:p>
        </w:tc>
      </w:tr>
      <w:tr w:rsidR="00017D06" w:rsidRPr="00BA1CEF" w14:paraId="4E88628D" w14:textId="77777777" w:rsidTr="0035619B">
        <w:trPr>
          <w:cantSplit/>
        </w:trPr>
        <w:tc>
          <w:tcPr>
            <w:tcW w:w="710" w:type="dxa"/>
            <w:vAlign w:val="center"/>
          </w:tcPr>
          <w:p w14:paraId="118FDE05"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2014</w:t>
            </w:r>
          </w:p>
        </w:tc>
        <w:tc>
          <w:tcPr>
            <w:tcW w:w="1984" w:type="dxa"/>
            <w:vAlign w:val="center"/>
          </w:tcPr>
          <w:p w14:paraId="57451086"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CPS SDR</w:t>
            </w:r>
          </w:p>
        </w:tc>
        <w:tc>
          <w:tcPr>
            <w:tcW w:w="7088" w:type="dxa"/>
            <w:vAlign w:val="center"/>
          </w:tcPr>
          <w:p w14:paraId="0F97D30D"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Annuaire Statistique Secteur Développement Rural 2014</w:t>
            </w:r>
          </w:p>
        </w:tc>
      </w:tr>
      <w:tr w:rsidR="00017D06" w:rsidRPr="00BA1CEF" w14:paraId="7D9A9E92" w14:textId="77777777" w:rsidTr="0035619B">
        <w:trPr>
          <w:cantSplit/>
        </w:trPr>
        <w:tc>
          <w:tcPr>
            <w:tcW w:w="710" w:type="dxa"/>
            <w:vAlign w:val="center"/>
          </w:tcPr>
          <w:p w14:paraId="6139AA57"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2014</w:t>
            </w:r>
          </w:p>
        </w:tc>
        <w:tc>
          <w:tcPr>
            <w:tcW w:w="1984" w:type="dxa"/>
            <w:vAlign w:val="center"/>
          </w:tcPr>
          <w:p w14:paraId="7C48B3C1"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MDR</w:t>
            </w:r>
          </w:p>
        </w:tc>
        <w:tc>
          <w:tcPr>
            <w:tcW w:w="7088" w:type="dxa"/>
            <w:vAlign w:val="center"/>
          </w:tcPr>
          <w:p w14:paraId="0C24DF63"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Plan National d’Investissement dans le secteur agricole</w:t>
            </w:r>
          </w:p>
        </w:tc>
      </w:tr>
      <w:tr w:rsidR="00017D06" w:rsidRPr="00BA1CEF" w14:paraId="7CAE053F" w14:textId="77777777" w:rsidTr="0035619B">
        <w:trPr>
          <w:cantSplit/>
        </w:trPr>
        <w:tc>
          <w:tcPr>
            <w:tcW w:w="710" w:type="dxa"/>
            <w:vAlign w:val="center"/>
          </w:tcPr>
          <w:p w14:paraId="2FC23D6D"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2014</w:t>
            </w:r>
          </w:p>
        </w:tc>
        <w:tc>
          <w:tcPr>
            <w:tcW w:w="1984" w:type="dxa"/>
            <w:vAlign w:val="center"/>
          </w:tcPr>
          <w:p w14:paraId="49BB5823"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UE</w:t>
            </w:r>
          </w:p>
        </w:tc>
        <w:tc>
          <w:tcPr>
            <w:tcW w:w="7088" w:type="dxa"/>
            <w:vAlign w:val="center"/>
          </w:tcPr>
          <w:p w14:paraId="333112E1"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Union Européenne – Mali. Programme Indicatif National 2014 - 2020</w:t>
            </w:r>
          </w:p>
        </w:tc>
      </w:tr>
      <w:tr w:rsidR="00017D06" w:rsidRPr="00BA1CEF" w14:paraId="5CD6AA90" w14:textId="77777777" w:rsidTr="0035619B">
        <w:trPr>
          <w:cantSplit/>
        </w:trPr>
        <w:tc>
          <w:tcPr>
            <w:tcW w:w="710" w:type="dxa"/>
            <w:vAlign w:val="center"/>
          </w:tcPr>
          <w:p w14:paraId="3B0C34FA"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2014</w:t>
            </w:r>
          </w:p>
        </w:tc>
        <w:tc>
          <w:tcPr>
            <w:tcW w:w="1984" w:type="dxa"/>
            <w:vAlign w:val="center"/>
          </w:tcPr>
          <w:p w14:paraId="5E5934A8"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DGPC/UNICEF/REACH</w:t>
            </w:r>
          </w:p>
        </w:tc>
        <w:tc>
          <w:tcPr>
            <w:tcW w:w="7088" w:type="dxa"/>
            <w:vAlign w:val="center"/>
          </w:tcPr>
          <w:p w14:paraId="1F460912"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Etude des inondations au Mali 2006-2013</w:t>
            </w:r>
          </w:p>
        </w:tc>
      </w:tr>
      <w:tr w:rsidR="00017D06" w:rsidRPr="00BA1CEF" w14:paraId="651F7CBF" w14:textId="77777777" w:rsidTr="0035619B">
        <w:trPr>
          <w:cantSplit/>
        </w:trPr>
        <w:tc>
          <w:tcPr>
            <w:tcW w:w="710" w:type="dxa"/>
            <w:vAlign w:val="center"/>
          </w:tcPr>
          <w:p w14:paraId="325A4AE7"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2014</w:t>
            </w:r>
          </w:p>
        </w:tc>
        <w:tc>
          <w:tcPr>
            <w:tcW w:w="1984" w:type="dxa"/>
            <w:vAlign w:val="center"/>
          </w:tcPr>
          <w:p w14:paraId="4CF84BAC"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DNEF</w:t>
            </w:r>
          </w:p>
        </w:tc>
        <w:tc>
          <w:tcPr>
            <w:tcW w:w="7088" w:type="dxa"/>
            <w:vAlign w:val="center"/>
          </w:tcPr>
          <w:p w14:paraId="6C7BD176"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Cinquième rapport national sur la mise en œuvre de la convention sur la diversité biologique</w:t>
            </w:r>
          </w:p>
        </w:tc>
      </w:tr>
      <w:tr w:rsidR="00017D06" w:rsidRPr="00BA1CEF" w14:paraId="52DA9F5B" w14:textId="77777777" w:rsidTr="0035619B">
        <w:trPr>
          <w:cantSplit/>
        </w:trPr>
        <w:tc>
          <w:tcPr>
            <w:tcW w:w="710" w:type="dxa"/>
            <w:vAlign w:val="center"/>
          </w:tcPr>
          <w:p w14:paraId="0401A659"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2014</w:t>
            </w:r>
          </w:p>
        </w:tc>
        <w:tc>
          <w:tcPr>
            <w:tcW w:w="1984" w:type="dxa"/>
            <w:vAlign w:val="center"/>
          </w:tcPr>
          <w:p w14:paraId="4E575A94"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FISONG</w:t>
            </w:r>
          </w:p>
        </w:tc>
        <w:tc>
          <w:tcPr>
            <w:tcW w:w="7088" w:type="dxa"/>
            <w:vAlign w:val="center"/>
          </w:tcPr>
          <w:p w14:paraId="083ACD17"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Conservation des sols et sécurité alimentaire : une occupation commune pour les agricultures paysannes du Mali et du Maroc. Synthèse des acquis du projet (Projet « AC Maroc – Mali » co-financé par l’AFD « Aménagement de terroirs et Agriculture de Conservation ».</w:t>
            </w:r>
          </w:p>
        </w:tc>
      </w:tr>
      <w:tr w:rsidR="00017D06" w:rsidRPr="00BA1CEF" w14:paraId="263D9141" w14:textId="77777777" w:rsidTr="0035619B">
        <w:trPr>
          <w:cantSplit/>
        </w:trPr>
        <w:tc>
          <w:tcPr>
            <w:tcW w:w="710" w:type="dxa"/>
            <w:vAlign w:val="center"/>
          </w:tcPr>
          <w:p w14:paraId="28204226"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2014</w:t>
            </w:r>
          </w:p>
        </w:tc>
        <w:tc>
          <w:tcPr>
            <w:tcW w:w="1984" w:type="dxa"/>
            <w:vAlign w:val="center"/>
          </w:tcPr>
          <w:p w14:paraId="78966858"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HELIO International</w:t>
            </w:r>
          </w:p>
        </w:tc>
        <w:tc>
          <w:tcPr>
            <w:tcW w:w="7088" w:type="dxa"/>
            <w:vAlign w:val="center"/>
          </w:tcPr>
          <w:p w14:paraId="3D2DEF2E"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Traitement de l’information pour des politiques énergétiques favorisant l’écodéveloppement (TIPEE)</w:t>
            </w:r>
          </w:p>
        </w:tc>
      </w:tr>
      <w:tr w:rsidR="00017D06" w:rsidRPr="00BA1CEF" w14:paraId="33C48056" w14:textId="77777777" w:rsidTr="0035619B">
        <w:trPr>
          <w:cantSplit/>
        </w:trPr>
        <w:tc>
          <w:tcPr>
            <w:tcW w:w="710" w:type="dxa"/>
            <w:vAlign w:val="center"/>
          </w:tcPr>
          <w:p w14:paraId="22FA206A"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2014</w:t>
            </w:r>
          </w:p>
        </w:tc>
        <w:tc>
          <w:tcPr>
            <w:tcW w:w="1984" w:type="dxa"/>
            <w:vAlign w:val="center"/>
          </w:tcPr>
          <w:p w14:paraId="70BA4604"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IUCN</w:t>
            </w:r>
          </w:p>
        </w:tc>
        <w:tc>
          <w:tcPr>
            <w:tcW w:w="7088" w:type="dxa"/>
            <w:vAlign w:val="center"/>
          </w:tcPr>
          <w:p w14:paraId="351CFA8B"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Capitalisation des résultats et leçons apprises de la mise en œuvre du projet de Réhabilitation des Ecosystèmes Dégradés du Delta Intérieur du Niger (REDDIN)</w:t>
            </w:r>
          </w:p>
        </w:tc>
      </w:tr>
      <w:tr w:rsidR="00017D06" w:rsidRPr="00BA1CEF" w14:paraId="3923AEE9" w14:textId="77777777" w:rsidTr="0035619B">
        <w:trPr>
          <w:cantSplit/>
        </w:trPr>
        <w:tc>
          <w:tcPr>
            <w:tcW w:w="710" w:type="dxa"/>
            <w:vAlign w:val="center"/>
          </w:tcPr>
          <w:p w14:paraId="147C34EB"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2014</w:t>
            </w:r>
          </w:p>
        </w:tc>
        <w:tc>
          <w:tcPr>
            <w:tcW w:w="1984" w:type="dxa"/>
            <w:vAlign w:val="center"/>
          </w:tcPr>
          <w:p w14:paraId="7C06CE65"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MPP/INSTAT</w:t>
            </w:r>
          </w:p>
        </w:tc>
        <w:tc>
          <w:tcPr>
            <w:tcW w:w="7088" w:type="dxa"/>
            <w:vAlign w:val="center"/>
          </w:tcPr>
          <w:p w14:paraId="2C28ED48"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Rapport d’étude Elaboration d’une méthodologie de collecte et la mise en place d’un système d’information pour l’environnement</w:t>
            </w:r>
          </w:p>
        </w:tc>
      </w:tr>
      <w:tr w:rsidR="00017D06" w:rsidRPr="00BA1CEF" w14:paraId="50CE0A82" w14:textId="77777777" w:rsidTr="0035619B">
        <w:trPr>
          <w:cantSplit/>
        </w:trPr>
        <w:tc>
          <w:tcPr>
            <w:tcW w:w="710" w:type="dxa"/>
            <w:vAlign w:val="center"/>
          </w:tcPr>
          <w:p w14:paraId="28F9ECA0"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2013</w:t>
            </w:r>
          </w:p>
        </w:tc>
        <w:tc>
          <w:tcPr>
            <w:tcW w:w="1984" w:type="dxa"/>
            <w:vAlign w:val="center"/>
          </w:tcPr>
          <w:p w14:paraId="16F770A6"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ERSAP (PNUD/FEM)</w:t>
            </w:r>
          </w:p>
        </w:tc>
        <w:tc>
          <w:tcPr>
            <w:tcW w:w="7088" w:type="dxa"/>
            <w:vAlign w:val="center"/>
          </w:tcPr>
          <w:p w14:paraId="2DA93E76"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Document du Projet : Elargissement du Réseau du Système des Aires Protégées</w:t>
            </w:r>
          </w:p>
        </w:tc>
      </w:tr>
      <w:tr w:rsidR="00017D06" w:rsidRPr="00BA1CEF" w14:paraId="366A06CE" w14:textId="77777777" w:rsidTr="0035619B">
        <w:trPr>
          <w:cantSplit/>
        </w:trPr>
        <w:tc>
          <w:tcPr>
            <w:tcW w:w="710" w:type="dxa"/>
            <w:vAlign w:val="center"/>
          </w:tcPr>
          <w:p w14:paraId="0B760EAC"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2013</w:t>
            </w:r>
          </w:p>
        </w:tc>
        <w:tc>
          <w:tcPr>
            <w:tcW w:w="1984" w:type="dxa"/>
            <w:vAlign w:val="center"/>
          </w:tcPr>
          <w:p w14:paraId="4B1D901C"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FAO</w:t>
            </w:r>
          </w:p>
        </w:tc>
        <w:tc>
          <w:tcPr>
            <w:tcW w:w="7088" w:type="dxa"/>
            <w:vAlign w:val="center"/>
          </w:tcPr>
          <w:p w14:paraId="482E61C8" w14:textId="77777777" w:rsidR="00017D06" w:rsidRPr="00BA1CEF" w:rsidRDefault="00017D06" w:rsidP="0035619B">
            <w:pPr>
              <w:spacing w:after="0" w:line="240" w:lineRule="auto"/>
              <w:rPr>
                <w:sz w:val="17"/>
                <w:szCs w:val="17"/>
              </w:rPr>
            </w:pPr>
            <w:r w:rsidRPr="00BA1CEF">
              <w:rPr>
                <w:sz w:val="17"/>
                <w:szCs w:val="17"/>
              </w:rPr>
              <w:t>Analyse des incitations et pénalisations pour le mil et le sorgho au Mali</w:t>
            </w:r>
          </w:p>
        </w:tc>
      </w:tr>
      <w:tr w:rsidR="00017D06" w:rsidRPr="00BA1CEF" w14:paraId="4FA57794" w14:textId="77777777" w:rsidTr="0035619B">
        <w:trPr>
          <w:cantSplit/>
        </w:trPr>
        <w:tc>
          <w:tcPr>
            <w:tcW w:w="710" w:type="dxa"/>
            <w:vAlign w:val="center"/>
          </w:tcPr>
          <w:p w14:paraId="1C93DBD0"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2013</w:t>
            </w:r>
          </w:p>
        </w:tc>
        <w:tc>
          <w:tcPr>
            <w:tcW w:w="1984" w:type="dxa"/>
            <w:vAlign w:val="center"/>
          </w:tcPr>
          <w:p w14:paraId="6F647F45"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FIDA</w:t>
            </w:r>
          </w:p>
        </w:tc>
        <w:tc>
          <w:tcPr>
            <w:tcW w:w="7088" w:type="dxa"/>
            <w:vAlign w:val="center"/>
          </w:tcPr>
          <w:p w14:paraId="7D73698E"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Rapport de conception du projet visant à améliorer la production agricole au Mali-Financement provenant du Programme d’Adaptation de l’agriculture paysanne (PAPAM/ASAP).</w:t>
            </w:r>
          </w:p>
        </w:tc>
      </w:tr>
      <w:tr w:rsidR="00017D06" w:rsidRPr="00BA1CEF" w14:paraId="612CDAF3" w14:textId="77777777" w:rsidTr="0035619B">
        <w:trPr>
          <w:cantSplit/>
        </w:trPr>
        <w:tc>
          <w:tcPr>
            <w:tcW w:w="710" w:type="dxa"/>
            <w:vAlign w:val="center"/>
          </w:tcPr>
          <w:p w14:paraId="19E94082"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2013</w:t>
            </w:r>
          </w:p>
        </w:tc>
        <w:tc>
          <w:tcPr>
            <w:tcW w:w="1984" w:type="dxa"/>
            <w:vAlign w:val="center"/>
          </w:tcPr>
          <w:p w14:paraId="245C899B"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FMI</w:t>
            </w:r>
          </w:p>
        </w:tc>
        <w:tc>
          <w:tcPr>
            <w:tcW w:w="7088" w:type="dxa"/>
            <w:vAlign w:val="center"/>
          </w:tcPr>
          <w:p w14:paraId="0D17B2A3"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Rapport du FMI N° 13/111 (mai 2013)</w:t>
            </w:r>
          </w:p>
        </w:tc>
      </w:tr>
      <w:tr w:rsidR="00017D06" w:rsidRPr="00BA1CEF" w14:paraId="60698F46" w14:textId="77777777" w:rsidTr="0035619B">
        <w:trPr>
          <w:cantSplit/>
        </w:trPr>
        <w:tc>
          <w:tcPr>
            <w:tcW w:w="710" w:type="dxa"/>
            <w:tcBorders>
              <w:top w:val="single" w:sz="4" w:space="0" w:color="auto"/>
              <w:left w:val="single" w:sz="4" w:space="0" w:color="auto"/>
              <w:bottom w:val="single" w:sz="4" w:space="0" w:color="auto"/>
              <w:right w:val="single" w:sz="4" w:space="0" w:color="auto"/>
            </w:tcBorders>
            <w:vAlign w:val="center"/>
          </w:tcPr>
          <w:p w14:paraId="10D87DEA"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lastRenderedPageBreak/>
              <w:t>2013</w:t>
            </w:r>
          </w:p>
        </w:tc>
        <w:tc>
          <w:tcPr>
            <w:tcW w:w="1984" w:type="dxa"/>
            <w:tcBorders>
              <w:top w:val="single" w:sz="4" w:space="0" w:color="auto"/>
              <w:left w:val="single" w:sz="4" w:space="0" w:color="auto"/>
              <w:bottom w:val="single" w:sz="4" w:space="0" w:color="auto"/>
              <w:right w:val="single" w:sz="4" w:space="0" w:color="auto"/>
            </w:tcBorders>
            <w:vAlign w:val="center"/>
          </w:tcPr>
          <w:p w14:paraId="5C63211E"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ILWAC (DGPC/AEDD/OSS)</w:t>
            </w:r>
          </w:p>
        </w:tc>
        <w:tc>
          <w:tcPr>
            <w:tcW w:w="7088" w:type="dxa"/>
            <w:tcBorders>
              <w:top w:val="single" w:sz="4" w:space="0" w:color="auto"/>
              <w:left w:val="single" w:sz="4" w:space="0" w:color="auto"/>
              <w:bottom w:val="single" w:sz="4" w:space="0" w:color="auto"/>
              <w:right w:val="single" w:sz="4" w:space="0" w:color="auto"/>
            </w:tcBorders>
            <w:vAlign w:val="center"/>
          </w:tcPr>
          <w:p w14:paraId="61FA750E"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Gestion intégrée de la terre et de l’eau pour l’adaptation à la variabilité et au changement climatique au Mali. Rapport final</w:t>
            </w:r>
          </w:p>
        </w:tc>
      </w:tr>
      <w:tr w:rsidR="008962D8" w:rsidRPr="009B4A49" w14:paraId="63835FDE" w14:textId="77777777" w:rsidTr="0035619B">
        <w:trPr>
          <w:cantSplit/>
        </w:trPr>
        <w:tc>
          <w:tcPr>
            <w:tcW w:w="710" w:type="dxa"/>
            <w:tcBorders>
              <w:top w:val="single" w:sz="4" w:space="0" w:color="auto"/>
              <w:left w:val="single" w:sz="4" w:space="0" w:color="auto"/>
              <w:bottom w:val="single" w:sz="4" w:space="0" w:color="auto"/>
              <w:right w:val="single" w:sz="4" w:space="0" w:color="auto"/>
            </w:tcBorders>
            <w:vAlign w:val="center"/>
          </w:tcPr>
          <w:p w14:paraId="4CAA4D91" w14:textId="77777777" w:rsidR="008962D8" w:rsidRPr="009B4A49" w:rsidRDefault="008962D8" w:rsidP="0035619B">
            <w:pPr>
              <w:spacing w:after="0" w:line="240" w:lineRule="auto"/>
              <w:rPr>
                <w:rFonts w:eastAsia="SimSun" w:cs="Arial"/>
                <w:sz w:val="17"/>
                <w:szCs w:val="17"/>
                <w:lang w:val="fr-FR" w:eastAsia="zh-CN"/>
              </w:rPr>
            </w:pPr>
            <w:r w:rsidRPr="009B4A49">
              <w:rPr>
                <w:rFonts w:eastAsia="SimSun" w:cs="Arial"/>
                <w:sz w:val="17"/>
                <w:szCs w:val="17"/>
                <w:lang w:val="fr-FR" w:eastAsia="zh-CN"/>
              </w:rPr>
              <w:t>2013</w:t>
            </w:r>
          </w:p>
        </w:tc>
        <w:tc>
          <w:tcPr>
            <w:tcW w:w="1984" w:type="dxa"/>
            <w:tcBorders>
              <w:top w:val="single" w:sz="4" w:space="0" w:color="auto"/>
              <w:left w:val="single" w:sz="4" w:space="0" w:color="auto"/>
              <w:bottom w:val="single" w:sz="4" w:space="0" w:color="auto"/>
              <w:right w:val="single" w:sz="4" w:space="0" w:color="auto"/>
            </w:tcBorders>
            <w:vAlign w:val="center"/>
          </w:tcPr>
          <w:p w14:paraId="3C6E850C" w14:textId="77777777" w:rsidR="008962D8" w:rsidRPr="009B4A49" w:rsidRDefault="008962D8" w:rsidP="0035619B">
            <w:pPr>
              <w:spacing w:after="0" w:line="240" w:lineRule="auto"/>
              <w:rPr>
                <w:rFonts w:eastAsia="SimSun" w:cs="Arial"/>
                <w:sz w:val="17"/>
                <w:szCs w:val="17"/>
                <w:lang w:val="fr-FR" w:eastAsia="zh-CN"/>
              </w:rPr>
            </w:pPr>
            <w:r w:rsidRPr="009B4A49">
              <w:rPr>
                <w:rFonts w:eastAsia="SimSun" w:cs="Arial"/>
                <w:sz w:val="17"/>
                <w:szCs w:val="17"/>
                <w:lang w:val="fr-FR" w:eastAsia="zh-CN"/>
              </w:rPr>
              <w:t>INSTAT</w:t>
            </w:r>
          </w:p>
        </w:tc>
        <w:tc>
          <w:tcPr>
            <w:tcW w:w="7088" w:type="dxa"/>
            <w:tcBorders>
              <w:top w:val="single" w:sz="4" w:space="0" w:color="auto"/>
              <w:left w:val="single" w:sz="4" w:space="0" w:color="auto"/>
              <w:bottom w:val="single" w:sz="4" w:space="0" w:color="auto"/>
              <w:right w:val="single" w:sz="4" w:space="0" w:color="auto"/>
            </w:tcBorders>
            <w:vAlign w:val="center"/>
          </w:tcPr>
          <w:p w14:paraId="76F3013C" w14:textId="77777777" w:rsidR="008962D8" w:rsidRPr="009B4A49" w:rsidRDefault="008962D8" w:rsidP="0035619B">
            <w:pPr>
              <w:spacing w:after="0" w:line="240" w:lineRule="auto"/>
              <w:rPr>
                <w:rFonts w:eastAsia="SimSun" w:cs="Arial"/>
                <w:sz w:val="17"/>
                <w:szCs w:val="17"/>
                <w:lang w:val="fr-FR" w:eastAsia="zh-CN"/>
              </w:rPr>
            </w:pPr>
            <w:r w:rsidRPr="009B4A49">
              <w:rPr>
                <w:rFonts w:eastAsia="SimSun" w:cs="Arial"/>
                <w:sz w:val="17"/>
                <w:szCs w:val="17"/>
                <w:lang w:val="fr-FR" w:eastAsia="zh-CN"/>
              </w:rPr>
              <w:t xml:space="preserve">Enquête nutritionnelle anthropométrique et de mortalité rétrospective </w:t>
            </w:r>
          </w:p>
        </w:tc>
      </w:tr>
      <w:tr w:rsidR="00017D06" w:rsidRPr="00BA1CEF" w14:paraId="470548AF" w14:textId="77777777" w:rsidTr="0035619B">
        <w:trPr>
          <w:cantSplit/>
        </w:trPr>
        <w:tc>
          <w:tcPr>
            <w:tcW w:w="710" w:type="dxa"/>
            <w:tcBorders>
              <w:top w:val="single" w:sz="4" w:space="0" w:color="auto"/>
              <w:left w:val="single" w:sz="4" w:space="0" w:color="auto"/>
              <w:bottom w:val="single" w:sz="4" w:space="0" w:color="auto"/>
              <w:right w:val="single" w:sz="4" w:space="0" w:color="auto"/>
            </w:tcBorders>
            <w:vAlign w:val="center"/>
          </w:tcPr>
          <w:p w14:paraId="4201B844"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2013</w:t>
            </w:r>
          </w:p>
        </w:tc>
        <w:tc>
          <w:tcPr>
            <w:tcW w:w="1984" w:type="dxa"/>
            <w:tcBorders>
              <w:top w:val="single" w:sz="4" w:space="0" w:color="auto"/>
              <w:left w:val="single" w:sz="4" w:space="0" w:color="auto"/>
              <w:bottom w:val="single" w:sz="4" w:space="0" w:color="auto"/>
              <w:right w:val="single" w:sz="4" w:space="0" w:color="auto"/>
            </w:tcBorders>
            <w:vAlign w:val="center"/>
          </w:tcPr>
          <w:p w14:paraId="5706E2C4"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ITIE</w:t>
            </w:r>
          </w:p>
        </w:tc>
        <w:tc>
          <w:tcPr>
            <w:tcW w:w="7088" w:type="dxa"/>
            <w:tcBorders>
              <w:top w:val="single" w:sz="4" w:space="0" w:color="auto"/>
              <w:left w:val="single" w:sz="4" w:space="0" w:color="auto"/>
              <w:bottom w:val="single" w:sz="4" w:space="0" w:color="auto"/>
              <w:right w:val="single" w:sz="4" w:space="0" w:color="auto"/>
            </w:tcBorders>
            <w:vAlign w:val="center"/>
          </w:tcPr>
          <w:p w14:paraId="3E365FC8"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Eude de cadrage pour l’année 2011</w:t>
            </w:r>
          </w:p>
        </w:tc>
      </w:tr>
      <w:tr w:rsidR="006A6C0A" w:rsidRPr="00BA1CEF" w14:paraId="2B055849" w14:textId="77777777" w:rsidTr="0035619B">
        <w:trPr>
          <w:cantSplit/>
        </w:trPr>
        <w:tc>
          <w:tcPr>
            <w:tcW w:w="710" w:type="dxa"/>
            <w:tcBorders>
              <w:top w:val="single" w:sz="4" w:space="0" w:color="auto"/>
              <w:left w:val="single" w:sz="4" w:space="0" w:color="auto"/>
              <w:bottom w:val="single" w:sz="4" w:space="0" w:color="auto"/>
              <w:right w:val="single" w:sz="4" w:space="0" w:color="auto"/>
            </w:tcBorders>
            <w:vAlign w:val="center"/>
          </w:tcPr>
          <w:p w14:paraId="30C230ED" w14:textId="77777777" w:rsidR="006A6C0A" w:rsidRPr="00BA1CEF" w:rsidRDefault="006A6C0A"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2013</w:t>
            </w:r>
          </w:p>
        </w:tc>
        <w:tc>
          <w:tcPr>
            <w:tcW w:w="1984" w:type="dxa"/>
            <w:tcBorders>
              <w:top w:val="single" w:sz="4" w:space="0" w:color="auto"/>
              <w:left w:val="single" w:sz="4" w:space="0" w:color="auto"/>
              <w:bottom w:val="single" w:sz="4" w:space="0" w:color="auto"/>
              <w:right w:val="single" w:sz="4" w:space="0" w:color="auto"/>
            </w:tcBorders>
            <w:vAlign w:val="center"/>
          </w:tcPr>
          <w:p w14:paraId="24DBB54A" w14:textId="77777777" w:rsidR="006A6C0A" w:rsidRPr="00BA1CEF" w:rsidRDefault="006A6C0A"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IRD</w:t>
            </w:r>
          </w:p>
        </w:tc>
        <w:tc>
          <w:tcPr>
            <w:tcW w:w="7088" w:type="dxa"/>
            <w:tcBorders>
              <w:top w:val="single" w:sz="4" w:space="0" w:color="auto"/>
              <w:left w:val="single" w:sz="4" w:space="0" w:color="auto"/>
              <w:bottom w:val="single" w:sz="4" w:space="0" w:color="auto"/>
              <w:right w:val="single" w:sz="4" w:space="0" w:color="auto"/>
            </w:tcBorders>
            <w:vAlign w:val="center"/>
          </w:tcPr>
          <w:p w14:paraId="1BC68C69" w14:textId="77777777" w:rsidR="006A6C0A" w:rsidRPr="00BA1CEF" w:rsidRDefault="006A6C0A"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Quelle « place » pour des pêcheurs urbains ? Le cas de Bamako (Mali)</w:t>
            </w:r>
          </w:p>
        </w:tc>
      </w:tr>
      <w:tr w:rsidR="00017D06" w:rsidRPr="00BA1CEF" w14:paraId="6CA231DD" w14:textId="77777777" w:rsidTr="0035619B">
        <w:trPr>
          <w:cantSplit/>
        </w:trPr>
        <w:tc>
          <w:tcPr>
            <w:tcW w:w="710" w:type="dxa"/>
            <w:vAlign w:val="center"/>
          </w:tcPr>
          <w:p w14:paraId="0718AE95"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2013</w:t>
            </w:r>
          </w:p>
        </w:tc>
        <w:tc>
          <w:tcPr>
            <w:tcW w:w="1984" w:type="dxa"/>
            <w:vAlign w:val="center"/>
          </w:tcPr>
          <w:p w14:paraId="58EE373C"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Louis Berger (UE)</w:t>
            </w:r>
          </w:p>
        </w:tc>
        <w:tc>
          <w:tcPr>
            <w:tcW w:w="7088" w:type="dxa"/>
            <w:vAlign w:val="center"/>
          </w:tcPr>
          <w:p w14:paraId="45C9DFF9"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Etude relative à la politique nationale des transports et infrastructures de transport au Mali</w:t>
            </w:r>
          </w:p>
        </w:tc>
      </w:tr>
      <w:tr w:rsidR="00017D06" w:rsidRPr="00BA1CEF" w14:paraId="030E994C" w14:textId="77777777" w:rsidTr="0035619B">
        <w:trPr>
          <w:cantSplit/>
        </w:trPr>
        <w:tc>
          <w:tcPr>
            <w:tcW w:w="710" w:type="dxa"/>
            <w:vAlign w:val="center"/>
          </w:tcPr>
          <w:p w14:paraId="255FE665"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2013</w:t>
            </w:r>
          </w:p>
        </w:tc>
        <w:tc>
          <w:tcPr>
            <w:tcW w:w="1984" w:type="dxa"/>
            <w:vAlign w:val="center"/>
          </w:tcPr>
          <w:p w14:paraId="6B1674F3"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UEMOA</w:t>
            </w:r>
          </w:p>
        </w:tc>
        <w:tc>
          <w:tcPr>
            <w:tcW w:w="7088" w:type="dxa"/>
            <w:vAlign w:val="center"/>
          </w:tcPr>
          <w:p w14:paraId="57917A53"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 xml:space="preserve">Atlas UEMOA de la pêche continentale. Programme régional de renforcement de la collecte des données statistiques des pêches dans les Etats membres - © 2012. </w:t>
            </w:r>
            <w:hyperlink r:id="rId100" w:history="1">
              <w:r w:rsidRPr="00BA1CEF">
                <w:rPr>
                  <w:rStyle w:val="Lienhypertexte"/>
                  <w:rFonts w:eastAsia="SimSun" w:cs="Arial"/>
                  <w:color w:val="auto"/>
                  <w:sz w:val="17"/>
                  <w:szCs w:val="17"/>
                  <w:lang w:val="fr-FR" w:eastAsia="zh-CN"/>
                </w:rPr>
                <w:t>http://sirs.agrocampus-ouest.fr/atlas_uemoa</w:t>
              </w:r>
            </w:hyperlink>
            <w:r w:rsidRPr="00BA1CEF">
              <w:rPr>
                <w:rFonts w:eastAsia="SimSun" w:cs="Arial"/>
                <w:sz w:val="17"/>
                <w:szCs w:val="17"/>
                <w:lang w:val="fr-FR" w:eastAsia="zh-CN"/>
              </w:rPr>
              <w:t>.</w:t>
            </w:r>
          </w:p>
        </w:tc>
      </w:tr>
      <w:tr w:rsidR="00017D06" w:rsidRPr="00BA1CEF" w14:paraId="63990A14" w14:textId="77777777" w:rsidTr="0035619B">
        <w:trPr>
          <w:cantSplit/>
        </w:trPr>
        <w:tc>
          <w:tcPr>
            <w:tcW w:w="710" w:type="dxa"/>
            <w:vAlign w:val="center"/>
          </w:tcPr>
          <w:p w14:paraId="621BB599"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2012</w:t>
            </w:r>
          </w:p>
        </w:tc>
        <w:tc>
          <w:tcPr>
            <w:tcW w:w="1984" w:type="dxa"/>
            <w:vAlign w:val="center"/>
          </w:tcPr>
          <w:p w14:paraId="5C12A93E"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AEDD</w:t>
            </w:r>
          </w:p>
        </w:tc>
        <w:tc>
          <w:tcPr>
            <w:tcW w:w="7088" w:type="dxa"/>
            <w:vAlign w:val="center"/>
          </w:tcPr>
          <w:p w14:paraId="52F38743"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 xml:space="preserve">Rapport national sur le développement durable au Mali, Rio+20 </w:t>
            </w:r>
          </w:p>
        </w:tc>
      </w:tr>
      <w:tr w:rsidR="00017D06" w:rsidRPr="00BA1CEF" w14:paraId="10B92657" w14:textId="77777777" w:rsidTr="0035619B">
        <w:trPr>
          <w:cantSplit/>
        </w:trPr>
        <w:tc>
          <w:tcPr>
            <w:tcW w:w="710" w:type="dxa"/>
            <w:vAlign w:val="center"/>
          </w:tcPr>
          <w:p w14:paraId="01247AF5"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2012</w:t>
            </w:r>
          </w:p>
        </w:tc>
        <w:tc>
          <w:tcPr>
            <w:tcW w:w="1984" w:type="dxa"/>
            <w:vAlign w:val="center"/>
          </w:tcPr>
          <w:p w14:paraId="6F8DCCBD"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AEDD</w:t>
            </w:r>
          </w:p>
        </w:tc>
        <w:tc>
          <w:tcPr>
            <w:tcW w:w="7088" w:type="dxa"/>
            <w:vAlign w:val="center"/>
          </w:tcPr>
          <w:p w14:paraId="2DF4504B"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Elaboration de la Stratégie Nationale du ´Développement Durable du Mali. Rapport du diagnostic partagé</w:t>
            </w:r>
          </w:p>
        </w:tc>
      </w:tr>
      <w:tr w:rsidR="00017D06" w:rsidRPr="00BA1CEF" w14:paraId="01AEA81F" w14:textId="77777777" w:rsidTr="0035619B">
        <w:trPr>
          <w:cantSplit/>
        </w:trPr>
        <w:tc>
          <w:tcPr>
            <w:tcW w:w="710" w:type="dxa"/>
            <w:vAlign w:val="center"/>
          </w:tcPr>
          <w:p w14:paraId="2A0089F5"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2012</w:t>
            </w:r>
          </w:p>
        </w:tc>
        <w:tc>
          <w:tcPr>
            <w:tcW w:w="1984" w:type="dxa"/>
            <w:vAlign w:val="center"/>
          </w:tcPr>
          <w:p w14:paraId="71B9583D"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DOUMBIA El Hadji Thierno</w:t>
            </w:r>
          </w:p>
        </w:tc>
        <w:tc>
          <w:tcPr>
            <w:tcW w:w="7088" w:type="dxa"/>
            <w:vAlign w:val="center"/>
          </w:tcPr>
          <w:p w14:paraId="6E7B0D00"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Caractérisation physico-chimique de la pollution atmosphérique urbaine en Afrique de l’Ouest et étude d’impact sur la santé. Thèse de Doctorat de l’Université de Toulouse.</w:t>
            </w:r>
          </w:p>
        </w:tc>
      </w:tr>
      <w:tr w:rsidR="00017D06" w:rsidRPr="00BA1CEF" w14:paraId="0C7C6686" w14:textId="77777777" w:rsidTr="0035619B">
        <w:trPr>
          <w:cantSplit/>
        </w:trPr>
        <w:tc>
          <w:tcPr>
            <w:tcW w:w="710" w:type="dxa"/>
            <w:vAlign w:val="center"/>
          </w:tcPr>
          <w:p w14:paraId="24746F20"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2012</w:t>
            </w:r>
          </w:p>
        </w:tc>
        <w:tc>
          <w:tcPr>
            <w:tcW w:w="1984" w:type="dxa"/>
            <w:vAlign w:val="center"/>
          </w:tcPr>
          <w:p w14:paraId="21D7EB82"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DNP</w:t>
            </w:r>
          </w:p>
        </w:tc>
        <w:tc>
          <w:tcPr>
            <w:tcW w:w="7088" w:type="dxa"/>
            <w:vAlign w:val="center"/>
          </w:tcPr>
          <w:p w14:paraId="73728C47"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 xml:space="preserve">Etat des lieux de du </w:t>
            </w:r>
            <w:r w:rsidR="008962D8" w:rsidRPr="00BA1CEF">
              <w:rPr>
                <w:rFonts w:eastAsia="SimSun" w:cs="Arial"/>
                <w:sz w:val="17"/>
                <w:szCs w:val="17"/>
                <w:lang w:val="fr-FR" w:eastAsia="zh-CN"/>
              </w:rPr>
              <w:t>sous-secteur</w:t>
            </w:r>
            <w:r w:rsidRPr="00BA1CEF">
              <w:rPr>
                <w:rFonts w:eastAsia="SimSun" w:cs="Arial"/>
                <w:sz w:val="17"/>
                <w:szCs w:val="17"/>
                <w:lang w:val="fr-FR" w:eastAsia="zh-CN"/>
              </w:rPr>
              <w:t xml:space="preserve"> de la pêche et de l’aquaculture</w:t>
            </w:r>
          </w:p>
        </w:tc>
      </w:tr>
      <w:tr w:rsidR="00017D06" w:rsidRPr="00BA1CEF" w14:paraId="0686ADA1" w14:textId="77777777" w:rsidTr="0035619B">
        <w:trPr>
          <w:cantSplit/>
        </w:trPr>
        <w:tc>
          <w:tcPr>
            <w:tcW w:w="710" w:type="dxa"/>
            <w:vAlign w:val="center"/>
          </w:tcPr>
          <w:p w14:paraId="1B75D75B"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2012</w:t>
            </w:r>
          </w:p>
        </w:tc>
        <w:tc>
          <w:tcPr>
            <w:tcW w:w="1984" w:type="dxa"/>
            <w:vAlign w:val="center"/>
          </w:tcPr>
          <w:p w14:paraId="12D38C23"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MEF/UE</w:t>
            </w:r>
          </w:p>
        </w:tc>
        <w:tc>
          <w:tcPr>
            <w:tcW w:w="7088" w:type="dxa"/>
            <w:vAlign w:val="center"/>
          </w:tcPr>
          <w:p w14:paraId="58B3D888"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Elaboration des projections démographiques du Mali (du 1er juillet 2010 au 1</w:t>
            </w:r>
            <w:r w:rsidRPr="00BA1CEF">
              <w:rPr>
                <w:rFonts w:eastAsia="SimSun" w:cs="Arial"/>
                <w:sz w:val="17"/>
                <w:szCs w:val="17"/>
                <w:vertAlign w:val="superscript"/>
                <w:lang w:val="fr-FR" w:eastAsia="zh-CN"/>
              </w:rPr>
              <w:t>er</w:t>
            </w:r>
            <w:r w:rsidRPr="00BA1CEF">
              <w:rPr>
                <w:rFonts w:eastAsia="SimSun" w:cs="Arial"/>
                <w:sz w:val="17"/>
                <w:szCs w:val="17"/>
                <w:lang w:val="fr-FR" w:eastAsia="zh-CN"/>
              </w:rPr>
              <w:t xml:space="preserve"> juillet 2035) à partir résultat</w:t>
            </w:r>
            <w:r w:rsidR="008962D8">
              <w:rPr>
                <w:rFonts w:eastAsia="SimSun" w:cs="Arial"/>
                <w:sz w:val="17"/>
                <w:szCs w:val="17"/>
                <w:lang w:val="fr-FR" w:eastAsia="zh-CN"/>
              </w:rPr>
              <w:t>s</w:t>
            </w:r>
            <w:r w:rsidRPr="00BA1CEF">
              <w:rPr>
                <w:rFonts w:eastAsia="SimSun" w:cs="Arial"/>
                <w:sz w:val="17"/>
                <w:szCs w:val="17"/>
                <w:lang w:val="fr-FR" w:eastAsia="zh-CN"/>
              </w:rPr>
              <w:t xml:space="preserve"> complets du Recensement Général de la Population et de l’Habitat de 2009</w:t>
            </w:r>
          </w:p>
        </w:tc>
      </w:tr>
      <w:tr w:rsidR="00017D06" w:rsidRPr="00BA1CEF" w14:paraId="24B1A533" w14:textId="77777777" w:rsidTr="0035619B">
        <w:trPr>
          <w:cantSplit/>
        </w:trPr>
        <w:tc>
          <w:tcPr>
            <w:tcW w:w="710" w:type="dxa"/>
            <w:vAlign w:val="center"/>
          </w:tcPr>
          <w:p w14:paraId="77BFB341"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2012</w:t>
            </w:r>
          </w:p>
        </w:tc>
        <w:tc>
          <w:tcPr>
            <w:tcW w:w="1984" w:type="dxa"/>
            <w:vAlign w:val="center"/>
          </w:tcPr>
          <w:p w14:paraId="104CC68B"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FIDA</w:t>
            </w:r>
          </w:p>
        </w:tc>
        <w:tc>
          <w:tcPr>
            <w:tcW w:w="7088" w:type="dxa"/>
            <w:vAlign w:val="center"/>
          </w:tcPr>
          <w:p w14:paraId="6C6974C5"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Evaluation environnementale et des changements climatiques pour la préparation du programme d’options stratégiques pour le pays 2013-2018.</w:t>
            </w:r>
          </w:p>
        </w:tc>
      </w:tr>
      <w:tr w:rsidR="00017D06" w:rsidRPr="00BA1CEF" w14:paraId="16137A6E" w14:textId="77777777" w:rsidTr="0035619B">
        <w:trPr>
          <w:cantSplit/>
        </w:trPr>
        <w:tc>
          <w:tcPr>
            <w:tcW w:w="710" w:type="dxa"/>
            <w:tcBorders>
              <w:top w:val="single" w:sz="4" w:space="0" w:color="auto"/>
              <w:left w:val="single" w:sz="4" w:space="0" w:color="auto"/>
              <w:bottom w:val="single" w:sz="4" w:space="0" w:color="auto"/>
              <w:right w:val="single" w:sz="4" w:space="0" w:color="auto"/>
            </w:tcBorders>
            <w:vAlign w:val="center"/>
          </w:tcPr>
          <w:p w14:paraId="4E1B6447"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2012</w:t>
            </w:r>
          </w:p>
        </w:tc>
        <w:tc>
          <w:tcPr>
            <w:tcW w:w="1984" w:type="dxa"/>
            <w:tcBorders>
              <w:top w:val="single" w:sz="4" w:space="0" w:color="auto"/>
              <w:left w:val="single" w:sz="4" w:space="0" w:color="auto"/>
              <w:bottom w:val="single" w:sz="4" w:space="0" w:color="auto"/>
              <w:right w:val="single" w:sz="4" w:space="0" w:color="auto"/>
            </w:tcBorders>
            <w:vAlign w:val="center"/>
          </w:tcPr>
          <w:p w14:paraId="0BE2CDF7"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GdM/DGPC</w:t>
            </w:r>
          </w:p>
        </w:tc>
        <w:tc>
          <w:tcPr>
            <w:tcW w:w="7088" w:type="dxa"/>
            <w:tcBorders>
              <w:top w:val="single" w:sz="4" w:space="0" w:color="auto"/>
              <w:left w:val="single" w:sz="4" w:space="0" w:color="auto"/>
              <w:bottom w:val="single" w:sz="4" w:space="0" w:color="auto"/>
              <w:right w:val="single" w:sz="4" w:space="0" w:color="auto"/>
            </w:tcBorders>
            <w:vAlign w:val="center"/>
          </w:tcPr>
          <w:p w14:paraId="17042BDD"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Plan national multi risques de préparation et de réponse aux catastrophes</w:t>
            </w:r>
          </w:p>
        </w:tc>
      </w:tr>
      <w:tr w:rsidR="00017D06" w:rsidRPr="00BA1CEF" w14:paraId="117E5980" w14:textId="77777777" w:rsidTr="0035619B">
        <w:trPr>
          <w:cantSplit/>
        </w:trPr>
        <w:tc>
          <w:tcPr>
            <w:tcW w:w="710" w:type="dxa"/>
            <w:tcBorders>
              <w:top w:val="single" w:sz="4" w:space="0" w:color="auto"/>
              <w:left w:val="single" w:sz="4" w:space="0" w:color="auto"/>
              <w:bottom w:val="single" w:sz="4" w:space="0" w:color="auto"/>
              <w:right w:val="single" w:sz="4" w:space="0" w:color="auto"/>
            </w:tcBorders>
            <w:vAlign w:val="center"/>
          </w:tcPr>
          <w:p w14:paraId="044C89D5"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2012</w:t>
            </w:r>
          </w:p>
        </w:tc>
        <w:tc>
          <w:tcPr>
            <w:tcW w:w="1984" w:type="dxa"/>
            <w:tcBorders>
              <w:top w:val="single" w:sz="4" w:space="0" w:color="auto"/>
              <w:left w:val="single" w:sz="4" w:space="0" w:color="auto"/>
              <w:bottom w:val="single" w:sz="4" w:space="0" w:color="auto"/>
              <w:right w:val="single" w:sz="4" w:space="0" w:color="auto"/>
            </w:tcBorders>
            <w:vAlign w:val="center"/>
          </w:tcPr>
          <w:p w14:paraId="075068E1"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Ministère de l’Energie, de l’Eau et de l’Environnement,  SG</w:t>
            </w:r>
          </w:p>
        </w:tc>
        <w:tc>
          <w:tcPr>
            <w:tcW w:w="7088" w:type="dxa"/>
            <w:tcBorders>
              <w:top w:val="single" w:sz="4" w:space="0" w:color="auto"/>
              <w:left w:val="single" w:sz="4" w:space="0" w:color="auto"/>
              <w:bottom w:val="single" w:sz="4" w:space="0" w:color="auto"/>
              <w:right w:val="single" w:sz="4" w:space="0" w:color="auto"/>
            </w:tcBorders>
            <w:vAlign w:val="center"/>
          </w:tcPr>
          <w:p w14:paraId="32D43191"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Note technique sur les initiatives prises par le Mali dans le cadre de la résolution 65/151 de l’Assemblée Générale des Nations Unies relative à l’énergie au service du développement durable</w:t>
            </w:r>
          </w:p>
        </w:tc>
      </w:tr>
      <w:tr w:rsidR="00017D06" w:rsidRPr="00BA1CEF" w14:paraId="4F0402FB" w14:textId="77777777" w:rsidTr="0035619B">
        <w:trPr>
          <w:cantSplit/>
        </w:trPr>
        <w:tc>
          <w:tcPr>
            <w:tcW w:w="710" w:type="dxa"/>
            <w:tcBorders>
              <w:top w:val="single" w:sz="4" w:space="0" w:color="auto"/>
              <w:left w:val="single" w:sz="4" w:space="0" w:color="auto"/>
              <w:bottom w:val="single" w:sz="4" w:space="0" w:color="auto"/>
              <w:right w:val="single" w:sz="4" w:space="0" w:color="auto"/>
            </w:tcBorders>
            <w:vAlign w:val="center"/>
          </w:tcPr>
          <w:p w14:paraId="373C4477"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2012</w:t>
            </w:r>
          </w:p>
        </w:tc>
        <w:tc>
          <w:tcPr>
            <w:tcW w:w="1984" w:type="dxa"/>
            <w:tcBorders>
              <w:top w:val="single" w:sz="4" w:space="0" w:color="auto"/>
              <w:left w:val="single" w:sz="4" w:space="0" w:color="auto"/>
              <w:bottom w:val="single" w:sz="4" w:space="0" w:color="auto"/>
              <w:right w:val="single" w:sz="4" w:space="0" w:color="auto"/>
            </w:tcBorders>
            <w:vAlign w:val="center"/>
          </w:tcPr>
          <w:p w14:paraId="1E1B4F37"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ONU - Habitat</w:t>
            </w:r>
          </w:p>
        </w:tc>
        <w:tc>
          <w:tcPr>
            <w:tcW w:w="7088" w:type="dxa"/>
            <w:tcBorders>
              <w:top w:val="single" w:sz="4" w:space="0" w:color="auto"/>
              <w:left w:val="single" w:sz="4" w:space="0" w:color="auto"/>
              <w:bottom w:val="single" w:sz="4" w:space="0" w:color="auto"/>
              <w:right w:val="single" w:sz="4" w:space="0" w:color="auto"/>
            </w:tcBorders>
            <w:vAlign w:val="center"/>
          </w:tcPr>
          <w:p w14:paraId="18BABD7C"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Mali : Profil urbain de Bamako</w:t>
            </w:r>
          </w:p>
        </w:tc>
      </w:tr>
      <w:tr w:rsidR="00017D06" w:rsidRPr="00BA1CEF" w14:paraId="44DD6C26" w14:textId="77777777" w:rsidTr="0035619B">
        <w:trPr>
          <w:cantSplit/>
        </w:trPr>
        <w:tc>
          <w:tcPr>
            <w:tcW w:w="710" w:type="dxa"/>
            <w:vAlign w:val="center"/>
          </w:tcPr>
          <w:p w14:paraId="67F33537"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2012</w:t>
            </w:r>
          </w:p>
        </w:tc>
        <w:tc>
          <w:tcPr>
            <w:tcW w:w="1984" w:type="dxa"/>
            <w:vAlign w:val="center"/>
          </w:tcPr>
          <w:p w14:paraId="784D7D9B"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PARCC (PNUE/IUCN/FEM)</w:t>
            </w:r>
          </w:p>
        </w:tc>
        <w:tc>
          <w:tcPr>
            <w:tcW w:w="7088" w:type="dxa"/>
            <w:vAlign w:val="center"/>
          </w:tcPr>
          <w:p w14:paraId="4FD8A276"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 xml:space="preserve">Aires Protégées Résilientes au Changement Climatique, PARCC Afrique de l’Ouest. Rapport de collecte des données nationales </w:t>
            </w:r>
            <w:r w:rsidRPr="00BA1CEF">
              <w:rPr>
                <w:rFonts w:ascii="Cambria Math" w:eastAsia="SimSun" w:hAnsi="Cambria Math" w:cs="Cambria Math"/>
                <w:sz w:val="17"/>
                <w:szCs w:val="17"/>
                <w:lang w:val="fr-FR" w:eastAsia="zh-CN"/>
              </w:rPr>
              <w:t>‐</w:t>
            </w:r>
            <w:r w:rsidRPr="00BA1CEF">
              <w:rPr>
                <w:rFonts w:eastAsia="SimSun" w:cs="Arial"/>
                <w:sz w:val="17"/>
                <w:szCs w:val="17"/>
                <w:lang w:val="fr-FR" w:eastAsia="zh-CN"/>
              </w:rPr>
              <w:t xml:space="preserve"> Mali</w:t>
            </w:r>
          </w:p>
        </w:tc>
      </w:tr>
      <w:tr w:rsidR="00017D06" w:rsidRPr="00BA1CEF" w14:paraId="581597D5" w14:textId="77777777" w:rsidTr="0035619B">
        <w:trPr>
          <w:cantSplit/>
        </w:trPr>
        <w:tc>
          <w:tcPr>
            <w:tcW w:w="710" w:type="dxa"/>
            <w:vAlign w:val="center"/>
          </w:tcPr>
          <w:p w14:paraId="7D8ABB21"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2012</w:t>
            </w:r>
          </w:p>
        </w:tc>
        <w:tc>
          <w:tcPr>
            <w:tcW w:w="1984" w:type="dxa"/>
            <w:vAlign w:val="center"/>
          </w:tcPr>
          <w:p w14:paraId="4E39CC36"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GOPA</w:t>
            </w:r>
          </w:p>
        </w:tc>
        <w:tc>
          <w:tcPr>
            <w:tcW w:w="7088" w:type="dxa"/>
            <w:vAlign w:val="center"/>
          </w:tcPr>
          <w:p w14:paraId="1A5C0AC3"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Elaboration des projections démographiques du Mali (du 1er juillet 2010 au 1</w:t>
            </w:r>
            <w:r w:rsidRPr="00BA1CEF">
              <w:rPr>
                <w:rFonts w:eastAsia="SimSun" w:cs="Arial"/>
                <w:sz w:val="17"/>
                <w:szCs w:val="17"/>
                <w:vertAlign w:val="superscript"/>
                <w:lang w:val="fr-FR" w:eastAsia="zh-CN"/>
              </w:rPr>
              <w:t>er</w:t>
            </w:r>
            <w:r w:rsidRPr="00BA1CEF">
              <w:rPr>
                <w:rFonts w:eastAsia="SimSun" w:cs="Arial"/>
                <w:sz w:val="17"/>
                <w:szCs w:val="17"/>
                <w:lang w:val="fr-FR" w:eastAsia="zh-CN"/>
              </w:rPr>
              <w:t xml:space="preserve"> juillet 2035) à partir résultats complets du Recensement Général de la Population et de l’Habitat de 2009</w:t>
            </w:r>
          </w:p>
        </w:tc>
      </w:tr>
      <w:tr w:rsidR="00017D06" w:rsidRPr="00BA1CEF" w14:paraId="0A9AEDB1" w14:textId="77777777" w:rsidTr="0035619B">
        <w:trPr>
          <w:cantSplit/>
        </w:trPr>
        <w:tc>
          <w:tcPr>
            <w:tcW w:w="710" w:type="dxa"/>
            <w:vAlign w:val="center"/>
          </w:tcPr>
          <w:p w14:paraId="4F6E9AAC"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 xml:space="preserve">2012 </w:t>
            </w:r>
          </w:p>
        </w:tc>
        <w:tc>
          <w:tcPr>
            <w:tcW w:w="1984" w:type="dxa"/>
            <w:vAlign w:val="center"/>
          </w:tcPr>
          <w:p w14:paraId="61309F96"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UEMOA</w:t>
            </w:r>
          </w:p>
        </w:tc>
        <w:tc>
          <w:tcPr>
            <w:tcW w:w="7088" w:type="dxa"/>
            <w:vAlign w:val="center"/>
          </w:tcPr>
          <w:p w14:paraId="216714F0"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La pêche continentale dans les Etats membres de l’UEMOA : Enquête-cadre 2012</w:t>
            </w:r>
          </w:p>
        </w:tc>
      </w:tr>
      <w:tr w:rsidR="00017D06" w:rsidRPr="00BA1CEF" w14:paraId="62EC9DB0" w14:textId="77777777" w:rsidTr="0035619B">
        <w:trPr>
          <w:cantSplit/>
        </w:trPr>
        <w:tc>
          <w:tcPr>
            <w:tcW w:w="710" w:type="dxa"/>
            <w:vAlign w:val="center"/>
          </w:tcPr>
          <w:p w14:paraId="749D631C"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2011</w:t>
            </w:r>
          </w:p>
        </w:tc>
        <w:tc>
          <w:tcPr>
            <w:tcW w:w="1984" w:type="dxa"/>
            <w:vAlign w:val="center"/>
          </w:tcPr>
          <w:p w14:paraId="54F011C5"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AEDD</w:t>
            </w:r>
          </w:p>
        </w:tc>
        <w:tc>
          <w:tcPr>
            <w:tcW w:w="7088" w:type="dxa"/>
            <w:vAlign w:val="center"/>
          </w:tcPr>
          <w:p w14:paraId="18E6A24A"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Profil national pour évaluer les capacités nationales de mise en œuvre du principe 10 de la Déclaration de Rio</w:t>
            </w:r>
          </w:p>
        </w:tc>
      </w:tr>
      <w:tr w:rsidR="00017D06" w:rsidRPr="00BA1CEF" w14:paraId="253CA1F8" w14:textId="77777777" w:rsidTr="0035619B">
        <w:trPr>
          <w:cantSplit/>
        </w:trPr>
        <w:tc>
          <w:tcPr>
            <w:tcW w:w="710" w:type="dxa"/>
            <w:tcBorders>
              <w:top w:val="single" w:sz="4" w:space="0" w:color="auto"/>
              <w:left w:val="single" w:sz="4" w:space="0" w:color="auto"/>
              <w:bottom w:val="single" w:sz="4" w:space="0" w:color="auto"/>
              <w:right w:val="single" w:sz="4" w:space="0" w:color="auto"/>
            </w:tcBorders>
            <w:vAlign w:val="center"/>
          </w:tcPr>
          <w:p w14:paraId="2A6A5A9B"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2011</w:t>
            </w:r>
          </w:p>
        </w:tc>
        <w:tc>
          <w:tcPr>
            <w:tcW w:w="1984" w:type="dxa"/>
            <w:tcBorders>
              <w:top w:val="single" w:sz="4" w:space="0" w:color="auto"/>
              <w:left w:val="single" w:sz="4" w:space="0" w:color="auto"/>
              <w:bottom w:val="single" w:sz="4" w:space="0" w:color="auto"/>
              <w:right w:val="single" w:sz="4" w:space="0" w:color="auto"/>
            </w:tcBorders>
            <w:vAlign w:val="center"/>
          </w:tcPr>
          <w:p w14:paraId="4D22B4D7"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BM</w:t>
            </w:r>
          </w:p>
        </w:tc>
        <w:tc>
          <w:tcPr>
            <w:tcW w:w="7088" w:type="dxa"/>
            <w:tcBorders>
              <w:top w:val="single" w:sz="4" w:space="0" w:color="auto"/>
              <w:left w:val="single" w:sz="4" w:space="0" w:color="auto"/>
              <w:bottom w:val="single" w:sz="4" w:space="0" w:color="auto"/>
              <w:right w:val="single" w:sz="4" w:space="0" w:color="auto"/>
            </w:tcBorders>
            <w:vAlign w:val="center"/>
          </w:tcPr>
          <w:p w14:paraId="47806F5A"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Profil environnemental des villes de Bamako, Gao, Mopti et Sikasso.</w:t>
            </w:r>
          </w:p>
        </w:tc>
      </w:tr>
      <w:tr w:rsidR="00E7203B" w:rsidRPr="00865CCB" w14:paraId="1F3BDE47" w14:textId="77777777" w:rsidTr="0035619B">
        <w:trPr>
          <w:cantSplit/>
        </w:trPr>
        <w:tc>
          <w:tcPr>
            <w:tcW w:w="710" w:type="dxa"/>
            <w:tcBorders>
              <w:top w:val="single" w:sz="4" w:space="0" w:color="auto"/>
              <w:left w:val="single" w:sz="4" w:space="0" w:color="auto"/>
              <w:bottom w:val="single" w:sz="4" w:space="0" w:color="auto"/>
              <w:right w:val="single" w:sz="4" w:space="0" w:color="auto"/>
            </w:tcBorders>
            <w:vAlign w:val="center"/>
          </w:tcPr>
          <w:p w14:paraId="221E6B81" w14:textId="77777777" w:rsidR="00E7203B" w:rsidRPr="00865CCB" w:rsidRDefault="00E7203B" w:rsidP="0035619B">
            <w:pPr>
              <w:spacing w:after="0" w:line="240" w:lineRule="auto"/>
              <w:rPr>
                <w:rFonts w:eastAsia="SimSun" w:cs="Arial"/>
                <w:sz w:val="17"/>
                <w:szCs w:val="17"/>
                <w:lang w:val="fr-FR" w:eastAsia="zh-CN"/>
              </w:rPr>
            </w:pPr>
            <w:r w:rsidRPr="00865CCB">
              <w:rPr>
                <w:rFonts w:eastAsia="SimSun" w:cs="Arial"/>
                <w:sz w:val="17"/>
                <w:szCs w:val="17"/>
                <w:lang w:val="fr-FR" w:eastAsia="zh-CN"/>
              </w:rPr>
              <w:t>2011</w:t>
            </w:r>
          </w:p>
        </w:tc>
        <w:tc>
          <w:tcPr>
            <w:tcW w:w="1984" w:type="dxa"/>
            <w:tcBorders>
              <w:top w:val="single" w:sz="4" w:space="0" w:color="auto"/>
              <w:left w:val="single" w:sz="4" w:space="0" w:color="auto"/>
              <w:bottom w:val="single" w:sz="4" w:space="0" w:color="auto"/>
              <w:right w:val="single" w:sz="4" w:space="0" w:color="auto"/>
            </w:tcBorders>
            <w:vAlign w:val="center"/>
          </w:tcPr>
          <w:p w14:paraId="040F077D" w14:textId="77777777" w:rsidR="00E7203B" w:rsidRPr="00865CCB" w:rsidRDefault="00E7203B" w:rsidP="0035619B">
            <w:pPr>
              <w:spacing w:after="0" w:line="240" w:lineRule="auto"/>
              <w:rPr>
                <w:rFonts w:eastAsia="SimSun" w:cs="Arial"/>
                <w:sz w:val="17"/>
                <w:szCs w:val="17"/>
                <w:lang w:val="fr-FR" w:eastAsia="zh-CN"/>
              </w:rPr>
            </w:pPr>
            <w:r w:rsidRPr="00865CCB">
              <w:rPr>
                <w:rFonts w:eastAsia="SimSun" w:cs="Arial"/>
                <w:sz w:val="17"/>
                <w:szCs w:val="17"/>
                <w:lang w:val="fr-FR" w:eastAsia="zh-CN"/>
              </w:rPr>
              <w:t>FAO/TerrAfrica</w:t>
            </w:r>
          </w:p>
        </w:tc>
        <w:tc>
          <w:tcPr>
            <w:tcW w:w="7088" w:type="dxa"/>
            <w:tcBorders>
              <w:top w:val="single" w:sz="4" w:space="0" w:color="auto"/>
              <w:left w:val="single" w:sz="4" w:space="0" w:color="auto"/>
              <w:bottom w:val="single" w:sz="4" w:space="0" w:color="auto"/>
              <w:right w:val="single" w:sz="4" w:space="0" w:color="auto"/>
            </w:tcBorders>
            <w:vAlign w:val="center"/>
          </w:tcPr>
          <w:p w14:paraId="4F9EEECC" w14:textId="77777777" w:rsidR="00E7203B" w:rsidRPr="00865CCB" w:rsidRDefault="00E7203B" w:rsidP="0035619B">
            <w:pPr>
              <w:spacing w:after="0" w:line="240" w:lineRule="auto"/>
              <w:rPr>
                <w:rFonts w:eastAsia="SimSun" w:cs="Arial"/>
                <w:sz w:val="17"/>
                <w:szCs w:val="17"/>
                <w:lang w:val="fr-FR" w:eastAsia="zh-CN"/>
              </w:rPr>
            </w:pPr>
            <w:r w:rsidRPr="00865CCB">
              <w:rPr>
                <w:rFonts w:eastAsia="SimSun" w:cs="Arial"/>
                <w:sz w:val="17"/>
                <w:szCs w:val="17"/>
                <w:lang w:val="fr-FR" w:eastAsia="zh-CN"/>
              </w:rPr>
              <w:t>La pratique de la gestion durable des terres. Directives et bonnes pratiques pour l’Afrique subsaharienne</w:t>
            </w:r>
          </w:p>
        </w:tc>
      </w:tr>
      <w:tr w:rsidR="00017D06" w:rsidRPr="00BA1CEF" w14:paraId="73375200" w14:textId="77777777" w:rsidTr="0035619B">
        <w:trPr>
          <w:cantSplit/>
        </w:trPr>
        <w:tc>
          <w:tcPr>
            <w:tcW w:w="710" w:type="dxa"/>
            <w:tcBorders>
              <w:top w:val="single" w:sz="4" w:space="0" w:color="auto"/>
              <w:left w:val="single" w:sz="4" w:space="0" w:color="auto"/>
              <w:bottom w:val="single" w:sz="4" w:space="0" w:color="auto"/>
              <w:right w:val="single" w:sz="4" w:space="0" w:color="auto"/>
            </w:tcBorders>
            <w:vAlign w:val="center"/>
          </w:tcPr>
          <w:p w14:paraId="56CB1F49"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2011</w:t>
            </w:r>
          </w:p>
        </w:tc>
        <w:tc>
          <w:tcPr>
            <w:tcW w:w="1984" w:type="dxa"/>
            <w:tcBorders>
              <w:top w:val="single" w:sz="4" w:space="0" w:color="auto"/>
              <w:left w:val="single" w:sz="4" w:space="0" w:color="auto"/>
              <w:bottom w:val="single" w:sz="4" w:space="0" w:color="auto"/>
              <w:right w:val="single" w:sz="4" w:space="0" w:color="auto"/>
            </w:tcBorders>
            <w:vAlign w:val="center"/>
          </w:tcPr>
          <w:p w14:paraId="497C1706"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Human Right Watch</w:t>
            </w:r>
          </w:p>
        </w:tc>
        <w:tc>
          <w:tcPr>
            <w:tcW w:w="7088" w:type="dxa"/>
            <w:tcBorders>
              <w:top w:val="single" w:sz="4" w:space="0" w:color="auto"/>
              <w:left w:val="single" w:sz="4" w:space="0" w:color="auto"/>
              <w:bottom w:val="single" w:sz="4" w:space="0" w:color="auto"/>
              <w:right w:val="single" w:sz="4" w:space="0" w:color="auto"/>
            </w:tcBorders>
            <w:vAlign w:val="center"/>
          </w:tcPr>
          <w:p w14:paraId="388C2369"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Un mélange toxique. Travail des enfants, mercure et orpaillage au Mali</w:t>
            </w:r>
          </w:p>
        </w:tc>
      </w:tr>
      <w:tr w:rsidR="00017D06" w:rsidRPr="00BA1CEF" w14:paraId="5852540B" w14:textId="77777777" w:rsidTr="0035619B">
        <w:trPr>
          <w:cantSplit/>
        </w:trPr>
        <w:tc>
          <w:tcPr>
            <w:tcW w:w="710" w:type="dxa"/>
            <w:vAlign w:val="center"/>
          </w:tcPr>
          <w:p w14:paraId="2C51C88E"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2011</w:t>
            </w:r>
          </w:p>
        </w:tc>
        <w:tc>
          <w:tcPr>
            <w:tcW w:w="1984" w:type="dxa"/>
            <w:vAlign w:val="center"/>
          </w:tcPr>
          <w:p w14:paraId="5887C17B"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MA</w:t>
            </w:r>
          </w:p>
        </w:tc>
        <w:tc>
          <w:tcPr>
            <w:tcW w:w="7088" w:type="dxa"/>
            <w:vAlign w:val="center"/>
          </w:tcPr>
          <w:p w14:paraId="6B1679FA"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Cadre de gestion du risque acridien au Mali</w:t>
            </w:r>
          </w:p>
        </w:tc>
      </w:tr>
      <w:tr w:rsidR="00017D06" w:rsidRPr="00BA1CEF" w14:paraId="331403B9" w14:textId="77777777" w:rsidTr="0035619B">
        <w:trPr>
          <w:cantSplit/>
        </w:trPr>
        <w:tc>
          <w:tcPr>
            <w:tcW w:w="710" w:type="dxa"/>
            <w:vAlign w:val="center"/>
          </w:tcPr>
          <w:p w14:paraId="696F1D4F"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2011</w:t>
            </w:r>
          </w:p>
        </w:tc>
        <w:tc>
          <w:tcPr>
            <w:tcW w:w="1984" w:type="dxa"/>
            <w:vAlign w:val="center"/>
          </w:tcPr>
          <w:p w14:paraId="66C44E71"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MEA/IPE (PNUE, PNUD, SBA)</w:t>
            </w:r>
          </w:p>
        </w:tc>
        <w:tc>
          <w:tcPr>
            <w:tcW w:w="7088" w:type="dxa"/>
            <w:vAlign w:val="center"/>
          </w:tcPr>
          <w:p w14:paraId="140230BA"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Evaluation environnementale stratégique du développement rural au Mali. Secteurs agriculture, élevage et pêche</w:t>
            </w:r>
          </w:p>
        </w:tc>
      </w:tr>
      <w:tr w:rsidR="00017D06" w:rsidRPr="00BA1CEF" w14:paraId="240C31D1" w14:textId="77777777" w:rsidTr="0035619B">
        <w:trPr>
          <w:cantSplit/>
        </w:trPr>
        <w:tc>
          <w:tcPr>
            <w:tcW w:w="710" w:type="dxa"/>
            <w:vAlign w:val="center"/>
          </w:tcPr>
          <w:p w14:paraId="21DF93DF"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2010</w:t>
            </w:r>
          </w:p>
        </w:tc>
        <w:tc>
          <w:tcPr>
            <w:tcW w:w="1984" w:type="dxa"/>
            <w:vAlign w:val="center"/>
          </w:tcPr>
          <w:p w14:paraId="19388650"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AMEIE</w:t>
            </w:r>
          </w:p>
        </w:tc>
        <w:tc>
          <w:tcPr>
            <w:tcW w:w="7088" w:type="dxa"/>
            <w:vAlign w:val="center"/>
          </w:tcPr>
          <w:p w14:paraId="28857CA9"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Evaluation environnementale stratégique (EES) du Programme National d’Irrigation de Proximité (PNIP)</w:t>
            </w:r>
          </w:p>
        </w:tc>
      </w:tr>
      <w:tr w:rsidR="00017D06" w:rsidRPr="00BA1CEF" w14:paraId="4EA2FA27" w14:textId="77777777" w:rsidTr="0035619B">
        <w:trPr>
          <w:cantSplit/>
        </w:trPr>
        <w:tc>
          <w:tcPr>
            <w:tcW w:w="710" w:type="dxa"/>
            <w:vAlign w:val="center"/>
          </w:tcPr>
          <w:p w14:paraId="02DFF147"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2010</w:t>
            </w:r>
          </w:p>
        </w:tc>
        <w:tc>
          <w:tcPr>
            <w:tcW w:w="1984" w:type="dxa"/>
            <w:vAlign w:val="center"/>
          </w:tcPr>
          <w:p w14:paraId="6437D5CE"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BURGEAP/IGIP</w:t>
            </w:r>
          </w:p>
        </w:tc>
        <w:tc>
          <w:tcPr>
            <w:tcW w:w="7088" w:type="dxa"/>
            <w:vAlign w:val="center"/>
          </w:tcPr>
          <w:p w14:paraId="4D1235B3"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Etude de la qualité de l’air à Bamako</w:t>
            </w:r>
          </w:p>
        </w:tc>
      </w:tr>
      <w:tr w:rsidR="00017D06" w:rsidRPr="00BA1CEF" w14:paraId="1AD6CB75" w14:textId="77777777" w:rsidTr="0035619B">
        <w:trPr>
          <w:cantSplit/>
        </w:trPr>
        <w:tc>
          <w:tcPr>
            <w:tcW w:w="710" w:type="dxa"/>
            <w:vAlign w:val="center"/>
          </w:tcPr>
          <w:p w14:paraId="5D639A1C"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2010</w:t>
            </w:r>
          </w:p>
        </w:tc>
        <w:tc>
          <w:tcPr>
            <w:tcW w:w="1984" w:type="dxa"/>
            <w:vAlign w:val="center"/>
          </w:tcPr>
          <w:p w14:paraId="511C0C3F" w14:textId="77777777" w:rsidR="00017D06" w:rsidRPr="00BA1CEF" w:rsidRDefault="00017D06" w:rsidP="0035619B">
            <w:pPr>
              <w:spacing w:after="0" w:line="240" w:lineRule="auto"/>
              <w:jc w:val="left"/>
              <w:rPr>
                <w:rFonts w:eastAsia="SimSun" w:cs="Arial"/>
                <w:sz w:val="17"/>
                <w:szCs w:val="17"/>
                <w:lang w:val="fr-FR" w:eastAsia="zh-CN"/>
              </w:rPr>
            </w:pPr>
            <w:r w:rsidRPr="00BA1CEF">
              <w:rPr>
                <w:rFonts w:eastAsia="SimSun" w:cs="Arial"/>
                <w:sz w:val="17"/>
                <w:szCs w:val="17"/>
                <w:lang w:val="fr-FR" w:eastAsia="zh-CN"/>
              </w:rPr>
              <w:t>CPS du secteur équipement, transports et communication</w:t>
            </w:r>
          </w:p>
        </w:tc>
        <w:tc>
          <w:tcPr>
            <w:tcW w:w="7088" w:type="dxa"/>
            <w:vAlign w:val="center"/>
          </w:tcPr>
          <w:p w14:paraId="3C0EB231"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Annuaire statistique 2009</w:t>
            </w:r>
          </w:p>
        </w:tc>
      </w:tr>
      <w:tr w:rsidR="00017D06" w:rsidRPr="00BA1CEF" w14:paraId="0AE6E3E4" w14:textId="77777777" w:rsidTr="0035619B">
        <w:trPr>
          <w:cantSplit/>
        </w:trPr>
        <w:tc>
          <w:tcPr>
            <w:tcW w:w="710" w:type="dxa"/>
            <w:vAlign w:val="center"/>
          </w:tcPr>
          <w:p w14:paraId="3D48102F"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2010</w:t>
            </w:r>
          </w:p>
        </w:tc>
        <w:tc>
          <w:tcPr>
            <w:tcW w:w="1984" w:type="dxa"/>
            <w:vAlign w:val="center"/>
          </w:tcPr>
          <w:p w14:paraId="10A1BC42"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Gouvernement du Mali</w:t>
            </w:r>
          </w:p>
        </w:tc>
        <w:tc>
          <w:tcPr>
            <w:tcW w:w="7088" w:type="dxa"/>
            <w:vAlign w:val="center"/>
          </w:tcPr>
          <w:p w14:paraId="27BFFA02"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Plan National d’Investissement Prioritaire dans le Secteur Agricole (PNIP-SA) du Mali 2011-2015.</w:t>
            </w:r>
          </w:p>
        </w:tc>
      </w:tr>
      <w:tr w:rsidR="00017D06" w:rsidRPr="00BA1CEF" w14:paraId="421F623C" w14:textId="77777777" w:rsidTr="0035619B">
        <w:trPr>
          <w:cantSplit/>
        </w:trPr>
        <w:tc>
          <w:tcPr>
            <w:tcW w:w="710" w:type="dxa"/>
            <w:vAlign w:val="center"/>
          </w:tcPr>
          <w:p w14:paraId="56C1480A"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2010</w:t>
            </w:r>
          </w:p>
        </w:tc>
        <w:tc>
          <w:tcPr>
            <w:tcW w:w="1984" w:type="dxa"/>
            <w:vAlign w:val="center"/>
          </w:tcPr>
          <w:p w14:paraId="4FF599E6"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MEA</w:t>
            </w:r>
          </w:p>
        </w:tc>
        <w:tc>
          <w:tcPr>
            <w:tcW w:w="7088" w:type="dxa"/>
            <w:vAlign w:val="center"/>
          </w:tcPr>
          <w:p w14:paraId="1C1DE679"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Cadre Stratégique d’Investissement pour la Gestion Durable des Terres au Mali (CSI-GDT)</w:t>
            </w:r>
          </w:p>
        </w:tc>
      </w:tr>
      <w:tr w:rsidR="00017D06" w:rsidRPr="00BA1CEF" w14:paraId="6048AF6A" w14:textId="77777777" w:rsidTr="0035619B">
        <w:trPr>
          <w:cantSplit/>
        </w:trPr>
        <w:tc>
          <w:tcPr>
            <w:tcW w:w="710" w:type="dxa"/>
            <w:vAlign w:val="center"/>
          </w:tcPr>
          <w:p w14:paraId="49086D11"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2010</w:t>
            </w:r>
          </w:p>
        </w:tc>
        <w:tc>
          <w:tcPr>
            <w:tcW w:w="1984" w:type="dxa"/>
            <w:vAlign w:val="center"/>
          </w:tcPr>
          <w:p w14:paraId="634CF3C6"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MEA/BM</w:t>
            </w:r>
          </w:p>
        </w:tc>
        <w:tc>
          <w:tcPr>
            <w:tcW w:w="7088" w:type="dxa"/>
            <w:vAlign w:val="center"/>
          </w:tcPr>
          <w:p w14:paraId="1A30E187"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Etude de la qualité de l’air à Bamako</w:t>
            </w:r>
          </w:p>
        </w:tc>
      </w:tr>
      <w:tr w:rsidR="00017D06" w:rsidRPr="00BA1CEF" w14:paraId="7C769877" w14:textId="77777777" w:rsidTr="0035619B">
        <w:trPr>
          <w:cantSplit/>
        </w:trPr>
        <w:tc>
          <w:tcPr>
            <w:tcW w:w="710" w:type="dxa"/>
            <w:vAlign w:val="center"/>
          </w:tcPr>
          <w:p w14:paraId="5F7E5843"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2010</w:t>
            </w:r>
          </w:p>
        </w:tc>
        <w:tc>
          <w:tcPr>
            <w:tcW w:w="1984" w:type="dxa"/>
            <w:vAlign w:val="center"/>
          </w:tcPr>
          <w:p w14:paraId="0D0CEB9E"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SOFRECO</w:t>
            </w:r>
          </w:p>
        </w:tc>
        <w:tc>
          <w:tcPr>
            <w:tcW w:w="7088" w:type="dxa"/>
            <w:vAlign w:val="center"/>
          </w:tcPr>
          <w:p w14:paraId="43B7C7BE"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Elaboration du programme d’action stratégique (PAS) du bassin du fleuve Niger. Rapport du plan d’action stratégique (PAS) de gestion des problèmes environnementaux transfrontaliers du bassin du fleuve Niger.</w:t>
            </w:r>
          </w:p>
        </w:tc>
      </w:tr>
      <w:tr w:rsidR="00017D06" w:rsidRPr="00BA1CEF" w14:paraId="58223C35" w14:textId="77777777" w:rsidTr="0035619B">
        <w:trPr>
          <w:cantSplit/>
        </w:trPr>
        <w:tc>
          <w:tcPr>
            <w:tcW w:w="710" w:type="dxa"/>
            <w:vAlign w:val="center"/>
          </w:tcPr>
          <w:p w14:paraId="6CC40244"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2008</w:t>
            </w:r>
          </w:p>
        </w:tc>
        <w:tc>
          <w:tcPr>
            <w:tcW w:w="1984" w:type="dxa"/>
            <w:vAlign w:val="center"/>
          </w:tcPr>
          <w:p w14:paraId="3697E06B"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IUCN</w:t>
            </w:r>
          </w:p>
        </w:tc>
        <w:tc>
          <w:tcPr>
            <w:tcW w:w="7088" w:type="dxa"/>
            <w:vAlign w:val="center"/>
          </w:tcPr>
          <w:p w14:paraId="7B892A21"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 xml:space="preserve">Parcs et Réserves du Mali. Evaluation de l’efficacité de la gestion des Aires Protégées. </w:t>
            </w:r>
          </w:p>
        </w:tc>
      </w:tr>
      <w:tr w:rsidR="00017D06" w:rsidRPr="00BA1CEF" w14:paraId="59B34697" w14:textId="77777777" w:rsidTr="0035619B">
        <w:trPr>
          <w:cantSplit/>
        </w:trPr>
        <w:tc>
          <w:tcPr>
            <w:tcW w:w="710" w:type="dxa"/>
            <w:vAlign w:val="center"/>
          </w:tcPr>
          <w:p w14:paraId="346C9FC9"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2008</w:t>
            </w:r>
          </w:p>
        </w:tc>
        <w:tc>
          <w:tcPr>
            <w:tcW w:w="1984" w:type="dxa"/>
            <w:vAlign w:val="center"/>
          </w:tcPr>
          <w:p w14:paraId="463AB664"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MALE C.</w:t>
            </w:r>
          </w:p>
        </w:tc>
        <w:tc>
          <w:tcPr>
            <w:tcW w:w="7088" w:type="dxa"/>
            <w:vAlign w:val="center"/>
          </w:tcPr>
          <w:p w14:paraId="5573E209"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Diagnostic des berges dans le Delta Intérieur du Niger. Mémoire Technique</w:t>
            </w:r>
          </w:p>
        </w:tc>
      </w:tr>
      <w:tr w:rsidR="00017D06" w:rsidRPr="00BA1CEF" w14:paraId="10935575" w14:textId="77777777" w:rsidTr="0035619B">
        <w:trPr>
          <w:cantSplit/>
        </w:trPr>
        <w:tc>
          <w:tcPr>
            <w:tcW w:w="710" w:type="dxa"/>
            <w:vAlign w:val="center"/>
          </w:tcPr>
          <w:p w14:paraId="4DA7E818"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2008</w:t>
            </w:r>
          </w:p>
        </w:tc>
        <w:tc>
          <w:tcPr>
            <w:tcW w:w="1984" w:type="dxa"/>
            <w:vAlign w:val="center"/>
          </w:tcPr>
          <w:p w14:paraId="3D7FC75F"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MEA</w:t>
            </w:r>
          </w:p>
        </w:tc>
        <w:tc>
          <w:tcPr>
            <w:tcW w:w="7088" w:type="dxa"/>
            <w:vAlign w:val="center"/>
          </w:tcPr>
          <w:p w14:paraId="6A105B81"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Rapport national sur l’état de l’environnement 2007</w:t>
            </w:r>
          </w:p>
        </w:tc>
      </w:tr>
      <w:tr w:rsidR="00017D06" w:rsidRPr="00BA1CEF" w14:paraId="0C0D8A5E" w14:textId="77777777" w:rsidTr="0035619B">
        <w:trPr>
          <w:cantSplit/>
        </w:trPr>
        <w:tc>
          <w:tcPr>
            <w:tcW w:w="710" w:type="dxa"/>
            <w:vAlign w:val="center"/>
          </w:tcPr>
          <w:p w14:paraId="7F422B10"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2008</w:t>
            </w:r>
          </w:p>
        </w:tc>
        <w:tc>
          <w:tcPr>
            <w:tcW w:w="1984" w:type="dxa"/>
            <w:vAlign w:val="center"/>
          </w:tcPr>
          <w:p w14:paraId="287B028B"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 xml:space="preserve">NIRAS </w:t>
            </w:r>
          </w:p>
        </w:tc>
        <w:tc>
          <w:tcPr>
            <w:tcW w:w="7088" w:type="dxa"/>
            <w:vAlign w:val="center"/>
          </w:tcPr>
          <w:p w14:paraId="121D608C"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Evaluation Environnementale Stratégique du ‘Projet d’Appui au Programme Sectoriel des Transports au Mali (PAPS)</w:t>
            </w:r>
          </w:p>
        </w:tc>
      </w:tr>
      <w:tr w:rsidR="00017D06" w:rsidRPr="00BA1CEF" w14:paraId="121D865B" w14:textId="77777777" w:rsidTr="0035619B">
        <w:trPr>
          <w:cantSplit/>
        </w:trPr>
        <w:tc>
          <w:tcPr>
            <w:tcW w:w="710" w:type="dxa"/>
            <w:vAlign w:val="center"/>
          </w:tcPr>
          <w:p w14:paraId="7E81F1C4"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2008</w:t>
            </w:r>
          </w:p>
        </w:tc>
        <w:tc>
          <w:tcPr>
            <w:tcW w:w="1984" w:type="dxa"/>
            <w:vAlign w:val="center"/>
          </w:tcPr>
          <w:p w14:paraId="5A24E031"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PNUE/PNUD/SBA/MEA</w:t>
            </w:r>
          </w:p>
        </w:tc>
        <w:tc>
          <w:tcPr>
            <w:tcW w:w="7088" w:type="dxa"/>
            <w:vAlign w:val="center"/>
          </w:tcPr>
          <w:p w14:paraId="53B99888"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Évaluation économique de la gestion environnementale au Mali</w:t>
            </w:r>
          </w:p>
        </w:tc>
      </w:tr>
      <w:tr w:rsidR="00017D06" w:rsidRPr="00BA1CEF" w14:paraId="4D54453A" w14:textId="77777777" w:rsidTr="0035619B">
        <w:trPr>
          <w:cantSplit/>
        </w:trPr>
        <w:tc>
          <w:tcPr>
            <w:tcW w:w="710" w:type="dxa"/>
            <w:vAlign w:val="center"/>
          </w:tcPr>
          <w:p w14:paraId="11B80895"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2008</w:t>
            </w:r>
          </w:p>
        </w:tc>
        <w:tc>
          <w:tcPr>
            <w:tcW w:w="1984" w:type="dxa"/>
            <w:vAlign w:val="center"/>
          </w:tcPr>
          <w:p w14:paraId="5C2E0675"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SAMAKE Drissa</w:t>
            </w:r>
          </w:p>
        </w:tc>
        <w:tc>
          <w:tcPr>
            <w:tcW w:w="7088" w:type="dxa"/>
            <w:vAlign w:val="center"/>
          </w:tcPr>
          <w:p w14:paraId="6CBA9789"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Traitement des eaux usées de tannerie à l’aide de matériaux à base d’argile. Thèse présentée le 12 décembre 2008 à Bamako</w:t>
            </w:r>
          </w:p>
        </w:tc>
      </w:tr>
      <w:tr w:rsidR="00017D06" w:rsidRPr="00BA1CEF" w14:paraId="28D5EDE6" w14:textId="77777777" w:rsidTr="0035619B">
        <w:trPr>
          <w:cantSplit/>
        </w:trPr>
        <w:tc>
          <w:tcPr>
            <w:tcW w:w="710" w:type="dxa"/>
            <w:vAlign w:val="center"/>
          </w:tcPr>
          <w:p w14:paraId="34F08F9F"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2009</w:t>
            </w:r>
          </w:p>
        </w:tc>
        <w:tc>
          <w:tcPr>
            <w:tcW w:w="1984" w:type="dxa"/>
            <w:vAlign w:val="center"/>
          </w:tcPr>
          <w:p w14:paraId="0BC2A088"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DNACPN</w:t>
            </w:r>
          </w:p>
        </w:tc>
        <w:tc>
          <w:tcPr>
            <w:tcW w:w="7088" w:type="dxa"/>
            <w:vAlign w:val="center"/>
          </w:tcPr>
          <w:p w14:paraId="449525BF"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Politique Nationale d’Assainissement (PNA).</w:t>
            </w:r>
          </w:p>
        </w:tc>
      </w:tr>
      <w:tr w:rsidR="00017D06" w:rsidRPr="00BA1CEF" w14:paraId="213F1722" w14:textId="77777777" w:rsidTr="0035619B">
        <w:trPr>
          <w:cantSplit/>
        </w:trPr>
        <w:tc>
          <w:tcPr>
            <w:tcW w:w="710" w:type="dxa"/>
            <w:vAlign w:val="center"/>
          </w:tcPr>
          <w:p w14:paraId="32145E68"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2007</w:t>
            </w:r>
          </w:p>
        </w:tc>
        <w:tc>
          <w:tcPr>
            <w:tcW w:w="1984" w:type="dxa"/>
            <w:vAlign w:val="center"/>
          </w:tcPr>
          <w:p w14:paraId="52768B0E"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DNM</w:t>
            </w:r>
          </w:p>
        </w:tc>
        <w:tc>
          <w:tcPr>
            <w:tcW w:w="7088" w:type="dxa"/>
            <w:vAlign w:val="center"/>
          </w:tcPr>
          <w:p w14:paraId="28C178AC"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Programme d’Action National d’Adaptation aux changements climatiques.(PANA)</w:t>
            </w:r>
          </w:p>
        </w:tc>
      </w:tr>
      <w:tr w:rsidR="00017D06" w:rsidRPr="00BA1CEF" w14:paraId="3825FF12" w14:textId="77777777" w:rsidTr="0035619B">
        <w:trPr>
          <w:cantSplit/>
          <w:trHeight w:val="249"/>
        </w:trPr>
        <w:tc>
          <w:tcPr>
            <w:tcW w:w="710" w:type="dxa"/>
            <w:vAlign w:val="center"/>
          </w:tcPr>
          <w:p w14:paraId="0C67331E"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2007</w:t>
            </w:r>
          </w:p>
        </w:tc>
        <w:tc>
          <w:tcPr>
            <w:tcW w:w="1984" w:type="dxa"/>
            <w:vAlign w:val="center"/>
          </w:tcPr>
          <w:p w14:paraId="6E20CF7A"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DNACPN/DNH</w:t>
            </w:r>
          </w:p>
        </w:tc>
        <w:tc>
          <w:tcPr>
            <w:tcW w:w="7088" w:type="dxa"/>
            <w:vAlign w:val="center"/>
          </w:tcPr>
          <w:p w14:paraId="7BC46364"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Stratégie nationale de gestion des déchets liquides.</w:t>
            </w:r>
          </w:p>
        </w:tc>
      </w:tr>
      <w:tr w:rsidR="00017D06" w:rsidRPr="00BA1CEF" w14:paraId="3159B7C2" w14:textId="77777777" w:rsidTr="0035619B">
        <w:trPr>
          <w:cantSplit/>
          <w:trHeight w:val="249"/>
        </w:trPr>
        <w:tc>
          <w:tcPr>
            <w:tcW w:w="710" w:type="dxa"/>
            <w:vAlign w:val="center"/>
          </w:tcPr>
          <w:p w14:paraId="24B7263D"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2006</w:t>
            </w:r>
          </w:p>
        </w:tc>
        <w:tc>
          <w:tcPr>
            <w:tcW w:w="1984" w:type="dxa"/>
            <w:vAlign w:val="center"/>
          </w:tcPr>
          <w:p w14:paraId="2142BDB1"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MEP</w:t>
            </w:r>
          </w:p>
        </w:tc>
        <w:tc>
          <w:tcPr>
            <w:tcW w:w="7088" w:type="dxa"/>
            <w:vAlign w:val="center"/>
          </w:tcPr>
          <w:p w14:paraId="1873E660"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Schéma directeur de développement de la pêche et de l’aquaculture</w:t>
            </w:r>
          </w:p>
        </w:tc>
      </w:tr>
      <w:tr w:rsidR="00017D06" w:rsidRPr="00BA1CEF" w14:paraId="589D96BE" w14:textId="77777777" w:rsidTr="0035619B">
        <w:trPr>
          <w:cantSplit/>
          <w:trHeight w:val="249"/>
        </w:trPr>
        <w:tc>
          <w:tcPr>
            <w:tcW w:w="710" w:type="dxa"/>
            <w:vAlign w:val="center"/>
          </w:tcPr>
          <w:p w14:paraId="59EB60DF"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2006</w:t>
            </w:r>
          </w:p>
        </w:tc>
        <w:tc>
          <w:tcPr>
            <w:tcW w:w="1984" w:type="dxa"/>
            <w:vAlign w:val="center"/>
          </w:tcPr>
          <w:p w14:paraId="35F02B38"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MMEE</w:t>
            </w:r>
          </w:p>
        </w:tc>
        <w:tc>
          <w:tcPr>
            <w:tcW w:w="7088" w:type="dxa"/>
            <w:vAlign w:val="center"/>
          </w:tcPr>
          <w:p w14:paraId="59B6E5E0"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Politique Nationale de l’Eau.</w:t>
            </w:r>
          </w:p>
        </w:tc>
      </w:tr>
      <w:tr w:rsidR="00017D06" w:rsidRPr="00BA1CEF" w14:paraId="495D8EBD" w14:textId="77777777" w:rsidTr="0035619B">
        <w:trPr>
          <w:cantSplit/>
          <w:trHeight w:val="70"/>
        </w:trPr>
        <w:tc>
          <w:tcPr>
            <w:tcW w:w="710" w:type="dxa"/>
            <w:vAlign w:val="center"/>
          </w:tcPr>
          <w:p w14:paraId="30ACE518"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2006</w:t>
            </w:r>
          </w:p>
        </w:tc>
        <w:tc>
          <w:tcPr>
            <w:tcW w:w="1984" w:type="dxa"/>
            <w:vAlign w:val="center"/>
          </w:tcPr>
          <w:p w14:paraId="73DD9D09"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UNESCO/UN-WATER</w:t>
            </w:r>
          </w:p>
        </w:tc>
        <w:tc>
          <w:tcPr>
            <w:tcW w:w="7088" w:type="dxa"/>
            <w:vAlign w:val="center"/>
          </w:tcPr>
          <w:p w14:paraId="17DE61E0"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Rapport national sur la mise en valeur des ressources en eau du Mali. Une étude de cas du WWAP préparée pour le 2</w:t>
            </w:r>
            <w:r w:rsidRPr="00BA1CEF">
              <w:rPr>
                <w:rFonts w:eastAsia="SimSun" w:cs="Arial"/>
                <w:sz w:val="17"/>
                <w:szCs w:val="17"/>
                <w:vertAlign w:val="superscript"/>
                <w:lang w:val="fr-FR" w:eastAsia="zh-CN"/>
              </w:rPr>
              <w:t>ème</w:t>
            </w:r>
            <w:r w:rsidRPr="00BA1CEF">
              <w:rPr>
                <w:rFonts w:eastAsia="SimSun" w:cs="Arial"/>
                <w:sz w:val="17"/>
                <w:szCs w:val="17"/>
                <w:lang w:val="fr-FR" w:eastAsia="zh-CN"/>
              </w:rPr>
              <w:t xml:space="preserve"> rapport mondial des Nations Unies sur la mise en valeur des ressources en eau, l’eau, une responsabilité partagée.</w:t>
            </w:r>
          </w:p>
        </w:tc>
      </w:tr>
      <w:tr w:rsidR="00017D06" w:rsidRPr="00BA1CEF" w14:paraId="313ABB25" w14:textId="77777777" w:rsidTr="0035619B">
        <w:trPr>
          <w:cantSplit/>
        </w:trPr>
        <w:tc>
          <w:tcPr>
            <w:tcW w:w="710" w:type="dxa"/>
            <w:vAlign w:val="center"/>
          </w:tcPr>
          <w:p w14:paraId="2539C3A0"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2003</w:t>
            </w:r>
          </w:p>
        </w:tc>
        <w:tc>
          <w:tcPr>
            <w:tcW w:w="1984" w:type="dxa"/>
            <w:vAlign w:val="center"/>
          </w:tcPr>
          <w:p w14:paraId="3412983C"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SABRIE &amp; L’HOTE/IRD</w:t>
            </w:r>
          </w:p>
        </w:tc>
        <w:tc>
          <w:tcPr>
            <w:tcW w:w="7088" w:type="dxa"/>
            <w:vAlign w:val="center"/>
          </w:tcPr>
          <w:p w14:paraId="4866F7BC"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https://www.ird.fr/la-mediatheque/fiches-d-actualite-scientifique/178-sahel-une-secheresse-persistante</w:t>
            </w:r>
          </w:p>
        </w:tc>
      </w:tr>
      <w:tr w:rsidR="00017D06" w:rsidRPr="00BA1CEF" w14:paraId="609DC3C0" w14:textId="77777777" w:rsidTr="0035619B">
        <w:trPr>
          <w:cantSplit/>
        </w:trPr>
        <w:tc>
          <w:tcPr>
            <w:tcW w:w="710" w:type="dxa"/>
            <w:vAlign w:val="center"/>
          </w:tcPr>
          <w:p w14:paraId="352A37BC"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1998</w:t>
            </w:r>
          </w:p>
        </w:tc>
        <w:tc>
          <w:tcPr>
            <w:tcW w:w="1984" w:type="dxa"/>
            <w:vAlign w:val="center"/>
          </w:tcPr>
          <w:p w14:paraId="2FA8F11A"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INSTAT</w:t>
            </w:r>
          </w:p>
        </w:tc>
        <w:tc>
          <w:tcPr>
            <w:tcW w:w="7088" w:type="dxa"/>
            <w:vAlign w:val="center"/>
          </w:tcPr>
          <w:p w14:paraId="7F36490F" w14:textId="77777777" w:rsidR="00017D06" w:rsidRPr="00BA1CEF" w:rsidRDefault="00017D06" w:rsidP="0035619B">
            <w:pPr>
              <w:spacing w:after="0" w:line="240" w:lineRule="auto"/>
              <w:rPr>
                <w:rFonts w:eastAsia="SimSun" w:cs="Arial"/>
                <w:sz w:val="17"/>
                <w:szCs w:val="17"/>
                <w:lang w:val="fr-FR" w:eastAsia="zh-CN"/>
              </w:rPr>
            </w:pPr>
            <w:r w:rsidRPr="00BA1CEF">
              <w:rPr>
                <w:rFonts w:eastAsia="SimSun" w:cs="Arial"/>
                <w:sz w:val="17"/>
                <w:szCs w:val="17"/>
                <w:lang w:val="fr-FR" w:eastAsia="zh-CN"/>
              </w:rPr>
              <w:t>Annuaire statistique 1998</w:t>
            </w:r>
          </w:p>
        </w:tc>
      </w:tr>
      <w:tr w:rsidR="00E7203B" w:rsidRPr="00736FE4" w14:paraId="3F6343E3" w14:textId="77777777" w:rsidTr="00E7203B">
        <w:trPr>
          <w:cantSplit/>
        </w:trPr>
        <w:tc>
          <w:tcPr>
            <w:tcW w:w="710" w:type="dxa"/>
            <w:tcBorders>
              <w:top w:val="single" w:sz="4" w:space="0" w:color="auto"/>
              <w:left w:val="single" w:sz="4" w:space="0" w:color="auto"/>
              <w:bottom w:val="single" w:sz="4" w:space="0" w:color="auto"/>
              <w:right w:val="single" w:sz="4" w:space="0" w:color="auto"/>
            </w:tcBorders>
            <w:vAlign w:val="center"/>
          </w:tcPr>
          <w:p w14:paraId="1F6B8DF8" w14:textId="77777777" w:rsidR="00E7203B" w:rsidRPr="009B4A49" w:rsidRDefault="00E7203B" w:rsidP="00396E51">
            <w:pPr>
              <w:spacing w:after="0" w:line="240" w:lineRule="auto"/>
              <w:rPr>
                <w:rFonts w:eastAsia="SimSun" w:cs="Arial"/>
                <w:sz w:val="17"/>
                <w:szCs w:val="17"/>
                <w:lang w:val="fr-FR" w:eastAsia="zh-CN"/>
              </w:rPr>
            </w:pPr>
            <w:r w:rsidRPr="009B4A49">
              <w:rPr>
                <w:rFonts w:eastAsia="SimSun" w:cs="Arial"/>
                <w:sz w:val="17"/>
                <w:szCs w:val="17"/>
                <w:lang w:val="fr-FR" w:eastAsia="zh-CN"/>
              </w:rPr>
              <w:t>1997</w:t>
            </w:r>
          </w:p>
        </w:tc>
        <w:tc>
          <w:tcPr>
            <w:tcW w:w="1984" w:type="dxa"/>
            <w:tcBorders>
              <w:top w:val="single" w:sz="4" w:space="0" w:color="auto"/>
              <w:left w:val="single" w:sz="4" w:space="0" w:color="auto"/>
              <w:bottom w:val="single" w:sz="4" w:space="0" w:color="auto"/>
              <w:right w:val="single" w:sz="4" w:space="0" w:color="auto"/>
            </w:tcBorders>
            <w:vAlign w:val="center"/>
          </w:tcPr>
          <w:p w14:paraId="7C32282D" w14:textId="77777777" w:rsidR="00E7203B" w:rsidRPr="009B4A49" w:rsidRDefault="00E7203B" w:rsidP="00396E51">
            <w:pPr>
              <w:spacing w:after="0" w:line="240" w:lineRule="auto"/>
              <w:rPr>
                <w:rFonts w:eastAsia="SimSun" w:cs="Arial"/>
                <w:sz w:val="17"/>
                <w:szCs w:val="17"/>
                <w:lang w:val="fr-FR" w:eastAsia="zh-CN"/>
              </w:rPr>
            </w:pPr>
            <w:r w:rsidRPr="009B4A49">
              <w:rPr>
                <w:rFonts w:eastAsia="SimSun" w:cs="Arial"/>
                <w:sz w:val="17"/>
                <w:szCs w:val="17"/>
                <w:lang w:val="fr-FR" w:eastAsia="zh-CN"/>
              </w:rPr>
              <w:t>Sanchez, P.A. et al.</w:t>
            </w:r>
          </w:p>
        </w:tc>
        <w:tc>
          <w:tcPr>
            <w:tcW w:w="7088" w:type="dxa"/>
            <w:tcBorders>
              <w:top w:val="single" w:sz="4" w:space="0" w:color="auto"/>
              <w:left w:val="single" w:sz="4" w:space="0" w:color="auto"/>
              <w:bottom w:val="single" w:sz="4" w:space="0" w:color="auto"/>
              <w:right w:val="single" w:sz="4" w:space="0" w:color="auto"/>
            </w:tcBorders>
            <w:vAlign w:val="center"/>
          </w:tcPr>
          <w:p w14:paraId="2B3C3252" w14:textId="77777777" w:rsidR="00E7203B" w:rsidRPr="009B4A49" w:rsidRDefault="00E7203B" w:rsidP="00396E51">
            <w:pPr>
              <w:spacing w:after="0" w:line="240" w:lineRule="auto"/>
              <w:rPr>
                <w:rFonts w:eastAsia="SimSun" w:cs="Arial"/>
                <w:sz w:val="17"/>
                <w:szCs w:val="17"/>
                <w:lang w:val="en-GB" w:eastAsia="zh-CN"/>
              </w:rPr>
            </w:pPr>
            <w:r w:rsidRPr="009B4A49">
              <w:rPr>
                <w:rFonts w:eastAsia="SimSun" w:cs="Arial"/>
                <w:sz w:val="17"/>
                <w:szCs w:val="17"/>
                <w:lang w:val="en-GB" w:eastAsia="zh-CN"/>
              </w:rPr>
              <w:t>Soil fertility replenishment in Africa: An investment in natural resource capital. In Replenishing Soil fertility in Africa. SSSA Special Publication Number 51.1-46.</w:t>
            </w:r>
          </w:p>
        </w:tc>
      </w:tr>
    </w:tbl>
    <w:p w14:paraId="5E303BF9" w14:textId="77777777" w:rsidR="009554B4" w:rsidRPr="00FF1B20" w:rsidRDefault="009554B4" w:rsidP="00770DD7">
      <w:pPr>
        <w:pStyle w:val="Titre2"/>
        <w:rPr>
          <w:lang w:val="en-US" w:eastAsia="fr-FR"/>
        </w:rPr>
        <w:sectPr w:rsidR="009554B4" w:rsidRPr="00FF1B20" w:rsidSect="00D90285">
          <w:pgSz w:w="11906" w:h="16838"/>
          <w:pgMar w:top="1417" w:right="1417" w:bottom="1417" w:left="1417" w:header="708" w:footer="708" w:gutter="0"/>
          <w:cols w:space="708"/>
          <w:docGrid w:linePitch="360"/>
        </w:sectPr>
      </w:pPr>
    </w:p>
    <w:p w14:paraId="7B79977F" w14:textId="77777777" w:rsidR="00282133" w:rsidRPr="000806D2" w:rsidRDefault="003B087C" w:rsidP="00770DD7">
      <w:pPr>
        <w:pStyle w:val="Titre2"/>
        <w:rPr>
          <w:lang w:eastAsia="fr-FR"/>
        </w:rPr>
      </w:pPr>
      <w:bookmarkStart w:id="152" w:name="_Toc393900331"/>
      <w:bookmarkStart w:id="153" w:name="_Toc20505723"/>
      <w:r w:rsidRPr="00BA1CEF">
        <w:rPr>
          <w:lang w:eastAsia="fr-FR"/>
        </w:rPr>
        <w:lastRenderedPageBreak/>
        <w:t>8</w:t>
      </w:r>
      <w:r w:rsidR="00E87B53" w:rsidRPr="00BA1CEF">
        <w:rPr>
          <w:lang w:eastAsia="fr-FR"/>
        </w:rPr>
        <w:t>.6</w:t>
      </w:r>
      <w:r w:rsidR="00282133" w:rsidRPr="00BA1CEF">
        <w:rPr>
          <w:lang w:eastAsia="fr-FR"/>
        </w:rPr>
        <w:t xml:space="preserve"> Curriculum vitae des consultants</w:t>
      </w:r>
      <w:bookmarkEnd w:id="152"/>
      <w:bookmarkEnd w:id="153"/>
    </w:p>
    <w:p w14:paraId="02B5CD64" w14:textId="77777777" w:rsidR="00DD4C8C" w:rsidRPr="00572A93" w:rsidRDefault="00DD4C8C" w:rsidP="00572A93">
      <w:pPr>
        <w:spacing w:after="0" w:line="240" w:lineRule="auto"/>
        <w:rPr>
          <w:rFonts w:cs="Arial"/>
          <w:b/>
          <w:spacing w:val="-2"/>
          <w:sz w:val="20"/>
          <w:szCs w:val="20"/>
          <w:lang w:val="fr-FR"/>
        </w:rPr>
      </w:pPr>
      <w:r w:rsidRPr="007B356D">
        <w:rPr>
          <w:rFonts w:cs="Arial"/>
          <w:b/>
          <w:sz w:val="20"/>
          <w:szCs w:val="20"/>
          <w:lang w:val="fr-FR" w:eastAsia="zh-CN"/>
        </w:rPr>
        <w:t>CURRICULUM VITAE – Expert International  – Chef de Mission – Birgit Halle</w:t>
      </w:r>
    </w:p>
    <w:p w14:paraId="13951853" w14:textId="77777777" w:rsidR="00DD4C8C" w:rsidRPr="00572A93" w:rsidRDefault="00DD4C8C" w:rsidP="00572A93">
      <w:pPr>
        <w:spacing w:after="0" w:line="240" w:lineRule="auto"/>
        <w:rPr>
          <w:rFonts w:eastAsia="SimSun" w:cs="Arial"/>
          <w:bCs/>
          <w:sz w:val="8"/>
          <w:szCs w:val="8"/>
          <w:lang w:val="fr-FR" w:eastAsia="zh-CN"/>
        </w:rPr>
      </w:pPr>
    </w:p>
    <w:p w14:paraId="59D2D4F6" w14:textId="77777777" w:rsidR="00DD4C8C" w:rsidRPr="00572A93" w:rsidRDefault="00DD4C8C" w:rsidP="00572A93">
      <w:pPr>
        <w:spacing w:after="0" w:line="240" w:lineRule="auto"/>
        <w:rPr>
          <w:rFonts w:cs="Arial"/>
          <w:sz w:val="16"/>
          <w:szCs w:val="16"/>
          <w:lang w:val="fr-FR" w:eastAsia="zh-CN"/>
        </w:rPr>
      </w:pPr>
      <w:r w:rsidRPr="00572A93">
        <w:rPr>
          <w:rFonts w:cs="Arial"/>
          <w:sz w:val="16"/>
          <w:szCs w:val="16"/>
          <w:lang w:val="fr-FR" w:eastAsia="zh-CN"/>
        </w:rPr>
        <w:t>Née le 30/12/1963 à Unna (Allemagne), Allemande, célibataire</w:t>
      </w:r>
    </w:p>
    <w:p w14:paraId="0840C3AD" w14:textId="77777777" w:rsidR="00DD4C8C" w:rsidRPr="00572A93" w:rsidRDefault="00DD4C8C" w:rsidP="00572A93">
      <w:pPr>
        <w:spacing w:after="0" w:line="240" w:lineRule="auto"/>
        <w:rPr>
          <w:rFonts w:eastAsia="SimSun" w:cs="Arial"/>
          <w:sz w:val="8"/>
          <w:szCs w:val="16"/>
          <w:lang w:val="fr-FR" w:eastAsia="zh-CN"/>
        </w:rPr>
      </w:pPr>
    </w:p>
    <w:p w14:paraId="379F8350" w14:textId="77777777" w:rsidR="00DD4C8C" w:rsidRPr="00572A93" w:rsidRDefault="00DD4C8C" w:rsidP="00572A93">
      <w:pPr>
        <w:spacing w:after="0" w:line="240" w:lineRule="auto"/>
        <w:rPr>
          <w:rFonts w:cs="Arial"/>
          <w:sz w:val="16"/>
          <w:szCs w:val="16"/>
          <w:lang w:val="fr-FR" w:eastAsia="zh-CN"/>
        </w:rPr>
      </w:pPr>
      <w:r w:rsidRPr="00572A93">
        <w:rPr>
          <w:rFonts w:cs="Arial"/>
          <w:bCs/>
          <w:sz w:val="16"/>
          <w:szCs w:val="16"/>
          <w:u w:val="single"/>
          <w:lang w:val="fr-FR" w:eastAsia="zh-CN"/>
        </w:rPr>
        <w:t xml:space="preserve">Formation (1983 -1989) : </w:t>
      </w:r>
      <w:r w:rsidRPr="00572A93">
        <w:rPr>
          <w:rFonts w:cs="Arial"/>
          <w:sz w:val="16"/>
          <w:szCs w:val="16"/>
          <w:lang w:val="fr-FR" w:eastAsia="zh-CN"/>
        </w:rPr>
        <w:t>Etude de géographie à l’Université de Cologne (Allemagne), titre ‘Diplôme – Géographe’ (Master</w:t>
      </w:r>
      <w:r w:rsidR="008D4394">
        <w:rPr>
          <w:rFonts w:cs="Arial"/>
          <w:sz w:val="16"/>
          <w:szCs w:val="16"/>
          <w:lang w:val="fr-FR" w:eastAsia="zh-CN"/>
        </w:rPr>
        <w:t xml:space="preserve"> 2</w:t>
      </w:r>
      <w:r w:rsidRPr="00572A93">
        <w:rPr>
          <w:rFonts w:cs="Arial"/>
          <w:sz w:val="16"/>
          <w:szCs w:val="16"/>
          <w:lang w:val="fr-FR" w:eastAsia="zh-CN"/>
        </w:rPr>
        <w:t xml:space="preserve">, bac + 5). </w:t>
      </w:r>
    </w:p>
    <w:p w14:paraId="7D7D6821" w14:textId="77777777" w:rsidR="00DD4C8C" w:rsidRPr="00DD4C8C" w:rsidRDefault="00DD4C8C" w:rsidP="00DD4C8C">
      <w:pPr>
        <w:widowControl w:val="0"/>
        <w:adjustRightInd w:val="0"/>
        <w:spacing w:after="0" w:line="288" w:lineRule="auto"/>
        <w:textAlignment w:val="baseline"/>
        <w:rPr>
          <w:rFonts w:eastAsia="SimSun" w:cs="Arial"/>
          <w:sz w:val="8"/>
          <w:szCs w:val="16"/>
          <w:lang w:val="fr-FR" w:eastAsia="zh-CN"/>
        </w:rPr>
      </w:pPr>
    </w:p>
    <w:p w14:paraId="4F10B28C" w14:textId="77777777" w:rsidR="00DD4C8C" w:rsidRPr="00F21E87" w:rsidRDefault="00DD4C8C" w:rsidP="00F21E87">
      <w:pPr>
        <w:spacing w:after="0" w:line="240" w:lineRule="auto"/>
        <w:rPr>
          <w:rFonts w:cs="Arial"/>
          <w:sz w:val="16"/>
          <w:szCs w:val="16"/>
          <w:lang w:val="fr-FR" w:eastAsia="zh-CN"/>
        </w:rPr>
      </w:pPr>
      <w:r w:rsidRPr="00F21E87">
        <w:rPr>
          <w:rFonts w:cs="Arial"/>
          <w:b/>
          <w:bCs/>
          <w:sz w:val="16"/>
          <w:szCs w:val="16"/>
          <w:u w:val="single"/>
          <w:lang w:val="fr-FR" w:eastAsia="zh-CN"/>
        </w:rPr>
        <w:t xml:space="preserve">Formations de perfectionnement : </w:t>
      </w:r>
      <w:r w:rsidRPr="00F21E87">
        <w:rPr>
          <w:rFonts w:cs="Arial"/>
          <w:sz w:val="16"/>
          <w:szCs w:val="16"/>
          <w:lang w:val="fr-FR" w:eastAsia="zh-CN"/>
        </w:rPr>
        <w:t>Gestion des conflits, développement organisationnel, développement locale et gestion des ressources naturelles, management systématique : réflexion en réseau et activités stratégiques dans la coopération technique, planification des programmes sectoriels des programmes de pays, méthodes de planification des projets et des programmes, monitoring d’impact dans la coopération technique</w:t>
      </w:r>
    </w:p>
    <w:p w14:paraId="4E9E88BD" w14:textId="77777777" w:rsidR="00DD4C8C" w:rsidRPr="00DD4C8C" w:rsidRDefault="00DD4C8C" w:rsidP="00DD4C8C">
      <w:pPr>
        <w:widowControl w:val="0"/>
        <w:adjustRightInd w:val="0"/>
        <w:spacing w:after="0" w:line="288" w:lineRule="auto"/>
        <w:textAlignment w:val="baseline"/>
        <w:rPr>
          <w:rFonts w:eastAsia="SimSun" w:cs="Arial"/>
          <w:sz w:val="8"/>
          <w:szCs w:val="16"/>
          <w:lang w:val="fr-FR" w:eastAsia="zh-CN"/>
        </w:rPr>
      </w:pPr>
    </w:p>
    <w:p w14:paraId="32F0995F" w14:textId="77777777" w:rsidR="00DD4C8C" w:rsidRPr="00DD4C8C" w:rsidRDefault="00DD4C8C" w:rsidP="00DD4C8C">
      <w:pPr>
        <w:widowControl w:val="0"/>
        <w:adjustRightInd w:val="0"/>
        <w:spacing w:after="0" w:line="288" w:lineRule="auto"/>
        <w:textAlignment w:val="baseline"/>
        <w:rPr>
          <w:rFonts w:eastAsia="SimSun" w:cs="Arial"/>
          <w:bCs/>
          <w:sz w:val="16"/>
          <w:szCs w:val="16"/>
          <w:lang w:val="fr-FR" w:eastAsia="zh-CN"/>
        </w:rPr>
      </w:pPr>
      <w:r w:rsidRPr="00DD4C8C">
        <w:rPr>
          <w:rFonts w:eastAsia="SimSun" w:cs="Arial"/>
          <w:b/>
          <w:bCs/>
          <w:sz w:val="16"/>
          <w:szCs w:val="16"/>
          <w:u w:val="single"/>
          <w:lang w:val="fr-FR" w:eastAsia="zh-CN"/>
        </w:rPr>
        <w:t xml:space="preserve">Principales qualifications : </w:t>
      </w:r>
      <w:r w:rsidRPr="00DD4C8C">
        <w:rPr>
          <w:rFonts w:eastAsia="SimSun" w:cs="Arial"/>
          <w:bCs/>
          <w:sz w:val="16"/>
          <w:szCs w:val="16"/>
          <w:lang w:val="fr-FR" w:eastAsia="zh-CN"/>
        </w:rPr>
        <w:t xml:space="preserve">Gestion des ressources naturelles et des aires protégées, écologie, </w:t>
      </w:r>
      <w:r w:rsidRPr="00DD4C8C">
        <w:rPr>
          <w:rFonts w:eastAsia="SimSun" w:cs="Arial"/>
          <w:sz w:val="16"/>
          <w:szCs w:val="16"/>
          <w:lang w:val="fr-FR" w:eastAsia="zh-CN"/>
        </w:rPr>
        <w:t xml:space="preserve">développement rural, gestion du territoire, études de faisabilité, de formulation et d’évaluation des projets, ROM (monitoring orienté vers les résultats), </w:t>
      </w:r>
      <w:r w:rsidRPr="00DD4C8C">
        <w:rPr>
          <w:rFonts w:eastAsia="SimSun" w:cs="Arial"/>
          <w:bCs/>
          <w:sz w:val="16"/>
          <w:szCs w:val="16"/>
          <w:lang w:val="fr-FR" w:eastAsia="zh-CN"/>
        </w:rPr>
        <w:t xml:space="preserve">approche participative, ONG et organisations paysannes, genre, intégration de la société civile, négociations, développement organisationnel, sensibilisation </w:t>
      </w:r>
    </w:p>
    <w:p w14:paraId="53389BC4" w14:textId="77777777" w:rsidR="00DD4C8C" w:rsidRPr="00DD4C8C" w:rsidRDefault="00DD4C8C" w:rsidP="00DD4C8C">
      <w:pPr>
        <w:widowControl w:val="0"/>
        <w:adjustRightInd w:val="0"/>
        <w:spacing w:after="0" w:line="288" w:lineRule="auto"/>
        <w:textAlignment w:val="baseline"/>
        <w:rPr>
          <w:rFonts w:eastAsia="SimSun" w:cs="Arial"/>
          <w:sz w:val="8"/>
          <w:szCs w:val="16"/>
          <w:lang w:val="fr-FR" w:eastAsia="zh-CN"/>
        </w:rPr>
      </w:pPr>
    </w:p>
    <w:p w14:paraId="3DBC8844" w14:textId="77777777" w:rsidR="00DD4C8C" w:rsidRPr="00F21E87" w:rsidRDefault="00DD4C8C" w:rsidP="00F21E87">
      <w:pPr>
        <w:spacing w:after="0" w:line="240" w:lineRule="auto"/>
        <w:rPr>
          <w:rFonts w:cs="Arial"/>
          <w:sz w:val="16"/>
          <w:szCs w:val="16"/>
          <w:lang w:val="fr-FR" w:eastAsia="zh-CN"/>
        </w:rPr>
      </w:pPr>
      <w:r w:rsidRPr="00F21E87">
        <w:rPr>
          <w:rFonts w:cs="Arial"/>
          <w:b/>
          <w:sz w:val="16"/>
          <w:szCs w:val="16"/>
          <w:u w:val="single"/>
          <w:lang w:val="fr-FR" w:eastAsia="zh-CN"/>
        </w:rPr>
        <w:t>Emplois :</w:t>
      </w:r>
      <w:r w:rsidRPr="00F21E87">
        <w:rPr>
          <w:rFonts w:cs="Arial"/>
          <w:sz w:val="16"/>
          <w:szCs w:val="16"/>
          <w:u w:val="single"/>
          <w:lang w:val="fr-FR" w:eastAsia="zh-CN"/>
        </w:rPr>
        <w:t xml:space="preserve"> </w:t>
      </w:r>
      <w:r w:rsidRPr="00F21E87">
        <w:rPr>
          <w:rFonts w:cs="Arial"/>
          <w:sz w:val="16"/>
          <w:szCs w:val="16"/>
          <w:lang w:val="fr-FR" w:eastAsia="zh-CN"/>
        </w:rPr>
        <w:t>Depuis 4/2002 : consultante indépendante (missions de courte durée)</w:t>
      </w:r>
    </w:p>
    <w:p w14:paraId="04C47F49" w14:textId="77777777" w:rsidR="00F41E22" w:rsidRDefault="00F41E22" w:rsidP="00393CA8">
      <w:pPr>
        <w:widowControl w:val="0"/>
        <w:numPr>
          <w:ilvl w:val="0"/>
          <w:numId w:val="29"/>
        </w:numPr>
        <w:adjustRightInd w:val="0"/>
        <w:spacing w:after="0" w:line="240" w:lineRule="auto"/>
        <w:contextualSpacing/>
        <w:textAlignment w:val="baseline"/>
        <w:rPr>
          <w:rFonts w:eastAsia="SimSun" w:cs="Arial"/>
          <w:bCs/>
          <w:sz w:val="16"/>
          <w:szCs w:val="16"/>
          <w:lang w:val="fr-FR" w:eastAsia="zh-CN"/>
        </w:rPr>
      </w:pPr>
      <w:r w:rsidRPr="00F41E22">
        <w:rPr>
          <w:rFonts w:eastAsia="SimSun" w:cs="Arial"/>
          <w:bCs/>
          <w:sz w:val="16"/>
          <w:szCs w:val="16"/>
          <w:lang w:val="fr-FR" w:eastAsia="zh-CN"/>
        </w:rPr>
        <w:t xml:space="preserve">2018, </w:t>
      </w:r>
      <w:r>
        <w:rPr>
          <w:rFonts w:eastAsia="SimSun" w:cs="Arial"/>
          <w:bCs/>
          <w:sz w:val="16"/>
          <w:szCs w:val="16"/>
          <w:lang w:val="fr-FR" w:eastAsia="zh-CN"/>
        </w:rPr>
        <w:t>Libéria, Côte d’Ivoire, Ghana</w:t>
      </w:r>
      <w:r w:rsidRPr="00F41E22">
        <w:rPr>
          <w:rFonts w:eastAsia="SimSun" w:cs="Arial"/>
          <w:bCs/>
          <w:sz w:val="16"/>
          <w:szCs w:val="16"/>
          <w:lang w:val="fr-FR" w:eastAsia="zh-CN"/>
        </w:rPr>
        <w:t xml:space="preserve"> (UE) : ROM (Monitoring orienté vers les résultats) du projet</w:t>
      </w:r>
      <w:r w:rsidR="0039313F">
        <w:rPr>
          <w:rFonts w:eastAsia="SimSun" w:cs="Arial"/>
          <w:bCs/>
          <w:sz w:val="16"/>
          <w:szCs w:val="16"/>
          <w:lang w:val="fr-FR" w:eastAsia="zh-CN"/>
        </w:rPr>
        <w:t xml:space="preserve"> : </w:t>
      </w:r>
      <w:r w:rsidR="0039313F" w:rsidRPr="0039313F">
        <w:rPr>
          <w:rFonts w:eastAsia="SimSun" w:cs="Arial"/>
          <w:bCs/>
          <w:sz w:val="16"/>
          <w:szCs w:val="16"/>
          <w:lang w:val="fr-FR" w:eastAsia="zh-CN"/>
        </w:rPr>
        <w:t>Renforcer la capacité des acteurs non étatiques (ANE) d'Afrique de l'Ouest (ANE) à  surveiller, à plaider et à dialoguer avec les acteurs étatiques (AS) dans les processus FLEGT-APV et REDD+.</w:t>
      </w:r>
    </w:p>
    <w:p w14:paraId="0153BA30" w14:textId="77777777" w:rsidR="00F41E22" w:rsidRDefault="00F41E22" w:rsidP="00393CA8">
      <w:pPr>
        <w:widowControl w:val="0"/>
        <w:numPr>
          <w:ilvl w:val="0"/>
          <w:numId w:val="29"/>
        </w:numPr>
        <w:adjustRightInd w:val="0"/>
        <w:spacing w:after="0" w:line="240" w:lineRule="auto"/>
        <w:contextualSpacing/>
        <w:textAlignment w:val="baseline"/>
        <w:rPr>
          <w:rFonts w:eastAsia="SimSun" w:cs="Arial"/>
          <w:bCs/>
          <w:sz w:val="16"/>
          <w:szCs w:val="16"/>
          <w:lang w:val="fr-FR" w:eastAsia="zh-CN"/>
        </w:rPr>
      </w:pPr>
      <w:r>
        <w:rPr>
          <w:rFonts w:eastAsia="SimSun" w:cs="Arial"/>
          <w:bCs/>
          <w:sz w:val="16"/>
          <w:szCs w:val="16"/>
          <w:lang w:val="fr-FR" w:eastAsia="zh-CN"/>
        </w:rPr>
        <w:t xml:space="preserve">2018, Burkina Faso (UE) : </w:t>
      </w:r>
      <w:r w:rsidRPr="00F41E22">
        <w:rPr>
          <w:rFonts w:eastAsia="SimSun" w:cs="Arial"/>
          <w:bCs/>
          <w:sz w:val="16"/>
          <w:szCs w:val="16"/>
          <w:lang w:val="fr-FR" w:eastAsia="zh-CN"/>
        </w:rPr>
        <w:t>ROM (Monitoring orienté vers les résultats) d</w:t>
      </w:r>
      <w:r>
        <w:rPr>
          <w:rFonts w:eastAsia="SimSun" w:cs="Arial"/>
          <w:bCs/>
          <w:sz w:val="16"/>
          <w:szCs w:val="16"/>
          <w:lang w:val="fr-FR" w:eastAsia="zh-CN"/>
        </w:rPr>
        <w:t>u</w:t>
      </w:r>
      <w:r w:rsidRPr="00F41E22">
        <w:rPr>
          <w:rFonts w:eastAsia="SimSun" w:cs="Arial"/>
          <w:bCs/>
          <w:sz w:val="16"/>
          <w:szCs w:val="16"/>
          <w:lang w:val="fr-FR" w:eastAsia="zh-CN"/>
        </w:rPr>
        <w:t xml:space="preserve"> projet :</w:t>
      </w:r>
      <w:r w:rsidR="0039313F">
        <w:rPr>
          <w:rFonts w:eastAsia="SimSun" w:cs="Arial"/>
          <w:bCs/>
          <w:sz w:val="16"/>
          <w:szCs w:val="16"/>
          <w:lang w:val="fr-FR" w:eastAsia="zh-CN"/>
        </w:rPr>
        <w:t xml:space="preserve"> </w:t>
      </w:r>
      <w:r w:rsidR="0039313F" w:rsidRPr="0039313F">
        <w:rPr>
          <w:rFonts w:eastAsia="SimSun" w:cs="Arial"/>
          <w:bCs/>
          <w:sz w:val="16"/>
          <w:szCs w:val="16"/>
          <w:lang w:val="fr-FR" w:eastAsia="zh-CN"/>
        </w:rPr>
        <w:t>Gouvernance climatique et gestion durable et décentralisée des forêts (CLIM-GDDF)</w:t>
      </w:r>
    </w:p>
    <w:p w14:paraId="041A6C6D" w14:textId="77777777" w:rsidR="0039313F" w:rsidRPr="008D4394" w:rsidRDefault="00F41E22" w:rsidP="00393CA8">
      <w:pPr>
        <w:widowControl w:val="0"/>
        <w:numPr>
          <w:ilvl w:val="0"/>
          <w:numId w:val="29"/>
        </w:numPr>
        <w:adjustRightInd w:val="0"/>
        <w:spacing w:after="0" w:line="240" w:lineRule="auto"/>
        <w:contextualSpacing/>
        <w:textAlignment w:val="baseline"/>
        <w:rPr>
          <w:rFonts w:eastAsia="SimSun" w:cs="Arial"/>
          <w:bCs/>
          <w:sz w:val="16"/>
          <w:szCs w:val="16"/>
          <w:lang w:val="fr-FR" w:eastAsia="zh-CN"/>
        </w:rPr>
      </w:pPr>
      <w:r>
        <w:rPr>
          <w:rFonts w:eastAsia="SimSun" w:cs="Arial"/>
          <w:bCs/>
          <w:sz w:val="16"/>
          <w:szCs w:val="16"/>
          <w:lang w:val="fr-FR" w:eastAsia="zh-CN"/>
        </w:rPr>
        <w:t>2018, République Congo</w:t>
      </w:r>
      <w:r w:rsidR="0039313F">
        <w:rPr>
          <w:rFonts w:eastAsia="SimSun" w:cs="Arial"/>
          <w:bCs/>
          <w:sz w:val="16"/>
          <w:szCs w:val="16"/>
          <w:lang w:val="fr-FR" w:eastAsia="zh-CN"/>
        </w:rPr>
        <w:t xml:space="preserve"> (UE)</w:t>
      </w:r>
      <w:r>
        <w:rPr>
          <w:rFonts w:eastAsia="SimSun" w:cs="Arial"/>
          <w:bCs/>
          <w:sz w:val="16"/>
          <w:szCs w:val="16"/>
          <w:lang w:val="fr-FR" w:eastAsia="zh-CN"/>
        </w:rPr>
        <w:t> :</w:t>
      </w:r>
      <w:r w:rsidR="0039313F">
        <w:rPr>
          <w:rFonts w:eastAsia="SimSun" w:cs="Arial"/>
          <w:bCs/>
          <w:sz w:val="16"/>
          <w:szCs w:val="16"/>
          <w:lang w:val="fr-FR" w:eastAsia="zh-CN"/>
        </w:rPr>
        <w:t xml:space="preserve"> </w:t>
      </w:r>
      <w:r w:rsidR="0039313F" w:rsidRPr="0039313F">
        <w:rPr>
          <w:rFonts w:eastAsia="SimSun" w:cs="Arial"/>
          <w:bCs/>
          <w:sz w:val="16"/>
          <w:szCs w:val="16"/>
          <w:lang w:val="fr-FR" w:eastAsia="zh-CN"/>
        </w:rPr>
        <w:t>Evaluation de l’observation Indépendante des Forêts</w:t>
      </w:r>
      <w:r w:rsidR="0039313F">
        <w:rPr>
          <w:rFonts w:eastAsia="SimSun" w:cs="Arial"/>
          <w:bCs/>
          <w:sz w:val="16"/>
          <w:szCs w:val="16"/>
          <w:lang w:val="fr-FR" w:eastAsia="zh-CN"/>
        </w:rPr>
        <w:t xml:space="preserve"> </w:t>
      </w:r>
      <w:r w:rsidR="008D4394">
        <w:rPr>
          <w:rFonts w:eastAsia="SimSun" w:cs="Arial"/>
          <w:bCs/>
          <w:sz w:val="16"/>
          <w:szCs w:val="16"/>
          <w:lang w:val="fr-FR" w:eastAsia="zh-CN"/>
        </w:rPr>
        <w:t xml:space="preserve">dans le processus </w:t>
      </w:r>
      <w:r w:rsidR="0039313F">
        <w:rPr>
          <w:rFonts w:eastAsia="SimSun" w:cs="Arial"/>
          <w:bCs/>
          <w:sz w:val="16"/>
          <w:szCs w:val="16"/>
          <w:lang w:val="fr-FR" w:eastAsia="zh-CN"/>
        </w:rPr>
        <w:t>APV – FLEGT, CM</w:t>
      </w:r>
    </w:p>
    <w:p w14:paraId="04BE52CA" w14:textId="77777777" w:rsidR="0039313F" w:rsidRDefault="0039313F" w:rsidP="00393CA8">
      <w:pPr>
        <w:widowControl w:val="0"/>
        <w:numPr>
          <w:ilvl w:val="0"/>
          <w:numId w:val="29"/>
        </w:numPr>
        <w:adjustRightInd w:val="0"/>
        <w:spacing w:after="0" w:line="240" w:lineRule="auto"/>
        <w:contextualSpacing/>
        <w:textAlignment w:val="baseline"/>
        <w:rPr>
          <w:rFonts w:eastAsia="SimSun" w:cs="Arial"/>
          <w:bCs/>
          <w:sz w:val="16"/>
          <w:szCs w:val="16"/>
          <w:lang w:val="fr-FR" w:eastAsia="zh-CN"/>
        </w:rPr>
      </w:pPr>
      <w:r>
        <w:rPr>
          <w:rFonts w:eastAsia="SimSun" w:cs="Arial"/>
          <w:bCs/>
          <w:sz w:val="16"/>
          <w:szCs w:val="16"/>
          <w:lang w:val="fr-FR" w:eastAsia="zh-CN"/>
        </w:rPr>
        <w:t xml:space="preserve">2017, Mauritanie (GIZ) : </w:t>
      </w:r>
      <w:r w:rsidRPr="0039313F">
        <w:rPr>
          <w:rFonts w:eastAsia="SimSun" w:cs="Arial"/>
          <w:bCs/>
          <w:sz w:val="16"/>
          <w:szCs w:val="16"/>
          <w:lang w:val="fr-FR" w:eastAsia="zh-CN"/>
        </w:rPr>
        <w:t xml:space="preserve">Élaboration de la Stratégie Nationale de l’Environnement et du Développement Durable (SNEDD) et du Plan National </w:t>
      </w:r>
      <w:r w:rsidR="008D4394">
        <w:rPr>
          <w:rFonts w:eastAsia="SimSun" w:cs="Arial"/>
          <w:bCs/>
          <w:sz w:val="16"/>
          <w:szCs w:val="16"/>
          <w:lang w:val="fr-FR" w:eastAsia="zh-CN"/>
        </w:rPr>
        <w:t>PNEDD, CM</w:t>
      </w:r>
    </w:p>
    <w:p w14:paraId="147ACF68" w14:textId="77777777" w:rsidR="008D4394" w:rsidRDefault="008D4394" w:rsidP="00393CA8">
      <w:pPr>
        <w:widowControl w:val="0"/>
        <w:numPr>
          <w:ilvl w:val="0"/>
          <w:numId w:val="29"/>
        </w:numPr>
        <w:adjustRightInd w:val="0"/>
        <w:spacing w:after="0" w:line="240" w:lineRule="auto"/>
        <w:contextualSpacing/>
        <w:textAlignment w:val="baseline"/>
        <w:rPr>
          <w:rFonts w:eastAsia="SimSun" w:cs="Arial"/>
          <w:bCs/>
          <w:sz w:val="16"/>
          <w:szCs w:val="16"/>
          <w:lang w:val="fr-FR" w:eastAsia="zh-CN"/>
        </w:rPr>
      </w:pPr>
      <w:r>
        <w:rPr>
          <w:rFonts w:eastAsia="SimSun" w:cs="Arial"/>
          <w:bCs/>
          <w:sz w:val="16"/>
          <w:szCs w:val="16"/>
          <w:lang w:val="fr-FR" w:eastAsia="zh-CN"/>
        </w:rPr>
        <w:t xml:space="preserve">2017, Tchad (UE) : </w:t>
      </w:r>
      <w:r w:rsidRPr="008D4394">
        <w:rPr>
          <w:rFonts w:eastAsia="SimSun" w:cs="Arial"/>
          <w:bCs/>
          <w:sz w:val="16"/>
          <w:szCs w:val="16"/>
          <w:lang w:val="fr-FR" w:eastAsia="zh-CN"/>
        </w:rPr>
        <w:t>Evaluat</w:t>
      </w:r>
      <w:r>
        <w:rPr>
          <w:rFonts w:eastAsia="SimSun" w:cs="Arial"/>
          <w:bCs/>
          <w:sz w:val="16"/>
          <w:szCs w:val="16"/>
          <w:lang w:val="fr-FR" w:eastAsia="zh-CN"/>
        </w:rPr>
        <w:t>ion finale du PADL I et II</w:t>
      </w:r>
      <w:r w:rsidRPr="008D4394">
        <w:rPr>
          <w:rFonts w:eastAsia="SimSun" w:cs="Arial"/>
          <w:bCs/>
          <w:sz w:val="16"/>
          <w:szCs w:val="16"/>
          <w:lang w:val="fr-FR" w:eastAsia="zh-CN"/>
        </w:rPr>
        <w:t xml:space="preserve">  (Programme d’Appui au Développement Local)</w:t>
      </w:r>
    </w:p>
    <w:p w14:paraId="46738FF1" w14:textId="77777777" w:rsidR="00F41E22" w:rsidRPr="00F41E22" w:rsidRDefault="00F41E22" w:rsidP="00393CA8">
      <w:pPr>
        <w:widowControl w:val="0"/>
        <w:numPr>
          <w:ilvl w:val="0"/>
          <w:numId w:val="29"/>
        </w:numPr>
        <w:adjustRightInd w:val="0"/>
        <w:spacing w:after="0" w:line="240" w:lineRule="auto"/>
        <w:contextualSpacing/>
        <w:textAlignment w:val="baseline"/>
        <w:rPr>
          <w:rFonts w:eastAsia="SimSun" w:cs="Arial"/>
          <w:bCs/>
          <w:sz w:val="16"/>
          <w:szCs w:val="16"/>
          <w:lang w:val="fr-FR" w:eastAsia="zh-CN"/>
        </w:rPr>
      </w:pPr>
      <w:r w:rsidRPr="00F41E22">
        <w:rPr>
          <w:rFonts w:eastAsia="SimSun" w:cs="Arial"/>
          <w:bCs/>
          <w:sz w:val="16"/>
          <w:szCs w:val="16"/>
          <w:lang w:val="fr-FR" w:eastAsia="zh-CN"/>
        </w:rPr>
        <w:t xml:space="preserve">2016/17, Région Caraïbe (UE) Evaluation à mi-parcours du programme </w:t>
      </w:r>
      <w:r>
        <w:rPr>
          <w:rFonts w:eastAsia="SimSun" w:cs="Arial"/>
          <w:bCs/>
          <w:sz w:val="16"/>
          <w:szCs w:val="16"/>
          <w:lang w:val="fr-FR" w:eastAsia="zh-CN"/>
        </w:rPr>
        <w:t>‘</w:t>
      </w:r>
      <w:r w:rsidRPr="00F41E22">
        <w:rPr>
          <w:rFonts w:eastAsia="SimSun" w:cs="Arial"/>
          <w:bCs/>
          <w:sz w:val="16"/>
          <w:szCs w:val="16"/>
          <w:lang w:val="fr-FR" w:eastAsia="zh-CN"/>
        </w:rPr>
        <w:t>Gestion des risques des désastres naturelles dans la région CARIFORUM, C</w:t>
      </w:r>
      <w:r>
        <w:rPr>
          <w:rFonts w:eastAsia="SimSun" w:cs="Arial"/>
          <w:bCs/>
          <w:sz w:val="16"/>
          <w:szCs w:val="16"/>
          <w:lang w:val="fr-FR" w:eastAsia="zh-CN"/>
        </w:rPr>
        <w:t>M</w:t>
      </w:r>
    </w:p>
    <w:p w14:paraId="5A65D9AE" w14:textId="77777777" w:rsidR="00F41E22" w:rsidRPr="00F41E22" w:rsidRDefault="00F41E22" w:rsidP="00393CA8">
      <w:pPr>
        <w:widowControl w:val="0"/>
        <w:numPr>
          <w:ilvl w:val="0"/>
          <w:numId w:val="29"/>
        </w:numPr>
        <w:adjustRightInd w:val="0"/>
        <w:spacing w:after="0" w:line="240" w:lineRule="auto"/>
        <w:contextualSpacing/>
        <w:textAlignment w:val="baseline"/>
        <w:rPr>
          <w:rFonts w:eastAsia="SimSun" w:cs="Arial"/>
          <w:bCs/>
          <w:sz w:val="16"/>
          <w:szCs w:val="16"/>
          <w:lang w:val="fr-FR" w:eastAsia="zh-CN"/>
        </w:rPr>
      </w:pPr>
      <w:r w:rsidRPr="00F41E22">
        <w:rPr>
          <w:rFonts w:eastAsia="SimSun" w:cs="Arial"/>
          <w:bCs/>
          <w:sz w:val="16"/>
          <w:szCs w:val="16"/>
          <w:lang w:val="fr-FR" w:eastAsia="zh-CN"/>
        </w:rPr>
        <w:t>2016, Mali, (UE) : Evaluation finale de l’intervention AGCC au Mali, C</w:t>
      </w:r>
      <w:r>
        <w:rPr>
          <w:rFonts w:eastAsia="SimSun" w:cs="Arial"/>
          <w:bCs/>
          <w:sz w:val="16"/>
          <w:szCs w:val="16"/>
          <w:lang w:val="fr-FR" w:eastAsia="zh-CN"/>
        </w:rPr>
        <w:t>M</w:t>
      </w:r>
    </w:p>
    <w:p w14:paraId="105CCCD8" w14:textId="77777777" w:rsidR="00F41E22" w:rsidRPr="00F41E22" w:rsidRDefault="00F41E22" w:rsidP="00393CA8">
      <w:pPr>
        <w:widowControl w:val="0"/>
        <w:numPr>
          <w:ilvl w:val="0"/>
          <w:numId w:val="29"/>
        </w:numPr>
        <w:adjustRightInd w:val="0"/>
        <w:spacing w:after="0" w:line="240" w:lineRule="auto"/>
        <w:contextualSpacing/>
        <w:textAlignment w:val="baseline"/>
        <w:rPr>
          <w:rFonts w:eastAsia="SimSun" w:cs="Arial"/>
          <w:bCs/>
          <w:sz w:val="16"/>
          <w:szCs w:val="16"/>
          <w:lang w:val="fr-FR" w:eastAsia="zh-CN"/>
        </w:rPr>
      </w:pPr>
      <w:r w:rsidRPr="00F41E22">
        <w:rPr>
          <w:rFonts w:eastAsia="SimSun" w:cs="Arial"/>
          <w:bCs/>
          <w:sz w:val="16"/>
          <w:szCs w:val="16"/>
          <w:lang w:val="fr-FR" w:eastAsia="zh-CN"/>
        </w:rPr>
        <w:t>2015/16, Tchad, (UE) : Mission</w:t>
      </w:r>
      <w:r>
        <w:rPr>
          <w:rFonts w:eastAsia="SimSun" w:cs="Arial"/>
          <w:bCs/>
          <w:sz w:val="16"/>
          <w:szCs w:val="16"/>
          <w:lang w:val="fr-FR" w:eastAsia="zh-CN"/>
        </w:rPr>
        <w:t>s</w:t>
      </w:r>
      <w:r w:rsidRPr="00F41E22">
        <w:rPr>
          <w:rFonts w:eastAsia="SimSun" w:cs="Arial"/>
          <w:bCs/>
          <w:sz w:val="16"/>
          <w:szCs w:val="16"/>
          <w:lang w:val="fr-FR" w:eastAsia="zh-CN"/>
        </w:rPr>
        <w:t xml:space="preserve"> d’identification et de formulation d’appui aux aires protégées </w:t>
      </w:r>
      <w:r>
        <w:rPr>
          <w:rFonts w:eastAsia="SimSun" w:cs="Arial"/>
          <w:bCs/>
          <w:sz w:val="16"/>
          <w:szCs w:val="16"/>
          <w:lang w:val="fr-FR" w:eastAsia="zh-CN"/>
        </w:rPr>
        <w:t>et écosystèmes fragiles (</w:t>
      </w:r>
      <w:r w:rsidRPr="00F41E22">
        <w:rPr>
          <w:rFonts w:eastAsia="SimSun" w:cs="Arial"/>
          <w:bCs/>
          <w:sz w:val="16"/>
          <w:szCs w:val="16"/>
          <w:lang w:val="fr-FR" w:eastAsia="zh-CN"/>
        </w:rPr>
        <w:t xml:space="preserve">secteur </w:t>
      </w:r>
      <w:r>
        <w:rPr>
          <w:rFonts w:eastAsia="SimSun" w:cs="Arial"/>
          <w:bCs/>
          <w:sz w:val="16"/>
          <w:szCs w:val="16"/>
          <w:lang w:val="fr-FR" w:eastAsia="zh-CN"/>
        </w:rPr>
        <w:t>‘GRN’</w:t>
      </w:r>
      <w:r w:rsidRPr="00F41E22">
        <w:rPr>
          <w:rFonts w:eastAsia="SimSun" w:cs="Arial"/>
          <w:bCs/>
          <w:sz w:val="16"/>
          <w:szCs w:val="16"/>
          <w:lang w:val="fr-FR" w:eastAsia="zh-CN"/>
        </w:rPr>
        <w:t xml:space="preserve"> du 11ème FED. (3 missions)</w:t>
      </w:r>
    </w:p>
    <w:p w14:paraId="532B2BC5" w14:textId="77777777" w:rsidR="00F41E22" w:rsidRPr="00F41E22" w:rsidRDefault="00F41E22" w:rsidP="00393CA8">
      <w:pPr>
        <w:widowControl w:val="0"/>
        <w:numPr>
          <w:ilvl w:val="0"/>
          <w:numId w:val="29"/>
        </w:numPr>
        <w:adjustRightInd w:val="0"/>
        <w:spacing w:after="0" w:line="240" w:lineRule="auto"/>
        <w:contextualSpacing/>
        <w:textAlignment w:val="baseline"/>
        <w:rPr>
          <w:rFonts w:eastAsia="SimSun" w:cs="Arial"/>
          <w:bCs/>
          <w:sz w:val="16"/>
          <w:szCs w:val="16"/>
          <w:lang w:val="fr-FR" w:eastAsia="zh-CN"/>
        </w:rPr>
      </w:pPr>
      <w:r w:rsidRPr="00F41E22">
        <w:rPr>
          <w:rFonts w:eastAsia="SimSun" w:cs="Arial"/>
          <w:bCs/>
          <w:sz w:val="16"/>
          <w:szCs w:val="16"/>
          <w:lang w:val="fr-FR" w:eastAsia="zh-CN"/>
        </w:rPr>
        <w:t xml:space="preserve">2015, Bénin, (UE) : Evaluation à mi - parcours de l’intervention AMCC au Bénin, </w:t>
      </w:r>
      <w:r>
        <w:rPr>
          <w:rFonts w:eastAsia="SimSun" w:cs="Arial"/>
          <w:bCs/>
          <w:sz w:val="16"/>
          <w:szCs w:val="16"/>
          <w:lang w:val="fr-FR" w:eastAsia="zh-CN"/>
        </w:rPr>
        <w:t>CM</w:t>
      </w:r>
    </w:p>
    <w:p w14:paraId="3A3B1256" w14:textId="77777777" w:rsidR="00F41E22" w:rsidRPr="00F41E22" w:rsidRDefault="00F41E22" w:rsidP="00393CA8">
      <w:pPr>
        <w:widowControl w:val="0"/>
        <w:numPr>
          <w:ilvl w:val="0"/>
          <w:numId w:val="29"/>
        </w:numPr>
        <w:adjustRightInd w:val="0"/>
        <w:spacing w:after="0" w:line="240" w:lineRule="auto"/>
        <w:contextualSpacing/>
        <w:textAlignment w:val="baseline"/>
        <w:rPr>
          <w:rFonts w:eastAsia="SimSun" w:cs="Arial"/>
          <w:bCs/>
          <w:sz w:val="16"/>
          <w:szCs w:val="16"/>
          <w:lang w:val="fr-FR" w:eastAsia="zh-CN"/>
        </w:rPr>
      </w:pPr>
      <w:r w:rsidRPr="00F41E22">
        <w:rPr>
          <w:rFonts w:eastAsia="SimSun" w:cs="Arial"/>
          <w:bCs/>
          <w:sz w:val="16"/>
          <w:szCs w:val="16"/>
          <w:lang w:val="fr-FR" w:eastAsia="zh-CN"/>
        </w:rPr>
        <w:t>2014 (U</w:t>
      </w:r>
      <w:r>
        <w:rPr>
          <w:rFonts w:eastAsia="SimSun" w:cs="Arial"/>
          <w:bCs/>
          <w:sz w:val="16"/>
          <w:szCs w:val="16"/>
          <w:lang w:val="fr-FR" w:eastAsia="zh-CN"/>
        </w:rPr>
        <w:t>E</w:t>
      </w:r>
      <w:r w:rsidRPr="00F41E22">
        <w:rPr>
          <w:rFonts w:eastAsia="SimSun" w:cs="Arial"/>
          <w:bCs/>
          <w:sz w:val="16"/>
          <w:szCs w:val="16"/>
          <w:lang w:val="fr-FR" w:eastAsia="zh-CN"/>
        </w:rPr>
        <w:t>) : Evaluation des propositions des projets environnementaux à l’Union Européenne (appel de proposition LIFE). Membre de commission d’évaluation des propositions des projets dans le domaine ‘Gouvernance Environnemental et Information’ dans les pays membres de l’Union Européenne.</w:t>
      </w:r>
    </w:p>
    <w:p w14:paraId="073B4B0E" w14:textId="77777777" w:rsidR="00DD4C8C" w:rsidRPr="00DD4C8C" w:rsidRDefault="00DD4C8C" w:rsidP="00393CA8">
      <w:pPr>
        <w:widowControl w:val="0"/>
        <w:numPr>
          <w:ilvl w:val="0"/>
          <w:numId w:val="29"/>
        </w:numPr>
        <w:adjustRightInd w:val="0"/>
        <w:spacing w:after="0" w:line="240" w:lineRule="auto"/>
        <w:contextualSpacing/>
        <w:textAlignment w:val="baseline"/>
        <w:rPr>
          <w:rFonts w:eastAsia="SimSun" w:cs="Arial"/>
          <w:bCs/>
          <w:sz w:val="16"/>
          <w:szCs w:val="16"/>
          <w:lang w:val="fr-FR" w:eastAsia="zh-CN"/>
        </w:rPr>
      </w:pPr>
      <w:r w:rsidRPr="00DD4C8C">
        <w:rPr>
          <w:rFonts w:eastAsia="SimSun" w:cs="Arial"/>
          <w:bCs/>
          <w:sz w:val="16"/>
          <w:szCs w:val="16"/>
          <w:lang w:val="fr-FR" w:eastAsia="zh-CN"/>
        </w:rPr>
        <w:t xml:space="preserve">2012 - 14 (Union Européenne) : Profil Environnemental de : (i) Azerbaïdjan, (ii) Tunisie, (iii) Mali (actualisation), CM </w:t>
      </w:r>
    </w:p>
    <w:p w14:paraId="08BB1B73" w14:textId="77777777" w:rsidR="00DD4C8C" w:rsidRPr="00DD4C8C" w:rsidRDefault="00E42B65" w:rsidP="00393CA8">
      <w:pPr>
        <w:widowControl w:val="0"/>
        <w:numPr>
          <w:ilvl w:val="0"/>
          <w:numId w:val="29"/>
        </w:numPr>
        <w:adjustRightInd w:val="0"/>
        <w:spacing w:after="0" w:line="240" w:lineRule="auto"/>
        <w:contextualSpacing/>
        <w:textAlignment w:val="baseline"/>
        <w:rPr>
          <w:rFonts w:eastAsia="SimSun" w:cs="Arial"/>
          <w:bCs/>
          <w:sz w:val="16"/>
          <w:szCs w:val="16"/>
          <w:lang w:val="fr-FR" w:eastAsia="zh-CN"/>
        </w:rPr>
      </w:pPr>
      <w:r>
        <w:rPr>
          <w:rFonts w:eastAsia="SimSun" w:cs="Arial"/>
          <w:bCs/>
          <w:sz w:val="16"/>
          <w:szCs w:val="16"/>
          <w:lang w:val="fr-FR" w:eastAsia="zh-CN"/>
        </w:rPr>
        <w:t>2014, Tchad, (UE</w:t>
      </w:r>
      <w:r w:rsidR="00DD4C8C" w:rsidRPr="00DD4C8C">
        <w:rPr>
          <w:rFonts w:eastAsia="SimSun" w:cs="Arial"/>
          <w:bCs/>
          <w:sz w:val="16"/>
          <w:szCs w:val="16"/>
          <w:lang w:val="fr-FR" w:eastAsia="zh-CN"/>
        </w:rPr>
        <w:t>) : Evaluation à mi-parcours du PADL II (Programme d’Appui au Développement Local 2)</w:t>
      </w:r>
    </w:p>
    <w:p w14:paraId="0D18C992" w14:textId="77777777" w:rsidR="00DD4C8C" w:rsidRPr="00DD4C8C" w:rsidRDefault="00DD4C8C" w:rsidP="00393CA8">
      <w:pPr>
        <w:widowControl w:val="0"/>
        <w:numPr>
          <w:ilvl w:val="0"/>
          <w:numId w:val="29"/>
        </w:numPr>
        <w:adjustRightInd w:val="0"/>
        <w:spacing w:after="0" w:line="240" w:lineRule="auto"/>
        <w:textAlignment w:val="baseline"/>
        <w:rPr>
          <w:rFonts w:eastAsia="SimSun" w:cs="Arial"/>
          <w:bCs/>
          <w:sz w:val="16"/>
          <w:szCs w:val="16"/>
          <w:lang w:val="fr-FR" w:eastAsia="zh-CN"/>
        </w:rPr>
      </w:pPr>
      <w:r w:rsidRPr="00DD4C8C">
        <w:rPr>
          <w:rFonts w:eastAsia="SimSun" w:cs="Arial"/>
          <w:bCs/>
          <w:sz w:val="16"/>
          <w:szCs w:val="16"/>
          <w:lang w:val="fr-FR" w:eastAsia="zh-CN"/>
        </w:rPr>
        <w:t>2013/2014, RDC (UE) : Evaluation ex – post du Projet d’Appui à la Réforme de l’ICCN (Institut Congolais pour la Conservation de la Nature), Chef de Mission</w:t>
      </w:r>
    </w:p>
    <w:p w14:paraId="0AF9A1C3" w14:textId="77777777" w:rsidR="00DD4C8C" w:rsidRPr="00DD4C8C" w:rsidRDefault="00DD4C8C" w:rsidP="00393CA8">
      <w:pPr>
        <w:widowControl w:val="0"/>
        <w:numPr>
          <w:ilvl w:val="0"/>
          <w:numId w:val="29"/>
        </w:numPr>
        <w:adjustRightInd w:val="0"/>
        <w:spacing w:after="0" w:line="240" w:lineRule="auto"/>
        <w:textAlignment w:val="baseline"/>
        <w:rPr>
          <w:rFonts w:eastAsia="SimSun" w:cs="Arial"/>
          <w:bCs/>
          <w:sz w:val="16"/>
          <w:szCs w:val="16"/>
          <w:lang w:val="fr-FR" w:eastAsia="zh-CN"/>
        </w:rPr>
      </w:pPr>
      <w:r w:rsidRPr="00DD4C8C">
        <w:rPr>
          <w:rFonts w:eastAsia="SimSun" w:cs="Arial"/>
          <w:bCs/>
          <w:sz w:val="16"/>
          <w:szCs w:val="16"/>
          <w:lang w:val="fr-FR" w:eastAsia="zh-CN"/>
        </w:rPr>
        <w:t>2013 (GIZ) : Etude des approches de limitation</w:t>
      </w:r>
      <w:r w:rsidR="00E42B65">
        <w:rPr>
          <w:rFonts w:eastAsia="SimSun" w:cs="Arial"/>
          <w:bCs/>
          <w:sz w:val="16"/>
          <w:szCs w:val="16"/>
          <w:lang w:val="fr-FR" w:eastAsia="zh-CN"/>
        </w:rPr>
        <w:t>/</w:t>
      </w:r>
      <w:r w:rsidRPr="00DD4C8C">
        <w:rPr>
          <w:rFonts w:eastAsia="SimSun" w:cs="Arial"/>
          <w:bCs/>
          <w:sz w:val="16"/>
          <w:szCs w:val="16"/>
          <w:lang w:val="fr-FR" w:eastAsia="zh-CN"/>
        </w:rPr>
        <w:t>gestion des sachets plastiques dans les différents pays et les options pour l’Algérie</w:t>
      </w:r>
    </w:p>
    <w:p w14:paraId="25BF6067" w14:textId="77777777" w:rsidR="00DD4C8C" w:rsidRPr="00DD4C8C" w:rsidRDefault="00DD4C8C" w:rsidP="00393CA8">
      <w:pPr>
        <w:widowControl w:val="0"/>
        <w:numPr>
          <w:ilvl w:val="0"/>
          <w:numId w:val="29"/>
        </w:numPr>
        <w:adjustRightInd w:val="0"/>
        <w:spacing w:after="0" w:line="240" w:lineRule="auto"/>
        <w:textAlignment w:val="baseline"/>
        <w:rPr>
          <w:rFonts w:eastAsia="SimSun" w:cs="Arial"/>
          <w:bCs/>
          <w:sz w:val="16"/>
          <w:szCs w:val="16"/>
          <w:lang w:val="fr-FR" w:eastAsia="zh-CN"/>
        </w:rPr>
      </w:pPr>
      <w:r w:rsidRPr="00DD4C8C">
        <w:rPr>
          <w:rFonts w:eastAsia="SimSun" w:cs="Arial"/>
          <w:bCs/>
          <w:sz w:val="16"/>
          <w:szCs w:val="16"/>
          <w:lang w:val="fr-FR" w:eastAsia="zh-CN"/>
        </w:rPr>
        <w:t>2013 (GIZ) : Contrôle d’avancement (évaluation) du PROGRN (Programme de la gestion des ressources naturelles)</w:t>
      </w:r>
    </w:p>
    <w:p w14:paraId="39E2097D" w14:textId="77777777" w:rsidR="00DD4C8C" w:rsidRPr="00DD4C8C" w:rsidRDefault="00DD4C8C" w:rsidP="00393CA8">
      <w:pPr>
        <w:widowControl w:val="0"/>
        <w:numPr>
          <w:ilvl w:val="0"/>
          <w:numId w:val="29"/>
        </w:numPr>
        <w:adjustRightInd w:val="0"/>
        <w:spacing w:after="0" w:line="240" w:lineRule="auto"/>
        <w:textAlignment w:val="baseline"/>
        <w:rPr>
          <w:rFonts w:eastAsia="SimSun" w:cs="Arial"/>
          <w:bCs/>
          <w:sz w:val="16"/>
          <w:szCs w:val="16"/>
          <w:lang w:val="fr-FR" w:eastAsia="zh-CN"/>
        </w:rPr>
      </w:pPr>
      <w:r w:rsidRPr="00DD4C8C">
        <w:rPr>
          <w:rFonts w:eastAsia="SimSun" w:cs="Arial"/>
          <w:bCs/>
          <w:sz w:val="16"/>
          <w:szCs w:val="16"/>
          <w:lang w:val="fr-FR" w:eastAsia="zh-CN"/>
        </w:rPr>
        <w:t>2011, DRC (UE): ROM (Monitoring orienté vers les résultats) des projets : (i) Projet d’appui à la réforme de l’Institution en charge des aires protégées en RDC – ICCN et (ii) Projet d'appui à la relance des activités de Conservation et de valorisation du Parc National de I'Upemba</w:t>
      </w:r>
    </w:p>
    <w:p w14:paraId="2F92D17C" w14:textId="77777777" w:rsidR="00DD4C8C" w:rsidRPr="00DD4C8C" w:rsidRDefault="00DD4C8C" w:rsidP="00393CA8">
      <w:pPr>
        <w:widowControl w:val="0"/>
        <w:numPr>
          <w:ilvl w:val="0"/>
          <w:numId w:val="29"/>
        </w:numPr>
        <w:adjustRightInd w:val="0"/>
        <w:spacing w:after="0" w:line="240" w:lineRule="auto"/>
        <w:textAlignment w:val="baseline"/>
        <w:rPr>
          <w:rFonts w:eastAsia="SimSun" w:cs="Arial"/>
          <w:bCs/>
          <w:sz w:val="16"/>
          <w:szCs w:val="16"/>
          <w:lang w:val="fr-FR" w:eastAsia="zh-CN"/>
        </w:rPr>
      </w:pPr>
      <w:r w:rsidRPr="00DD4C8C">
        <w:rPr>
          <w:rFonts w:eastAsia="SimSun" w:cs="Arial"/>
          <w:bCs/>
          <w:sz w:val="16"/>
          <w:szCs w:val="16"/>
          <w:lang w:val="fr-FR" w:eastAsia="zh-CN"/>
        </w:rPr>
        <w:t>2011, Gabon (UE): ROM des projets (i) CAWHFI (Central Africa World Heritage Forest Initiative) et (ii) DACEFI 2 (Développement d’Alternatives Communautaires à l’Exploitation Forestière Illégale –Phase 2)</w:t>
      </w:r>
    </w:p>
    <w:p w14:paraId="2E7B4A0E" w14:textId="77777777" w:rsidR="00DD4C8C" w:rsidRPr="00DD4C8C" w:rsidRDefault="00DD4C8C" w:rsidP="00393CA8">
      <w:pPr>
        <w:widowControl w:val="0"/>
        <w:numPr>
          <w:ilvl w:val="0"/>
          <w:numId w:val="29"/>
        </w:numPr>
        <w:adjustRightInd w:val="0"/>
        <w:spacing w:after="0" w:line="240" w:lineRule="auto"/>
        <w:textAlignment w:val="baseline"/>
        <w:rPr>
          <w:rFonts w:eastAsia="SimSun" w:cs="Arial"/>
          <w:bCs/>
          <w:sz w:val="16"/>
          <w:szCs w:val="16"/>
          <w:lang w:val="fr-FR" w:eastAsia="zh-CN"/>
        </w:rPr>
      </w:pPr>
      <w:r w:rsidRPr="00DD4C8C">
        <w:rPr>
          <w:rFonts w:eastAsia="SimSun" w:cs="Arial"/>
          <w:bCs/>
          <w:sz w:val="16"/>
          <w:szCs w:val="16"/>
          <w:lang w:val="fr-FR" w:eastAsia="zh-CN"/>
        </w:rPr>
        <w:t>2010 – 2011 Burkina Faso, Bénin, Niger (UE): Assistance Technique pour la préparation à la mise en œuvre du "Programme d'Appui aux Parcs de l'Entente" (P.A.P.E.)</w:t>
      </w:r>
    </w:p>
    <w:p w14:paraId="4AD4C3EA" w14:textId="77777777" w:rsidR="00DD4C8C" w:rsidRPr="00DD4C8C" w:rsidRDefault="00DD4C8C" w:rsidP="00393CA8">
      <w:pPr>
        <w:widowControl w:val="0"/>
        <w:numPr>
          <w:ilvl w:val="0"/>
          <w:numId w:val="29"/>
        </w:numPr>
        <w:adjustRightInd w:val="0"/>
        <w:spacing w:after="0" w:line="240" w:lineRule="auto"/>
        <w:textAlignment w:val="baseline"/>
        <w:rPr>
          <w:rFonts w:eastAsia="SimSun" w:cs="Arial"/>
          <w:bCs/>
          <w:sz w:val="16"/>
          <w:szCs w:val="16"/>
          <w:lang w:val="fr-FR" w:eastAsia="zh-CN"/>
        </w:rPr>
      </w:pPr>
      <w:r w:rsidRPr="00DD4C8C">
        <w:rPr>
          <w:rFonts w:eastAsia="SimSun" w:cs="Arial"/>
          <w:bCs/>
          <w:sz w:val="16"/>
          <w:szCs w:val="16"/>
          <w:lang w:val="fr-FR" w:eastAsia="zh-CN"/>
        </w:rPr>
        <w:t xml:space="preserve">2010, Ouganda (PNUD/FEM): Evaluation à mi – parcours du projet ARF (Conservation de la biodiversité dans les forêts du Albertine Rift) </w:t>
      </w:r>
    </w:p>
    <w:p w14:paraId="5F6CD720" w14:textId="77777777" w:rsidR="00DD4C8C" w:rsidRPr="00DD4C8C" w:rsidRDefault="00DD4C8C" w:rsidP="00393CA8">
      <w:pPr>
        <w:widowControl w:val="0"/>
        <w:numPr>
          <w:ilvl w:val="0"/>
          <w:numId w:val="29"/>
        </w:numPr>
        <w:adjustRightInd w:val="0"/>
        <w:spacing w:after="0" w:line="240" w:lineRule="auto"/>
        <w:textAlignment w:val="baseline"/>
        <w:rPr>
          <w:rFonts w:eastAsia="SimSun" w:cs="Arial"/>
          <w:bCs/>
          <w:sz w:val="16"/>
          <w:szCs w:val="16"/>
          <w:lang w:val="fr-FR" w:eastAsia="zh-CN"/>
        </w:rPr>
      </w:pPr>
      <w:r w:rsidRPr="00DD4C8C">
        <w:rPr>
          <w:rFonts w:eastAsia="SimSun" w:cs="Arial"/>
          <w:bCs/>
          <w:sz w:val="16"/>
          <w:szCs w:val="16"/>
          <w:lang w:val="fr-FR" w:eastAsia="zh-CN"/>
        </w:rPr>
        <w:t xml:space="preserve">2010 (UE Bruxelles): Membre de l’équipe des évaluateurs externes de l’évaluation des propositions environnementales </w:t>
      </w:r>
    </w:p>
    <w:p w14:paraId="6D85CEC6" w14:textId="77777777" w:rsidR="00DD4C8C" w:rsidRPr="00DD4C8C" w:rsidRDefault="00DD4C8C" w:rsidP="00393CA8">
      <w:pPr>
        <w:widowControl w:val="0"/>
        <w:numPr>
          <w:ilvl w:val="0"/>
          <w:numId w:val="29"/>
        </w:numPr>
        <w:adjustRightInd w:val="0"/>
        <w:spacing w:after="0" w:line="240" w:lineRule="auto"/>
        <w:textAlignment w:val="baseline"/>
        <w:rPr>
          <w:rFonts w:eastAsia="SimSun" w:cs="Arial"/>
          <w:bCs/>
          <w:sz w:val="16"/>
          <w:szCs w:val="16"/>
          <w:lang w:val="fr-FR" w:eastAsia="zh-CN"/>
        </w:rPr>
      </w:pPr>
      <w:r w:rsidRPr="00DD4C8C">
        <w:rPr>
          <w:rFonts w:eastAsia="SimSun" w:cs="Arial"/>
          <w:bCs/>
          <w:sz w:val="16"/>
          <w:szCs w:val="16"/>
          <w:lang w:val="fr-FR" w:eastAsia="zh-CN"/>
        </w:rPr>
        <w:t>2010, Togo (PNUD/FEM): Elaboration du document de projet (PRODOC, PNUD) et du CEO Endorsement (FEM) du projet ‘Gestion du système des Aires Protégées du Togo’, CM</w:t>
      </w:r>
    </w:p>
    <w:p w14:paraId="415A6E34" w14:textId="77777777" w:rsidR="00DD4C8C" w:rsidRPr="00DD4C8C" w:rsidRDefault="00DD4C8C" w:rsidP="00393CA8">
      <w:pPr>
        <w:widowControl w:val="0"/>
        <w:numPr>
          <w:ilvl w:val="0"/>
          <w:numId w:val="29"/>
        </w:numPr>
        <w:adjustRightInd w:val="0"/>
        <w:spacing w:after="0" w:line="240" w:lineRule="auto"/>
        <w:textAlignment w:val="baseline"/>
        <w:rPr>
          <w:rFonts w:eastAsia="SimSun" w:cs="Arial"/>
          <w:bCs/>
          <w:sz w:val="16"/>
          <w:szCs w:val="16"/>
          <w:lang w:val="fr-FR" w:eastAsia="zh-CN"/>
        </w:rPr>
      </w:pPr>
      <w:r w:rsidRPr="00DD4C8C">
        <w:rPr>
          <w:rFonts w:eastAsia="SimSun" w:cs="Arial"/>
          <w:bCs/>
          <w:sz w:val="16"/>
          <w:szCs w:val="16"/>
          <w:lang w:val="fr-FR" w:eastAsia="zh-CN"/>
        </w:rPr>
        <w:t>2009, Niger (PNUD/FEM): Evaluation à mi – parcours du projet COGERAT (Cogestion des Ressources de l’Air et du Ténéré), CM</w:t>
      </w:r>
    </w:p>
    <w:p w14:paraId="45428680" w14:textId="77777777" w:rsidR="00DD4C8C" w:rsidRPr="00DD4C8C" w:rsidRDefault="00DD4C8C" w:rsidP="00393CA8">
      <w:pPr>
        <w:widowControl w:val="0"/>
        <w:numPr>
          <w:ilvl w:val="0"/>
          <w:numId w:val="29"/>
        </w:numPr>
        <w:adjustRightInd w:val="0"/>
        <w:spacing w:after="0" w:line="240" w:lineRule="auto"/>
        <w:textAlignment w:val="baseline"/>
        <w:rPr>
          <w:rFonts w:eastAsia="SimSun" w:cs="Arial"/>
          <w:bCs/>
          <w:sz w:val="16"/>
          <w:szCs w:val="16"/>
          <w:lang w:val="fr-FR" w:eastAsia="zh-CN"/>
        </w:rPr>
      </w:pPr>
      <w:r w:rsidRPr="00DD4C8C">
        <w:rPr>
          <w:rFonts w:eastAsia="SimSun" w:cs="Arial"/>
          <w:bCs/>
          <w:sz w:val="16"/>
          <w:szCs w:val="16"/>
          <w:lang w:val="fr-FR" w:eastAsia="zh-CN"/>
        </w:rPr>
        <w:t>2009, Niger (PNUD/FEM): Elaboration du document de projet (PRODOC, PNUD) et du CEO Endorsement (FEM) du projet ‘Intégration de la gestion durable des corridors fauniques dans le système des Aires Protégées du Niger’, CM</w:t>
      </w:r>
    </w:p>
    <w:p w14:paraId="242EAC87" w14:textId="77777777" w:rsidR="00DD4C8C" w:rsidRPr="00DD4C8C" w:rsidRDefault="00DD4C8C" w:rsidP="00393CA8">
      <w:pPr>
        <w:widowControl w:val="0"/>
        <w:numPr>
          <w:ilvl w:val="0"/>
          <w:numId w:val="29"/>
        </w:numPr>
        <w:adjustRightInd w:val="0"/>
        <w:spacing w:after="0" w:line="240" w:lineRule="auto"/>
        <w:textAlignment w:val="baseline"/>
        <w:rPr>
          <w:rFonts w:eastAsia="SimSun" w:cs="Arial"/>
          <w:bCs/>
          <w:sz w:val="16"/>
          <w:szCs w:val="16"/>
          <w:lang w:val="fr-FR" w:eastAsia="zh-CN"/>
        </w:rPr>
      </w:pPr>
      <w:r w:rsidRPr="00DD4C8C">
        <w:rPr>
          <w:rFonts w:eastAsia="SimSun" w:cs="Arial"/>
          <w:bCs/>
          <w:sz w:val="16"/>
          <w:szCs w:val="16"/>
          <w:lang w:val="fr-FR" w:eastAsia="zh-CN"/>
        </w:rPr>
        <w:t>2009, Région Caraïbe (UE): Elaboration du Profil Environnemental de la Région (REP), CM</w:t>
      </w:r>
    </w:p>
    <w:p w14:paraId="2D9D6A38" w14:textId="77777777" w:rsidR="00DD4C8C" w:rsidRPr="00DD4C8C" w:rsidRDefault="00DD4C8C" w:rsidP="00393CA8">
      <w:pPr>
        <w:widowControl w:val="0"/>
        <w:numPr>
          <w:ilvl w:val="0"/>
          <w:numId w:val="29"/>
        </w:numPr>
        <w:adjustRightInd w:val="0"/>
        <w:spacing w:after="0" w:line="240" w:lineRule="auto"/>
        <w:textAlignment w:val="baseline"/>
        <w:rPr>
          <w:rFonts w:eastAsia="SimSun" w:cs="Arial"/>
          <w:bCs/>
          <w:sz w:val="16"/>
          <w:szCs w:val="16"/>
          <w:lang w:val="fr-FR" w:eastAsia="zh-CN"/>
        </w:rPr>
      </w:pPr>
      <w:r w:rsidRPr="00DD4C8C">
        <w:rPr>
          <w:rFonts w:eastAsia="SimSun" w:cs="Arial"/>
          <w:bCs/>
          <w:sz w:val="16"/>
          <w:szCs w:val="16"/>
          <w:lang w:val="fr-FR" w:eastAsia="zh-CN"/>
        </w:rPr>
        <w:t>2008, Togo (UE): Identification et formulation du ‘Programme National d’Actions Décentralisées de gestion de l’Environnement (PNADE), CM</w:t>
      </w:r>
    </w:p>
    <w:p w14:paraId="0B00C282" w14:textId="77777777" w:rsidR="00DD4C8C" w:rsidRPr="00DD4C8C" w:rsidRDefault="00DD4C8C" w:rsidP="00393CA8">
      <w:pPr>
        <w:widowControl w:val="0"/>
        <w:numPr>
          <w:ilvl w:val="0"/>
          <w:numId w:val="29"/>
        </w:numPr>
        <w:adjustRightInd w:val="0"/>
        <w:spacing w:after="0" w:line="240" w:lineRule="auto"/>
        <w:textAlignment w:val="baseline"/>
        <w:rPr>
          <w:rFonts w:eastAsia="SimSun" w:cs="Arial"/>
          <w:bCs/>
          <w:sz w:val="16"/>
          <w:szCs w:val="16"/>
          <w:lang w:val="fr-FR" w:eastAsia="zh-CN"/>
        </w:rPr>
      </w:pPr>
      <w:r w:rsidRPr="00DD4C8C">
        <w:rPr>
          <w:rFonts w:eastAsia="SimSun" w:cs="Arial"/>
          <w:bCs/>
          <w:sz w:val="16"/>
          <w:szCs w:val="16"/>
          <w:lang w:val="fr-FR" w:eastAsia="zh-CN"/>
        </w:rPr>
        <w:t>2007, Madagascar (UE): Evaluation finale du programme Bemaraha. CM.</w:t>
      </w:r>
    </w:p>
    <w:p w14:paraId="3732B8BD" w14:textId="77777777" w:rsidR="00DD4C8C" w:rsidRPr="00DD4C8C" w:rsidRDefault="00DD4C8C" w:rsidP="00393CA8">
      <w:pPr>
        <w:numPr>
          <w:ilvl w:val="0"/>
          <w:numId w:val="29"/>
        </w:numPr>
        <w:spacing w:after="0"/>
        <w:contextualSpacing/>
        <w:rPr>
          <w:rFonts w:eastAsia="SimSun" w:cs="Arial"/>
          <w:bCs/>
          <w:sz w:val="16"/>
          <w:szCs w:val="16"/>
          <w:lang w:val="fr-FR" w:eastAsia="zh-CN"/>
        </w:rPr>
      </w:pPr>
      <w:r w:rsidRPr="00DD4C8C">
        <w:rPr>
          <w:rFonts w:eastAsia="SimSun" w:cs="Arial"/>
          <w:bCs/>
          <w:sz w:val="16"/>
          <w:szCs w:val="16"/>
          <w:lang w:val="fr-FR" w:eastAsia="zh-CN"/>
        </w:rPr>
        <w:t>2007, Mauritanie (GTZ) : Elaboration de la Stratégie de Coopération Allemande dans le secteur prioritaire ‘Développement rural/gestion des ressources naturelles’ en Mauritanie. Auteur</w:t>
      </w:r>
    </w:p>
    <w:p w14:paraId="2FE5F763" w14:textId="77777777" w:rsidR="00DD4C8C" w:rsidRPr="00DD4C8C" w:rsidRDefault="00DD4C8C" w:rsidP="00393CA8">
      <w:pPr>
        <w:widowControl w:val="0"/>
        <w:numPr>
          <w:ilvl w:val="0"/>
          <w:numId w:val="29"/>
        </w:numPr>
        <w:adjustRightInd w:val="0"/>
        <w:spacing w:after="0" w:line="240" w:lineRule="auto"/>
        <w:textAlignment w:val="baseline"/>
        <w:rPr>
          <w:rFonts w:eastAsia="SimSun" w:cs="Arial"/>
          <w:bCs/>
          <w:sz w:val="16"/>
          <w:szCs w:val="16"/>
          <w:lang w:val="fr-FR" w:eastAsia="zh-CN"/>
        </w:rPr>
      </w:pPr>
      <w:r w:rsidRPr="00DD4C8C">
        <w:rPr>
          <w:rFonts w:eastAsia="SimSun" w:cs="Arial"/>
          <w:bCs/>
          <w:sz w:val="16"/>
          <w:szCs w:val="16"/>
          <w:lang w:val="fr-FR" w:eastAsia="zh-CN"/>
        </w:rPr>
        <w:t>2006 – 2007 (UE): Profil Environnemental de : (i) Mali, (ii) Côte d’Ivoire, (iii) Malawi, (iv) Namibie, (v) Guinée, (vi) Mauritanie, CM.</w:t>
      </w:r>
    </w:p>
    <w:p w14:paraId="24506ACE" w14:textId="77777777" w:rsidR="00DD4C8C" w:rsidRPr="00DD4C8C" w:rsidRDefault="00DD4C8C" w:rsidP="00393CA8">
      <w:pPr>
        <w:widowControl w:val="0"/>
        <w:numPr>
          <w:ilvl w:val="0"/>
          <w:numId w:val="29"/>
        </w:numPr>
        <w:adjustRightInd w:val="0"/>
        <w:spacing w:after="0" w:line="240" w:lineRule="auto"/>
        <w:textAlignment w:val="baseline"/>
        <w:rPr>
          <w:rFonts w:eastAsia="SimSun" w:cs="Arial"/>
          <w:b/>
          <w:sz w:val="16"/>
          <w:szCs w:val="16"/>
          <w:lang w:val="fr-FR" w:eastAsia="zh-CN"/>
        </w:rPr>
      </w:pPr>
      <w:r w:rsidRPr="00DD4C8C">
        <w:rPr>
          <w:rFonts w:eastAsia="SimSun" w:cs="Arial"/>
          <w:sz w:val="16"/>
          <w:szCs w:val="16"/>
          <w:lang w:val="fr-FR" w:eastAsia="zh-CN"/>
        </w:rPr>
        <w:t>2005, Guinée (UE): Evaluation finale du programme AGIR ‘Programme Régional d’Appui à la Gestion Intégrée des Ressources naturelles’</w:t>
      </w:r>
    </w:p>
    <w:p w14:paraId="3C1E3282" w14:textId="77777777" w:rsidR="00DD4C8C" w:rsidRPr="00DD4C8C" w:rsidRDefault="00DD4C8C" w:rsidP="00393CA8">
      <w:pPr>
        <w:widowControl w:val="0"/>
        <w:numPr>
          <w:ilvl w:val="0"/>
          <w:numId w:val="29"/>
        </w:numPr>
        <w:adjustRightInd w:val="0"/>
        <w:spacing w:after="0" w:line="240" w:lineRule="auto"/>
        <w:textAlignment w:val="baseline"/>
        <w:rPr>
          <w:rFonts w:eastAsia="SimSun" w:cs="Arial"/>
          <w:b/>
          <w:sz w:val="16"/>
          <w:szCs w:val="16"/>
          <w:lang w:val="fr-FR" w:eastAsia="zh-CN"/>
        </w:rPr>
      </w:pPr>
      <w:r w:rsidRPr="00DD4C8C">
        <w:rPr>
          <w:rFonts w:eastAsia="SimSun" w:cs="Arial"/>
          <w:sz w:val="16"/>
          <w:szCs w:val="16"/>
          <w:lang w:val="fr-FR" w:eastAsia="zh-CN"/>
        </w:rPr>
        <w:t xml:space="preserve">2004 (UE Bruxelles) : Membre de l’équipe des évaluateurs externes de l’évaluation des propositions environnementales </w:t>
      </w:r>
    </w:p>
    <w:p w14:paraId="6D847E9D" w14:textId="77777777" w:rsidR="00DD4C8C" w:rsidRPr="00DD4C8C" w:rsidRDefault="00DD4C8C" w:rsidP="00393CA8">
      <w:pPr>
        <w:widowControl w:val="0"/>
        <w:numPr>
          <w:ilvl w:val="0"/>
          <w:numId w:val="29"/>
        </w:numPr>
        <w:adjustRightInd w:val="0"/>
        <w:spacing w:after="0" w:line="240" w:lineRule="auto"/>
        <w:textAlignment w:val="baseline"/>
        <w:rPr>
          <w:rFonts w:eastAsia="SimSun" w:cs="Arial"/>
          <w:sz w:val="16"/>
          <w:szCs w:val="16"/>
          <w:lang w:val="fr-FR" w:eastAsia="zh-CN"/>
        </w:rPr>
      </w:pPr>
      <w:r w:rsidRPr="00DD4C8C">
        <w:rPr>
          <w:rFonts w:eastAsia="SimSun" w:cs="Arial"/>
          <w:sz w:val="16"/>
          <w:szCs w:val="16"/>
          <w:lang w:val="fr-FR" w:eastAsia="zh-CN"/>
        </w:rPr>
        <w:t>2004, RDC (IFESH/CARE/IRC, financé par la Banque Mondiale): Analyse des capacités des communautés par rapport à la réintégration des enfants soldats dans les provinces Katanga, Maniema, Orientale, CM</w:t>
      </w:r>
    </w:p>
    <w:p w14:paraId="0EFA41A0" w14:textId="77777777" w:rsidR="00DD4C8C" w:rsidRPr="00DD4C8C" w:rsidRDefault="00DD4C8C" w:rsidP="00393CA8">
      <w:pPr>
        <w:widowControl w:val="0"/>
        <w:numPr>
          <w:ilvl w:val="0"/>
          <w:numId w:val="29"/>
        </w:numPr>
        <w:adjustRightInd w:val="0"/>
        <w:spacing w:after="0" w:line="240" w:lineRule="auto"/>
        <w:textAlignment w:val="baseline"/>
        <w:rPr>
          <w:rFonts w:eastAsia="SimSun" w:cs="Arial"/>
          <w:sz w:val="16"/>
          <w:szCs w:val="16"/>
          <w:lang w:val="fr-FR" w:eastAsia="zh-CN"/>
        </w:rPr>
      </w:pPr>
      <w:r w:rsidRPr="00DD4C8C">
        <w:rPr>
          <w:rFonts w:eastAsia="SimSun" w:cs="Arial"/>
          <w:sz w:val="16"/>
          <w:szCs w:val="16"/>
          <w:lang w:val="fr-FR" w:eastAsia="zh-CN"/>
        </w:rPr>
        <w:t>2003, Cameroun (UE): Evaluation mi-parcours du projet ‘Restauration et  conservation des forêts dans le département du Noun, Cameroun. Co - évaluateur</w:t>
      </w:r>
    </w:p>
    <w:p w14:paraId="31B462E1" w14:textId="77777777" w:rsidR="00DD4C8C" w:rsidRPr="00DD4C8C" w:rsidRDefault="00DD4C8C" w:rsidP="00DD4C8C">
      <w:pPr>
        <w:widowControl w:val="0"/>
        <w:adjustRightInd w:val="0"/>
        <w:spacing w:after="0" w:line="288" w:lineRule="auto"/>
        <w:textAlignment w:val="baseline"/>
        <w:rPr>
          <w:rFonts w:eastAsia="SimSun" w:cs="Arial"/>
          <w:sz w:val="8"/>
          <w:szCs w:val="16"/>
          <w:lang w:val="fr-FR" w:eastAsia="zh-CN"/>
        </w:rPr>
      </w:pPr>
    </w:p>
    <w:p w14:paraId="70421DB7" w14:textId="77777777" w:rsidR="00DD4C8C" w:rsidRPr="00DD4C8C" w:rsidRDefault="00DD4C8C" w:rsidP="00DD4C8C">
      <w:pPr>
        <w:widowControl w:val="0"/>
        <w:adjustRightInd w:val="0"/>
        <w:spacing w:after="0" w:line="288" w:lineRule="auto"/>
        <w:textAlignment w:val="baseline"/>
        <w:rPr>
          <w:rFonts w:eastAsia="SimSun" w:cs="Arial"/>
          <w:b/>
          <w:sz w:val="16"/>
          <w:szCs w:val="16"/>
          <w:lang w:val="fr-FR" w:eastAsia="zh-CN"/>
        </w:rPr>
      </w:pPr>
      <w:r w:rsidRPr="00DD4C8C">
        <w:rPr>
          <w:rFonts w:eastAsia="SimSun" w:cs="Arial"/>
          <w:b/>
          <w:sz w:val="16"/>
          <w:szCs w:val="16"/>
          <w:lang w:val="fr-FR" w:eastAsia="zh-CN"/>
        </w:rPr>
        <w:t>1/1996 - 3/2002 : C</w:t>
      </w:r>
      <w:r w:rsidR="00E42B65">
        <w:rPr>
          <w:rFonts w:eastAsia="SimSun" w:cs="Arial"/>
          <w:b/>
          <w:sz w:val="16"/>
          <w:szCs w:val="16"/>
          <w:lang w:val="fr-FR" w:eastAsia="zh-CN"/>
        </w:rPr>
        <w:t>onseillère Technique, GTZ long</w:t>
      </w:r>
      <w:r w:rsidRPr="00DD4C8C">
        <w:rPr>
          <w:rFonts w:eastAsia="SimSun" w:cs="Arial"/>
          <w:b/>
          <w:sz w:val="16"/>
          <w:szCs w:val="16"/>
          <w:lang w:val="fr-FR" w:eastAsia="zh-CN"/>
        </w:rPr>
        <w:t xml:space="preserve"> terme dans les projets suivants :</w:t>
      </w:r>
    </w:p>
    <w:p w14:paraId="337AD65D" w14:textId="77777777" w:rsidR="00DD4C8C" w:rsidRPr="00DD4C8C" w:rsidRDefault="00DD4C8C" w:rsidP="00393CA8">
      <w:pPr>
        <w:widowControl w:val="0"/>
        <w:numPr>
          <w:ilvl w:val="0"/>
          <w:numId w:val="30"/>
        </w:numPr>
        <w:adjustRightInd w:val="0"/>
        <w:spacing w:after="0" w:line="240" w:lineRule="auto"/>
        <w:textAlignment w:val="baseline"/>
        <w:rPr>
          <w:rFonts w:eastAsia="SimSun" w:cs="Arial"/>
          <w:sz w:val="16"/>
          <w:szCs w:val="16"/>
          <w:lang w:val="fr-FR" w:eastAsia="zh-CN"/>
        </w:rPr>
      </w:pPr>
      <w:r w:rsidRPr="00DD4C8C">
        <w:rPr>
          <w:rFonts w:eastAsia="SimSun" w:cs="Arial"/>
          <w:bCs/>
          <w:sz w:val="16"/>
          <w:szCs w:val="16"/>
          <w:lang w:val="fr-FR" w:eastAsia="zh-CN"/>
        </w:rPr>
        <w:t>1999 – 2002 (Cameroun) :</w:t>
      </w:r>
      <w:r w:rsidRPr="00DD4C8C">
        <w:rPr>
          <w:rFonts w:eastAsia="SimSun" w:cs="Arial"/>
          <w:sz w:val="16"/>
          <w:szCs w:val="16"/>
          <w:lang w:val="fr-FR" w:eastAsia="zh-CN"/>
        </w:rPr>
        <w:t xml:space="preserve"> Protection des forêts naturelles dans le Sud-Est  </w:t>
      </w:r>
    </w:p>
    <w:p w14:paraId="0A7E8262" w14:textId="77777777" w:rsidR="00DD4C8C" w:rsidRPr="00DD4C8C" w:rsidRDefault="00DD4C8C" w:rsidP="00393CA8">
      <w:pPr>
        <w:widowControl w:val="0"/>
        <w:numPr>
          <w:ilvl w:val="0"/>
          <w:numId w:val="30"/>
        </w:numPr>
        <w:adjustRightInd w:val="0"/>
        <w:spacing w:after="0" w:line="240" w:lineRule="auto"/>
        <w:textAlignment w:val="baseline"/>
        <w:rPr>
          <w:rFonts w:eastAsia="SimSun" w:cs="Arial"/>
          <w:sz w:val="16"/>
          <w:szCs w:val="16"/>
          <w:lang w:val="fr-FR" w:eastAsia="zh-CN"/>
        </w:rPr>
      </w:pPr>
      <w:r w:rsidRPr="00DD4C8C">
        <w:rPr>
          <w:rFonts w:eastAsia="SimSun" w:cs="Arial"/>
          <w:sz w:val="16"/>
          <w:szCs w:val="16"/>
          <w:lang w:val="fr-FR" w:eastAsia="zh-CN"/>
        </w:rPr>
        <w:t>1997 – 1999 (RCA) : Appui aux organisations de base, Ouham-Pende</w:t>
      </w:r>
    </w:p>
    <w:p w14:paraId="325C9FDA" w14:textId="77777777" w:rsidR="00DD4C8C" w:rsidRPr="00DD4C8C" w:rsidRDefault="00DD4C8C" w:rsidP="00393CA8">
      <w:pPr>
        <w:widowControl w:val="0"/>
        <w:numPr>
          <w:ilvl w:val="0"/>
          <w:numId w:val="30"/>
        </w:numPr>
        <w:adjustRightInd w:val="0"/>
        <w:spacing w:after="0" w:line="288" w:lineRule="auto"/>
        <w:textAlignment w:val="baseline"/>
        <w:rPr>
          <w:rFonts w:eastAsia="SimSun" w:cs="Arial"/>
          <w:sz w:val="16"/>
          <w:szCs w:val="16"/>
          <w:lang w:val="fr-FR" w:eastAsia="zh-CN"/>
        </w:rPr>
      </w:pPr>
      <w:r w:rsidRPr="00DD4C8C">
        <w:rPr>
          <w:rFonts w:eastAsia="SimSun" w:cs="Arial"/>
          <w:sz w:val="16"/>
          <w:szCs w:val="16"/>
          <w:lang w:val="fr-FR" w:eastAsia="zh-CN"/>
        </w:rPr>
        <w:t>1996 – 1997 (RDC) : Développement rural de la région Kabare</w:t>
      </w:r>
    </w:p>
    <w:p w14:paraId="266D3527" w14:textId="77777777" w:rsidR="00DD4C8C" w:rsidRPr="00DD4C8C" w:rsidRDefault="00DD4C8C" w:rsidP="00DD4C8C">
      <w:pPr>
        <w:widowControl w:val="0"/>
        <w:adjustRightInd w:val="0"/>
        <w:spacing w:after="0" w:line="288" w:lineRule="auto"/>
        <w:ind w:left="360"/>
        <w:textAlignment w:val="baseline"/>
        <w:rPr>
          <w:rFonts w:eastAsia="SimSun" w:cs="Arial"/>
          <w:sz w:val="16"/>
          <w:szCs w:val="16"/>
          <w:lang w:val="fr-FR" w:eastAsia="zh-CN"/>
        </w:rPr>
      </w:pPr>
      <w:r w:rsidRPr="00DD4C8C">
        <w:rPr>
          <w:rFonts w:eastAsia="SimSun" w:cs="Arial"/>
          <w:sz w:val="16"/>
          <w:szCs w:val="16"/>
          <w:lang w:val="fr-FR" w:eastAsia="zh-CN"/>
        </w:rPr>
        <w:t>Missions de courte durée pendant contrat GTZ :</w:t>
      </w:r>
    </w:p>
    <w:p w14:paraId="469CF388" w14:textId="77777777" w:rsidR="00DD4C8C" w:rsidRPr="00DD4C8C" w:rsidRDefault="00DD4C8C" w:rsidP="00393CA8">
      <w:pPr>
        <w:widowControl w:val="0"/>
        <w:numPr>
          <w:ilvl w:val="0"/>
          <w:numId w:val="31"/>
        </w:numPr>
        <w:adjustRightInd w:val="0"/>
        <w:spacing w:after="0" w:line="240" w:lineRule="auto"/>
        <w:textAlignment w:val="baseline"/>
        <w:rPr>
          <w:rFonts w:eastAsia="SimSun" w:cs="Arial"/>
          <w:sz w:val="16"/>
          <w:szCs w:val="16"/>
          <w:lang w:val="fr-FR" w:eastAsia="zh-CN"/>
        </w:rPr>
      </w:pPr>
      <w:r w:rsidRPr="00DD4C8C">
        <w:rPr>
          <w:rFonts w:eastAsia="SimSun" w:cs="Arial"/>
          <w:sz w:val="16"/>
          <w:szCs w:val="16"/>
          <w:lang w:val="fr-FR" w:eastAsia="zh-CN"/>
        </w:rPr>
        <w:t xml:space="preserve">2000, RCA : Elaboration de la stratégie </w:t>
      </w:r>
      <w:r w:rsidR="008D4394">
        <w:rPr>
          <w:rFonts w:eastAsia="SimSun" w:cs="Arial"/>
          <w:sz w:val="16"/>
          <w:szCs w:val="16"/>
          <w:lang w:val="fr-FR" w:eastAsia="zh-CN"/>
        </w:rPr>
        <w:t>de sorti</w:t>
      </w:r>
      <w:r w:rsidRPr="00DD4C8C">
        <w:rPr>
          <w:rFonts w:eastAsia="SimSun" w:cs="Arial"/>
          <w:sz w:val="16"/>
          <w:szCs w:val="16"/>
          <w:lang w:val="fr-FR" w:eastAsia="zh-CN"/>
        </w:rPr>
        <w:t xml:space="preserve"> du projet ‘Appui aux organisations de base, Ouham-Pendé’ et la continuation des activités par les collaborateurs locaux</w:t>
      </w:r>
    </w:p>
    <w:p w14:paraId="0E37847F" w14:textId="77777777" w:rsidR="00DD4C8C" w:rsidRPr="00DD4C8C" w:rsidRDefault="00DD4C8C" w:rsidP="00393CA8">
      <w:pPr>
        <w:widowControl w:val="0"/>
        <w:numPr>
          <w:ilvl w:val="0"/>
          <w:numId w:val="31"/>
        </w:numPr>
        <w:adjustRightInd w:val="0"/>
        <w:spacing w:after="0" w:line="240" w:lineRule="auto"/>
        <w:textAlignment w:val="baseline"/>
        <w:rPr>
          <w:rFonts w:eastAsia="SimSun" w:cs="Arial"/>
          <w:sz w:val="16"/>
          <w:szCs w:val="16"/>
          <w:lang w:val="fr-FR" w:eastAsia="zh-CN"/>
        </w:rPr>
      </w:pPr>
      <w:r w:rsidRPr="00DD4C8C">
        <w:rPr>
          <w:rFonts w:eastAsia="SimSun" w:cs="Arial"/>
          <w:sz w:val="16"/>
          <w:szCs w:val="16"/>
          <w:lang w:val="fr-FR" w:eastAsia="zh-CN"/>
        </w:rPr>
        <w:t>1999, Cameroun : Evaluation interne des activités socio-économiques du projet ‘Protection des forêts naturelles dans le Sud - Est’</w:t>
      </w:r>
    </w:p>
    <w:p w14:paraId="02E2B8AF" w14:textId="77777777" w:rsidR="00DD4C8C" w:rsidRPr="00DD4C8C" w:rsidRDefault="00DD4C8C" w:rsidP="00393CA8">
      <w:pPr>
        <w:widowControl w:val="0"/>
        <w:numPr>
          <w:ilvl w:val="0"/>
          <w:numId w:val="31"/>
        </w:numPr>
        <w:adjustRightInd w:val="0"/>
        <w:spacing w:after="0" w:line="240" w:lineRule="auto"/>
        <w:ind w:left="357" w:hanging="357"/>
        <w:textAlignment w:val="baseline"/>
        <w:rPr>
          <w:rFonts w:eastAsia="SimSun" w:cs="Arial"/>
          <w:sz w:val="16"/>
          <w:szCs w:val="16"/>
          <w:lang w:val="fr-FR" w:eastAsia="zh-CN"/>
        </w:rPr>
      </w:pPr>
      <w:r w:rsidRPr="00DD4C8C">
        <w:rPr>
          <w:rFonts w:eastAsia="SimSun" w:cs="Arial"/>
          <w:sz w:val="16"/>
          <w:szCs w:val="16"/>
          <w:lang w:val="fr-FR" w:eastAsia="zh-CN"/>
        </w:rPr>
        <w:t>1998, Ruanda : Délimitation du parc national Akagéra après la guerre civile</w:t>
      </w:r>
    </w:p>
    <w:p w14:paraId="4ED3BC0F" w14:textId="77777777" w:rsidR="00DD4C8C" w:rsidRPr="00DD4C8C" w:rsidRDefault="00DD4C8C" w:rsidP="00393CA8">
      <w:pPr>
        <w:widowControl w:val="0"/>
        <w:numPr>
          <w:ilvl w:val="0"/>
          <w:numId w:val="31"/>
        </w:numPr>
        <w:adjustRightInd w:val="0"/>
        <w:spacing w:after="0" w:line="240" w:lineRule="auto"/>
        <w:ind w:left="357" w:hanging="357"/>
        <w:textAlignment w:val="baseline"/>
        <w:rPr>
          <w:rFonts w:eastAsia="SimSun" w:cs="Arial"/>
          <w:sz w:val="16"/>
          <w:szCs w:val="16"/>
          <w:lang w:val="fr-FR" w:eastAsia="zh-CN"/>
        </w:rPr>
      </w:pPr>
      <w:r w:rsidRPr="00DD4C8C">
        <w:rPr>
          <w:rFonts w:eastAsia="SimSun" w:cs="Arial"/>
          <w:sz w:val="16"/>
          <w:szCs w:val="16"/>
          <w:lang w:val="fr-FR" w:eastAsia="zh-CN"/>
        </w:rPr>
        <w:t>1998, RDC : Evaluation des activités du projet ‘développement rural, Kabare’ depuis 1996 et réadaptation de la stratégie du projet</w:t>
      </w:r>
    </w:p>
    <w:p w14:paraId="2BE264EB" w14:textId="77777777" w:rsidR="00DD4C8C" w:rsidRPr="00DD4C8C" w:rsidRDefault="00DD4C8C" w:rsidP="00393CA8">
      <w:pPr>
        <w:widowControl w:val="0"/>
        <w:numPr>
          <w:ilvl w:val="0"/>
          <w:numId w:val="31"/>
        </w:numPr>
        <w:adjustRightInd w:val="0"/>
        <w:spacing w:after="0" w:line="240" w:lineRule="auto"/>
        <w:textAlignment w:val="baseline"/>
        <w:rPr>
          <w:rFonts w:eastAsia="SimSun" w:cs="Arial"/>
          <w:sz w:val="16"/>
          <w:szCs w:val="16"/>
          <w:lang w:val="fr-FR" w:eastAsia="zh-CN"/>
        </w:rPr>
      </w:pPr>
      <w:r w:rsidRPr="00DD4C8C">
        <w:rPr>
          <w:rFonts w:eastAsia="SimSun" w:cs="Arial"/>
          <w:sz w:val="16"/>
          <w:szCs w:val="16"/>
          <w:lang w:val="fr-FR" w:eastAsia="zh-CN"/>
        </w:rPr>
        <w:t>1997, Congo : Elaboration de la stratégie et de la conception pour l’intégration des populations au projet ‘Protection des Ecosystèmes du Nord-Congo</w:t>
      </w:r>
    </w:p>
    <w:p w14:paraId="27465135" w14:textId="77777777" w:rsidR="00DD4C8C" w:rsidRPr="00DD4C8C" w:rsidRDefault="00DD4C8C" w:rsidP="00393CA8">
      <w:pPr>
        <w:widowControl w:val="0"/>
        <w:numPr>
          <w:ilvl w:val="0"/>
          <w:numId w:val="31"/>
        </w:numPr>
        <w:adjustRightInd w:val="0"/>
        <w:spacing w:after="0" w:line="240" w:lineRule="auto"/>
        <w:textAlignment w:val="baseline"/>
        <w:rPr>
          <w:rFonts w:eastAsia="SimSun" w:cs="Arial"/>
          <w:sz w:val="16"/>
          <w:szCs w:val="16"/>
          <w:lang w:val="fr-FR" w:eastAsia="zh-CN"/>
        </w:rPr>
      </w:pPr>
      <w:r w:rsidRPr="00DD4C8C">
        <w:rPr>
          <w:rFonts w:eastAsia="SimSun" w:cs="Arial"/>
          <w:sz w:val="16"/>
          <w:szCs w:val="16"/>
          <w:lang w:val="fr-FR" w:eastAsia="zh-CN"/>
        </w:rPr>
        <w:t>1997, RDC : Etude de faisabilité du projet ‘Appui aux ONG du Zaïre’</w:t>
      </w:r>
    </w:p>
    <w:p w14:paraId="4FA61CD2" w14:textId="77777777" w:rsidR="00DD4C8C" w:rsidRPr="00DD4C8C" w:rsidRDefault="00DD4C8C" w:rsidP="00393CA8">
      <w:pPr>
        <w:widowControl w:val="0"/>
        <w:numPr>
          <w:ilvl w:val="0"/>
          <w:numId w:val="32"/>
        </w:numPr>
        <w:adjustRightInd w:val="0"/>
        <w:spacing w:after="0" w:line="240" w:lineRule="auto"/>
        <w:textAlignment w:val="baseline"/>
        <w:rPr>
          <w:rFonts w:eastAsia="SimSun" w:cs="Arial"/>
          <w:sz w:val="16"/>
          <w:szCs w:val="16"/>
          <w:lang w:val="fr-FR" w:eastAsia="zh-CN"/>
        </w:rPr>
      </w:pPr>
      <w:r w:rsidRPr="00DD4C8C">
        <w:rPr>
          <w:rFonts w:eastAsia="SimSun" w:cs="Arial"/>
          <w:sz w:val="16"/>
          <w:szCs w:val="16"/>
          <w:lang w:val="fr-FR" w:eastAsia="zh-CN"/>
        </w:rPr>
        <w:t>1996, RDC: contrôle d’avancement du projet ‘promotion du café, Mahagi’</w:t>
      </w:r>
    </w:p>
    <w:p w14:paraId="32AC7177" w14:textId="77777777" w:rsidR="00DD4C8C" w:rsidRPr="00DD4C8C" w:rsidRDefault="00DD4C8C" w:rsidP="00DD4C8C">
      <w:pPr>
        <w:widowControl w:val="0"/>
        <w:adjustRightInd w:val="0"/>
        <w:spacing w:after="0" w:line="288" w:lineRule="auto"/>
        <w:textAlignment w:val="baseline"/>
        <w:rPr>
          <w:rFonts w:eastAsia="SimSun" w:cs="Arial"/>
          <w:sz w:val="8"/>
          <w:szCs w:val="16"/>
          <w:lang w:val="fr-FR" w:eastAsia="zh-CN"/>
        </w:rPr>
      </w:pPr>
    </w:p>
    <w:p w14:paraId="1C89BF85" w14:textId="77777777" w:rsidR="00DD4C8C" w:rsidRPr="00DD4C8C" w:rsidRDefault="00DD4C8C" w:rsidP="00DD4C8C">
      <w:pPr>
        <w:widowControl w:val="0"/>
        <w:adjustRightInd w:val="0"/>
        <w:spacing w:after="0" w:line="288" w:lineRule="auto"/>
        <w:textAlignment w:val="baseline"/>
        <w:rPr>
          <w:rFonts w:eastAsia="SimSun" w:cs="Arial"/>
          <w:sz w:val="16"/>
          <w:szCs w:val="16"/>
          <w:lang w:val="fr-FR" w:eastAsia="zh-CN"/>
        </w:rPr>
      </w:pPr>
      <w:r w:rsidRPr="00DD4C8C">
        <w:rPr>
          <w:rFonts w:eastAsia="SimSun" w:cs="Arial"/>
          <w:b/>
          <w:bCs/>
          <w:sz w:val="16"/>
          <w:szCs w:val="16"/>
          <w:lang w:val="fr-FR" w:eastAsia="zh-CN"/>
        </w:rPr>
        <w:t>10/1991 - 4/1994 (Mali): Volontaire du DED</w:t>
      </w:r>
    </w:p>
    <w:p w14:paraId="6B850A42" w14:textId="77777777" w:rsidR="00DD4C8C" w:rsidRPr="00DD4C8C" w:rsidRDefault="00DD4C8C" w:rsidP="00DD4C8C">
      <w:pPr>
        <w:widowControl w:val="0"/>
        <w:adjustRightInd w:val="0"/>
        <w:spacing w:after="0" w:line="240" w:lineRule="auto"/>
        <w:textAlignment w:val="baseline"/>
        <w:rPr>
          <w:rFonts w:eastAsia="SimSun" w:cs="Arial"/>
          <w:sz w:val="16"/>
          <w:szCs w:val="16"/>
          <w:lang w:val="fr-FR" w:eastAsia="zh-CN"/>
        </w:rPr>
      </w:pPr>
      <w:r w:rsidRPr="00DD4C8C">
        <w:rPr>
          <w:rFonts w:eastAsia="SimSun" w:cs="Arial"/>
          <w:sz w:val="16"/>
          <w:szCs w:val="16"/>
          <w:lang w:val="fr-FR" w:eastAsia="zh-CN"/>
        </w:rPr>
        <w:t xml:space="preserve">Responsable du Projet Agro – Ecologie (PAE) à Kita; lutte contre la désertification, organisation des paysans, </w:t>
      </w:r>
      <w:r w:rsidR="00850557" w:rsidRPr="00DD4C8C">
        <w:rPr>
          <w:rFonts w:eastAsia="SimSun" w:cs="Arial"/>
          <w:sz w:val="16"/>
          <w:szCs w:val="16"/>
          <w:lang w:val="fr-FR" w:eastAsia="zh-CN"/>
        </w:rPr>
        <w:t>autopromotion</w:t>
      </w:r>
      <w:r w:rsidRPr="00DD4C8C">
        <w:rPr>
          <w:rFonts w:eastAsia="SimSun" w:cs="Arial"/>
          <w:sz w:val="16"/>
          <w:szCs w:val="16"/>
          <w:lang w:val="fr-FR" w:eastAsia="zh-CN"/>
        </w:rPr>
        <w:t xml:space="preserve">, foyer amélioré, gestion de terroir, agro – foresterie, reboisement </w:t>
      </w:r>
    </w:p>
    <w:p w14:paraId="69E787FA" w14:textId="77777777" w:rsidR="00DD4C8C" w:rsidRPr="00DD4C8C" w:rsidRDefault="00DD4C8C" w:rsidP="00DD4C8C">
      <w:pPr>
        <w:widowControl w:val="0"/>
        <w:adjustRightInd w:val="0"/>
        <w:spacing w:after="0" w:line="288" w:lineRule="auto"/>
        <w:textAlignment w:val="baseline"/>
        <w:rPr>
          <w:rFonts w:eastAsia="SimSun" w:cs="Arial"/>
          <w:sz w:val="8"/>
          <w:szCs w:val="16"/>
          <w:lang w:val="fr-FR" w:eastAsia="zh-CN"/>
        </w:rPr>
      </w:pPr>
    </w:p>
    <w:p w14:paraId="7258615A" w14:textId="77777777" w:rsidR="00DD4C8C" w:rsidRPr="00DD4C8C" w:rsidRDefault="00DD4C8C" w:rsidP="00DD4C8C">
      <w:pPr>
        <w:widowControl w:val="0"/>
        <w:adjustRightInd w:val="0"/>
        <w:spacing w:after="0" w:line="288" w:lineRule="auto"/>
        <w:textAlignment w:val="baseline"/>
        <w:rPr>
          <w:rFonts w:eastAsia="SimSun" w:cs="Arial"/>
          <w:sz w:val="16"/>
          <w:szCs w:val="16"/>
          <w:lang w:val="fr-FR" w:eastAsia="zh-CN"/>
        </w:rPr>
      </w:pPr>
      <w:r w:rsidRPr="00DD4C8C">
        <w:rPr>
          <w:rFonts w:eastAsia="SimSun" w:cs="Arial"/>
          <w:b/>
          <w:bCs/>
          <w:sz w:val="16"/>
          <w:szCs w:val="16"/>
          <w:lang w:val="fr-FR" w:eastAsia="zh-CN"/>
        </w:rPr>
        <w:t>3/1989 – 9/1991 et 5/1994 – 12/1995 : Formatrice/consultante :</w:t>
      </w:r>
    </w:p>
    <w:p w14:paraId="439BAA3D" w14:textId="77777777" w:rsidR="00DD4C8C" w:rsidRPr="00DD4C8C" w:rsidRDefault="00DD4C8C" w:rsidP="00DD4C8C">
      <w:pPr>
        <w:widowControl w:val="0"/>
        <w:adjustRightInd w:val="0"/>
        <w:spacing w:after="0" w:line="288" w:lineRule="auto"/>
        <w:textAlignment w:val="baseline"/>
        <w:rPr>
          <w:rFonts w:eastAsia="SimSun" w:cs="Arial"/>
          <w:sz w:val="16"/>
          <w:szCs w:val="16"/>
          <w:lang w:val="fr-FR" w:eastAsia="zh-CN"/>
        </w:rPr>
      </w:pPr>
      <w:r w:rsidRPr="00DD4C8C">
        <w:rPr>
          <w:rFonts w:eastAsia="SimSun" w:cs="Arial"/>
          <w:sz w:val="16"/>
          <w:szCs w:val="16"/>
          <w:lang w:val="fr-FR" w:eastAsia="zh-CN"/>
        </w:rPr>
        <w:t>- cours de préparation des futures expatries des projets de développement (DSE)</w:t>
      </w:r>
    </w:p>
    <w:p w14:paraId="45DEB968" w14:textId="77777777" w:rsidR="00E42B65" w:rsidRDefault="00DD4C8C" w:rsidP="00DD4C8C">
      <w:pPr>
        <w:widowControl w:val="0"/>
        <w:adjustRightInd w:val="0"/>
        <w:spacing w:after="0" w:line="288" w:lineRule="auto"/>
        <w:textAlignment w:val="baseline"/>
        <w:rPr>
          <w:rFonts w:eastAsia="SimSun" w:cs="Arial"/>
          <w:sz w:val="16"/>
          <w:szCs w:val="16"/>
          <w:lang w:val="fr-FR" w:eastAsia="zh-CN"/>
        </w:rPr>
        <w:sectPr w:rsidR="00E42B65" w:rsidSect="00E42B65">
          <w:pgSz w:w="11906" w:h="16838"/>
          <w:pgMar w:top="851" w:right="737" w:bottom="1134" w:left="964" w:header="709" w:footer="709" w:gutter="0"/>
          <w:cols w:space="708"/>
          <w:docGrid w:linePitch="360"/>
        </w:sectPr>
      </w:pPr>
      <w:r w:rsidRPr="00DD4C8C">
        <w:rPr>
          <w:rFonts w:eastAsia="SimSun" w:cs="Arial"/>
          <w:sz w:val="16"/>
          <w:szCs w:val="16"/>
          <w:lang w:val="fr-FR" w:eastAsia="zh-CN"/>
        </w:rPr>
        <w:t>- études d’impact sur l’environnement en Allemagne (ÖBB, bureau d’étude)</w:t>
      </w:r>
      <w:r w:rsidR="00E42B65">
        <w:rPr>
          <w:rFonts w:eastAsia="SimSun" w:cs="Arial"/>
          <w:sz w:val="16"/>
          <w:szCs w:val="16"/>
          <w:lang w:val="fr-FR" w:eastAsia="zh-CN"/>
        </w:rPr>
        <w:t xml:space="preserve">, </w:t>
      </w:r>
      <w:r w:rsidRPr="00DD4C8C">
        <w:rPr>
          <w:rFonts w:eastAsia="SimSun" w:cs="Arial"/>
          <w:sz w:val="16"/>
          <w:szCs w:val="16"/>
          <w:lang w:val="fr-FR" w:eastAsia="zh-CN"/>
        </w:rPr>
        <w:t>contributions aux études sur les pays en voir de développement et publications (GEOPLAN)</w:t>
      </w:r>
    </w:p>
    <w:p w14:paraId="0C7B9D0E" w14:textId="77777777" w:rsidR="00DD4C8C" w:rsidRPr="00894F7C" w:rsidRDefault="00DD4C8C" w:rsidP="00894F7C">
      <w:pPr>
        <w:spacing w:after="0" w:line="240" w:lineRule="auto"/>
        <w:rPr>
          <w:rFonts w:cs="Arial"/>
          <w:b/>
          <w:spacing w:val="-2"/>
          <w:sz w:val="20"/>
          <w:szCs w:val="20"/>
          <w:lang w:val="fr-FR"/>
        </w:rPr>
      </w:pPr>
      <w:r w:rsidRPr="00894F7C">
        <w:rPr>
          <w:rFonts w:cs="Arial"/>
          <w:b/>
          <w:sz w:val="20"/>
          <w:szCs w:val="20"/>
          <w:lang w:val="fr-FR" w:eastAsia="zh-CN"/>
        </w:rPr>
        <w:lastRenderedPageBreak/>
        <w:t>CURRICULUM VITAE – Expert adjoint senior – Dr Véronique Bruzon</w:t>
      </w:r>
    </w:p>
    <w:p w14:paraId="7D44E67E" w14:textId="77777777" w:rsidR="00AC68DC" w:rsidRDefault="00AC68DC" w:rsidP="00AC68DC">
      <w:pPr>
        <w:ind w:left="431" w:hanging="431"/>
        <w:rPr>
          <w:rFonts w:cs="Arial"/>
          <w:b/>
          <w:sz w:val="18"/>
          <w:szCs w:val="18"/>
          <w:u w:val="single"/>
        </w:rPr>
      </w:pPr>
      <w:bookmarkStart w:id="154" w:name="_Hlk508956109"/>
    </w:p>
    <w:p w14:paraId="574B69C1" w14:textId="77777777" w:rsidR="00AC68DC" w:rsidRPr="000842CF" w:rsidRDefault="00AC68DC" w:rsidP="00AC68DC">
      <w:pPr>
        <w:ind w:left="431" w:hanging="431"/>
        <w:rPr>
          <w:rFonts w:cs="Arial"/>
          <w:b/>
          <w:sz w:val="18"/>
          <w:szCs w:val="18"/>
          <w:u w:val="single"/>
        </w:rPr>
      </w:pPr>
      <w:r w:rsidRPr="000842CF">
        <w:rPr>
          <w:rFonts w:cs="Arial"/>
          <w:b/>
          <w:sz w:val="18"/>
          <w:szCs w:val="18"/>
          <w:u w:val="single"/>
        </w:rPr>
        <w:t xml:space="preserve">Formation (1984 -1990) </w:t>
      </w:r>
    </w:p>
    <w:p w14:paraId="0325063B" w14:textId="77777777" w:rsidR="00AC68DC" w:rsidRPr="000842CF" w:rsidRDefault="00AC68DC" w:rsidP="00AC68DC">
      <w:pPr>
        <w:ind w:left="431" w:hanging="431"/>
        <w:rPr>
          <w:rFonts w:cs="Arial"/>
          <w:sz w:val="18"/>
          <w:szCs w:val="18"/>
        </w:rPr>
      </w:pPr>
      <w:r w:rsidRPr="000842CF">
        <w:rPr>
          <w:rFonts w:cs="Arial"/>
          <w:sz w:val="18"/>
          <w:szCs w:val="18"/>
        </w:rPr>
        <w:t xml:space="preserve">1990 : </w:t>
      </w:r>
      <w:r w:rsidRPr="000842CF">
        <w:rPr>
          <w:rFonts w:cs="Arial"/>
          <w:b/>
          <w:sz w:val="18"/>
          <w:szCs w:val="18"/>
        </w:rPr>
        <w:t>Docteur de l’Université de Paris VII</w:t>
      </w:r>
      <w:r w:rsidRPr="000842CF">
        <w:rPr>
          <w:rFonts w:cs="Arial"/>
          <w:sz w:val="18"/>
          <w:szCs w:val="18"/>
        </w:rPr>
        <w:t>. Thèse : Les savanes du Nord de la Côte d’Ivoire –l’herbe, le feu et le pâturage-</w:t>
      </w:r>
    </w:p>
    <w:p w14:paraId="3E6CB53D" w14:textId="77777777" w:rsidR="00AC68DC" w:rsidRPr="000842CF" w:rsidRDefault="00AC68DC" w:rsidP="00AC68DC">
      <w:pPr>
        <w:ind w:left="431" w:hanging="431"/>
        <w:rPr>
          <w:rFonts w:cs="Arial"/>
          <w:sz w:val="18"/>
          <w:szCs w:val="18"/>
        </w:rPr>
      </w:pPr>
      <w:r w:rsidRPr="000842CF">
        <w:rPr>
          <w:rFonts w:cs="Arial"/>
          <w:sz w:val="18"/>
          <w:szCs w:val="18"/>
        </w:rPr>
        <w:t>1984 </w:t>
      </w:r>
      <w:r w:rsidRPr="000842CF">
        <w:rPr>
          <w:rFonts w:cs="Arial"/>
          <w:b/>
          <w:sz w:val="18"/>
          <w:szCs w:val="18"/>
        </w:rPr>
        <w:t>: Master (DEA) Géographie et Aménagement</w:t>
      </w:r>
      <w:r w:rsidRPr="000842CF">
        <w:rPr>
          <w:rFonts w:cs="Arial"/>
          <w:sz w:val="18"/>
          <w:szCs w:val="18"/>
        </w:rPr>
        <w:t> : Structures et dynamiques des milieux naturels avec les activités humaines.</w:t>
      </w:r>
    </w:p>
    <w:p w14:paraId="6B71BAA7" w14:textId="77777777" w:rsidR="00AC68DC" w:rsidRPr="000842CF" w:rsidRDefault="00AC68DC" w:rsidP="00AC68DC">
      <w:pPr>
        <w:ind w:left="432" w:hanging="6"/>
        <w:rPr>
          <w:rFonts w:cs="Arial"/>
          <w:sz w:val="18"/>
          <w:szCs w:val="18"/>
        </w:rPr>
      </w:pPr>
      <w:r w:rsidRPr="000842CF">
        <w:rPr>
          <w:rFonts w:cs="Arial"/>
          <w:b/>
          <w:sz w:val="18"/>
          <w:szCs w:val="18"/>
          <w:u w:val="single"/>
        </w:rPr>
        <w:t>Associations ou corps professionnels</w:t>
      </w:r>
      <w:r w:rsidRPr="000842CF">
        <w:rPr>
          <w:rFonts w:cs="Arial"/>
          <w:b/>
          <w:bCs/>
          <w:sz w:val="18"/>
          <w:szCs w:val="18"/>
        </w:rPr>
        <w:t xml:space="preserve"> : </w:t>
      </w:r>
      <w:r w:rsidRPr="000842CF">
        <w:rPr>
          <w:rFonts w:cs="Arial"/>
          <w:sz w:val="18"/>
          <w:szCs w:val="18"/>
        </w:rPr>
        <w:t>Intervenante extérieure pour l'Université Paris XII Master 2 « </w:t>
      </w:r>
      <w:r w:rsidRPr="000842CF">
        <w:rPr>
          <w:rFonts w:cs="Arial"/>
          <w:b/>
          <w:sz w:val="18"/>
          <w:szCs w:val="18"/>
        </w:rPr>
        <w:t>Bio ressources –Ingénierie Biologique pour l’Environnement-</w:t>
      </w:r>
      <w:r w:rsidRPr="000842CF">
        <w:rPr>
          <w:rFonts w:cs="Arial"/>
          <w:sz w:val="18"/>
          <w:szCs w:val="18"/>
        </w:rPr>
        <w:t xml:space="preserve"> de 2003 à 2013</w:t>
      </w:r>
    </w:p>
    <w:p w14:paraId="0512932E" w14:textId="77777777" w:rsidR="00AC68DC" w:rsidRPr="000842CF" w:rsidRDefault="00AC68DC" w:rsidP="00AC68DC">
      <w:pPr>
        <w:ind w:left="432" w:hanging="432"/>
        <w:rPr>
          <w:rFonts w:cs="Arial"/>
          <w:b/>
          <w:sz w:val="18"/>
          <w:szCs w:val="18"/>
          <w:u w:val="single"/>
        </w:rPr>
      </w:pPr>
      <w:r w:rsidRPr="000842CF">
        <w:rPr>
          <w:rFonts w:cs="Arial"/>
          <w:b/>
          <w:sz w:val="18"/>
          <w:szCs w:val="18"/>
          <w:u w:val="single"/>
        </w:rPr>
        <w:t xml:space="preserve">Principales qualifications : </w:t>
      </w:r>
    </w:p>
    <w:p w14:paraId="34A4FE97" w14:textId="77777777" w:rsidR="00AC68DC" w:rsidRPr="000E05ED" w:rsidRDefault="00AC68DC" w:rsidP="00393CA8">
      <w:pPr>
        <w:numPr>
          <w:ilvl w:val="0"/>
          <w:numId w:val="33"/>
        </w:numPr>
        <w:tabs>
          <w:tab w:val="num" w:pos="0"/>
          <w:tab w:val="num" w:pos="284"/>
        </w:tabs>
        <w:spacing w:after="0" w:line="240" w:lineRule="auto"/>
        <w:ind w:left="284" w:hanging="142"/>
        <w:rPr>
          <w:rFonts w:cs="Arial"/>
          <w:sz w:val="18"/>
          <w:szCs w:val="18"/>
          <w:lang w:eastAsia="en-GB"/>
        </w:rPr>
      </w:pPr>
      <w:r w:rsidRPr="000842CF">
        <w:rPr>
          <w:rFonts w:cs="Arial"/>
          <w:sz w:val="18"/>
          <w:szCs w:val="18"/>
        </w:rPr>
        <w:t>Trente</w:t>
      </w:r>
      <w:r w:rsidRPr="000842CF">
        <w:rPr>
          <w:rFonts w:cs="Arial"/>
          <w:sz w:val="18"/>
          <w:szCs w:val="18"/>
          <w:lang w:eastAsia="en-GB"/>
        </w:rPr>
        <w:t xml:space="preserve"> ans d’expérience professionnelle dans le domaine de la coopération au développement.</w:t>
      </w:r>
    </w:p>
    <w:p w14:paraId="38C7A725" w14:textId="77777777" w:rsidR="00AC68DC" w:rsidRPr="000842CF" w:rsidRDefault="00AC68DC" w:rsidP="00393CA8">
      <w:pPr>
        <w:numPr>
          <w:ilvl w:val="0"/>
          <w:numId w:val="33"/>
        </w:numPr>
        <w:tabs>
          <w:tab w:val="num" w:pos="0"/>
          <w:tab w:val="num" w:pos="284"/>
        </w:tabs>
        <w:spacing w:after="0" w:line="240" w:lineRule="auto"/>
        <w:ind w:left="284" w:hanging="142"/>
        <w:rPr>
          <w:rFonts w:cs="Arial"/>
          <w:sz w:val="18"/>
          <w:szCs w:val="18"/>
        </w:rPr>
      </w:pPr>
      <w:r w:rsidRPr="000842CF">
        <w:rPr>
          <w:rFonts w:cs="Arial"/>
          <w:sz w:val="18"/>
          <w:szCs w:val="18"/>
        </w:rPr>
        <w:t>Excellentes connaissances l’environnement, du changement climatique, du développement durable.</w:t>
      </w:r>
    </w:p>
    <w:p w14:paraId="5E640A6F" w14:textId="77777777" w:rsidR="00AC68DC" w:rsidRPr="000E05ED" w:rsidRDefault="00AC68DC" w:rsidP="00393CA8">
      <w:pPr>
        <w:numPr>
          <w:ilvl w:val="0"/>
          <w:numId w:val="33"/>
        </w:numPr>
        <w:tabs>
          <w:tab w:val="num" w:pos="862"/>
        </w:tabs>
        <w:spacing w:after="0" w:line="240" w:lineRule="auto"/>
        <w:ind w:left="284" w:hanging="142"/>
        <w:rPr>
          <w:rFonts w:eastAsiaTheme="majorEastAsia" w:cs="Arial"/>
          <w:color w:val="365F91" w:themeColor="accent1" w:themeShade="BF"/>
          <w:sz w:val="18"/>
          <w:szCs w:val="18"/>
          <w:lang w:eastAsia="en-GB"/>
        </w:rPr>
      </w:pPr>
      <w:r w:rsidRPr="000842CF">
        <w:rPr>
          <w:rFonts w:cs="Arial"/>
          <w:sz w:val="18"/>
          <w:szCs w:val="18"/>
          <w:lang w:eastAsia="en-GB"/>
        </w:rPr>
        <w:t>Excellentes capacités rédactionnelle et relationnelle et de gestion d’équipe.</w:t>
      </w:r>
    </w:p>
    <w:p w14:paraId="3EF135EA" w14:textId="77777777" w:rsidR="00AC68DC" w:rsidRPr="000842CF" w:rsidRDefault="00AC68DC" w:rsidP="00AC68DC">
      <w:pPr>
        <w:ind w:left="432" w:hanging="432"/>
        <w:rPr>
          <w:rFonts w:cs="Arial"/>
          <w:b/>
          <w:sz w:val="18"/>
          <w:szCs w:val="18"/>
          <w:u w:val="single"/>
        </w:rPr>
      </w:pPr>
      <w:r w:rsidRPr="000842CF">
        <w:rPr>
          <w:rFonts w:cs="Arial"/>
          <w:b/>
          <w:sz w:val="18"/>
          <w:szCs w:val="18"/>
          <w:u w:val="single"/>
        </w:rPr>
        <w:t>Expérience</w:t>
      </w:r>
    </w:p>
    <w:p w14:paraId="46AE39EF" w14:textId="77777777" w:rsidR="00AC68DC" w:rsidRPr="00AC68DC" w:rsidRDefault="00AC68DC" w:rsidP="00393CA8">
      <w:pPr>
        <w:numPr>
          <w:ilvl w:val="0"/>
          <w:numId w:val="29"/>
        </w:numPr>
        <w:tabs>
          <w:tab w:val="clear" w:pos="360"/>
        </w:tabs>
        <w:overflowPunct w:val="0"/>
        <w:autoSpaceDE w:val="0"/>
        <w:autoSpaceDN w:val="0"/>
        <w:adjustRightInd w:val="0"/>
        <w:spacing w:after="0" w:line="240" w:lineRule="auto"/>
        <w:ind w:right="-568" w:hanging="218"/>
        <w:rPr>
          <w:rFonts w:cs="Arial"/>
          <w:bCs/>
          <w:sz w:val="18"/>
          <w:szCs w:val="18"/>
        </w:rPr>
      </w:pPr>
      <w:r w:rsidRPr="00AC68DC">
        <w:rPr>
          <w:rFonts w:cs="Arial"/>
          <w:bCs/>
          <w:sz w:val="18"/>
          <w:szCs w:val="18"/>
        </w:rPr>
        <w:t>2018, Mali, GIZ : Analyse de l’évolution des problèmes écologiques causés par l’irrigation de proximité, de l’efficacité des mesures de correction</w:t>
      </w:r>
      <w:r>
        <w:rPr>
          <w:rFonts w:cs="Arial"/>
          <w:bCs/>
          <w:sz w:val="18"/>
          <w:szCs w:val="18"/>
        </w:rPr>
        <w:t>.</w:t>
      </w:r>
      <w:r w:rsidR="00CE273B">
        <w:rPr>
          <w:rFonts w:cs="Arial"/>
          <w:bCs/>
          <w:sz w:val="18"/>
          <w:szCs w:val="18"/>
        </w:rPr>
        <w:t xml:space="preserve"> TL</w:t>
      </w:r>
    </w:p>
    <w:p w14:paraId="24F15D31" w14:textId="77777777" w:rsidR="00AC68DC" w:rsidRDefault="00AC68DC" w:rsidP="00393CA8">
      <w:pPr>
        <w:numPr>
          <w:ilvl w:val="0"/>
          <w:numId w:val="29"/>
        </w:numPr>
        <w:tabs>
          <w:tab w:val="clear" w:pos="360"/>
          <w:tab w:val="num" w:pos="644"/>
        </w:tabs>
        <w:overflowPunct w:val="0"/>
        <w:autoSpaceDE w:val="0"/>
        <w:autoSpaceDN w:val="0"/>
        <w:adjustRightInd w:val="0"/>
        <w:spacing w:after="0" w:line="240" w:lineRule="auto"/>
        <w:ind w:right="-568" w:hanging="218"/>
        <w:rPr>
          <w:rFonts w:cs="Arial"/>
          <w:bCs/>
          <w:sz w:val="18"/>
          <w:szCs w:val="18"/>
        </w:rPr>
      </w:pPr>
      <w:r>
        <w:rPr>
          <w:rFonts w:cs="Arial"/>
          <w:bCs/>
          <w:sz w:val="18"/>
          <w:szCs w:val="18"/>
        </w:rPr>
        <w:t>2017, Maroc, UE : Suivi-vérification appui budgétaire programme croissance et économie verte. Ex. politiques environnementales/ énergétiques</w:t>
      </w:r>
    </w:p>
    <w:p w14:paraId="5A90F2B2"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568" w:hanging="218"/>
        <w:rPr>
          <w:rFonts w:cs="Arial"/>
          <w:bCs/>
          <w:sz w:val="18"/>
          <w:szCs w:val="18"/>
        </w:rPr>
      </w:pPr>
      <w:r w:rsidRPr="000842CF">
        <w:rPr>
          <w:rFonts w:cs="Arial"/>
          <w:bCs/>
          <w:sz w:val="18"/>
          <w:szCs w:val="18"/>
        </w:rPr>
        <w:t xml:space="preserve">2017, Bénin – Gabon, AFD / FFEM : Evaluation finale Projet de développement sobre en carbone et résilient aux changements climatiques. TL </w:t>
      </w:r>
    </w:p>
    <w:p w14:paraId="05BB84F6"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568" w:hanging="218"/>
        <w:rPr>
          <w:rFonts w:cs="Arial"/>
          <w:bCs/>
          <w:sz w:val="18"/>
          <w:szCs w:val="18"/>
        </w:rPr>
      </w:pPr>
      <w:r w:rsidRPr="000842CF">
        <w:rPr>
          <w:rFonts w:cs="Arial"/>
          <w:bCs/>
          <w:sz w:val="18"/>
          <w:szCs w:val="18"/>
        </w:rPr>
        <w:t>2017, Tchad, UE : Evaluation finale des Programmes d’Appui au Développement Local et la Gestion des Ressources Naturelles. TL</w:t>
      </w:r>
    </w:p>
    <w:p w14:paraId="05E8933C"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568" w:hanging="218"/>
        <w:rPr>
          <w:rFonts w:cs="Arial"/>
          <w:bCs/>
          <w:sz w:val="18"/>
          <w:szCs w:val="18"/>
        </w:rPr>
      </w:pPr>
      <w:r w:rsidRPr="000842CF">
        <w:rPr>
          <w:rFonts w:cs="Arial"/>
          <w:bCs/>
          <w:sz w:val="18"/>
          <w:szCs w:val="18"/>
        </w:rPr>
        <w:t>2017, Tchad, UE : Evaluation mi-parcours de la Convention de financement et de la performance du dispositif opérationnel du projet AMCC. TL</w:t>
      </w:r>
    </w:p>
    <w:p w14:paraId="46650B4F"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568" w:hanging="218"/>
        <w:rPr>
          <w:rFonts w:cs="Arial"/>
          <w:bCs/>
          <w:sz w:val="18"/>
          <w:szCs w:val="18"/>
        </w:rPr>
      </w:pPr>
      <w:r w:rsidRPr="000842CF">
        <w:rPr>
          <w:rFonts w:cs="Arial"/>
          <w:bCs/>
          <w:sz w:val="18"/>
          <w:szCs w:val="18"/>
        </w:rPr>
        <w:t>2016, Burkina Faso, Coopération Luxembourgeoise. Evaluation finale du projet BKF/017 Azawak – Ressources pastorales. TL</w:t>
      </w:r>
    </w:p>
    <w:p w14:paraId="2D6FBD7A"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568" w:hanging="218"/>
        <w:rPr>
          <w:rFonts w:cs="Arial"/>
          <w:bCs/>
          <w:sz w:val="18"/>
          <w:szCs w:val="18"/>
        </w:rPr>
      </w:pPr>
      <w:r w:rsidRPr="000842CF">
        <w:rPr>
          <w:rFonts w:cs="Arial"/>
          <w:bCs/>
          <w:sz w:val="18"/>
          <w:szCs w:val="18"/>
        </w:rPr>
        <w:t>2016, Niger, Coopération Luxembourgeoise. Prise en compte de l’environnement et du changement climatique pour le PIC III. TL</w:t>
      </w:r>
    </w:p>
    <w:p w14:paraId="32C4BAC0"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568" w:hanging="218"/>
        <w:rPr>
          <w:rFonts w:cs="Arial"/>
          <w:bCs/>
          <w:sz w:val="18"/>
          <w:szCs w:val="18"/>
        </w:rPr>
      </w:pPr>
      <w:r w:rsidRPr="000842CF">
        <w:rPr>
          <w:rFonts w:cs="Arial"/>
          <w:bCs/>
          <w:sz w:val="18"/>
          <w:szCs w:val="18"/>
        </w:rPr>
        <w:t>2016, Mali, UE : AGCC. Inventaire national des indicateurs environnementaux et du changement climatique. TL</w:t>
      </w:r>
    </w:p>
    <w:p w14:paraId="403D31E4"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568" w:hanging="218"/>
        <w:rPr>
          <w:rFonts w:cs="Arial"/>
          <w:bCs/>
          <w:sz w:val="18"/>
          <w:szCs w:val="18"/>
        </w:rPr>
      </w:pPr>
      <w:r w:rsidRPr="000842CF">
        <w:rPr>
          <w:rFonts w:cs="Arial"/>
          <w:bCs/>
          <w:sz w:val="18"/>
          <w:szCs w:val="18"/>
        </w:rPr>
        <w:t>2015, Tunisie, UE : Evaluation Finale Programme Environnement Energie. TL</w:t>
      </w:r>
    </w:p>
    <w:p w14:paraId="06AFBF04"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568" w:hanging="218"/>
        <w:rPr>
          <w:rFonts w:cs="Arial"/>
          <w:bCs/>
          <w:sz w:val="18"/>
          <w:szCs w:val="18"/>
        </w:rPr>
      </w:pPr>
      <w:r w:rsidRPr="000842CF">
        <w:rPr>
          <w:rFonts w:cs="Arial"/>
          <w:bCs/>
          <w:sz w:val="18"/>
          <w:szCs w:val="18"/>
        </w:rPr>
        <w:t>2015, Côte d’Ivoire, Expertise France : Appui à l’élaboration des CPDN/INDC dans le cadre CCNUCC pour la COP 21 de Paris</w:t>
      </w:r>
    </w:p>
    <w:p w14:paraId="1F3F9EFF"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568" w:hanging="218"/>
        <w:rPr>
          <w:rFonts w:cs="Arial"/>
          <w:bCs/>
          <w:sz w:val="18"/>
          <w:szCs w:val="18"/>
        </w:rPr>
      </w:pPr>
      <w:r w:rsidRPr="000842CF">
        <w:rPr>
          <w:rFonts w:cs="Arial"/>
          <w:bCs/>
          <w:sz w:val="18"/>
          <w:szCs w:val="18"/>
        </w:rPr>
        <w:t>2015, Tchad, Expertise France : Appui à l’élaboration des CPDN/INDC dans le cadre de la CCNUCC pour la COP 21 de Paris</w:t>
      </w:r>
    </w:p>
    <w:p w14:paraId="66C36C5C"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568" w:hanging="218"/>
        <w:rPr>
          <w:rFonts w:cs="Arial"/>
          <w:bCs/>
          <w:sz w:val="18"/>
          <w:szCs w:val="18"/>
        </w:rPr>
      </w:pPr>
      <w:r w:rsidRPr="000842CF">
        <w:rPr>
          <w:rFonts w:cs="Arial"/>
          <w:bCs/>
          <w:sz w:val="18"/>
          <w:szCs w:val="18"/>
        </w:rPr>
        <w:t>2014, Sénégal, UE : Analyse institutionnelle du Ministère de l’Environnement et du Développement Durable. Environnementaliste.</w:t>
      </w:r>
    </w:p>
    <w:p w14:paraId="7220E973"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992" w:hanging="218"/>
        <w:rPr>
          <w:rFonts w:cs="Arial"/>
          <w:bCs/>
          <w:sz w:val="18"/>
          <w:szCs w:val="18"/>
        </w:rPr>
      </w:pPr>
      <w:r w:rsidRPr="000842CF">
        <w:rPr>
          <w:rFonts w:cs="Arial"/>
          <w:bCs/>
          <w:sz w:val="18"/>
          <w:szCs w:val="18"/>
        </w:rPr>
        <w:t>2014, Mali, UE : Révision du profil environnemental du Mali. Environnementaliste.</w:t>
      </w:r>
    </w:p>
    <w:p w14:paraId="73A8CD6C"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992" w:hanging="218"/>
        <w:rPr>
          <w:rFonts w:cs="Arial"/>
          <w:bCs/>
          <w:sz w:val="18"/>
          <w:szCs w:val="18"/>
        </w:rPr>
      </w:pPr>
      <w:r w:rsidRPr="000842CF">
        <w:rPr>
          <w:rFonts w:cs="Arial"/>
          <w:bCs/>
          <w:sz w:val="18"/>
          <w:szCs w:val="18"/>
        </w:rPr>
        <w:t xml:space="preserve">2013, Mauritanie, UE : Revue institutionnelle du secteur agricole et pastoral (RISAP). </w:t>
      </w:r>
    </w:p>
    <w:p w14:paraId="2DDD90C3"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992" w:hanging="218"/>
        <w:rPr>
          <w:rFonts w:cs="Arial"/>
          <w:bCs/>
          <w:sz w:val="18"/>
          <w:szCs w:val="18"/>
        </w:rPr>
      </w:pPr>
      <w:r w:rsidRPr="000842CF">
        <w:rPr>
          <w:rFonts w:cs="Arial"/>
          <w:bCs/>
          <w:sz w:val="18"/>
          <w:szCs w:val="18"/>
        </w:rPr>
        <w:t>2013, Mauritanie, UE : Profil Environnemental de la Mauritanie. TL.</w:t>
      </w:r>
    </w:p>
    <w:p w14:paraId="28074B4E"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568" w:hanging="218"/>
        <w:rPr>
          <w:rFonts w:cs="Arial"/>
          <w:bCs/>
          <w:sz w:val="18"/>
          <w:szCs w:val="18"/>
        </w:rPr>
      </w:pPr>
      <w:r w:rsidRPr="000842CF">
        <w:rPr>
          <w:rFonts w:cs="Arial"/>
          <w:bCs/>
          <w:sz w:val="18"/>
          <w:szCs w:val="18"/>
        </w:rPr>
        <w:t>2012, Gabon, UE : Evaluation à mi-parcours du programme ECOFAC V. Chef de mission (TL).</w:t>
      </w:r>
    </w:p>
    <w:p w14:paraId="3AE0A73C"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568" w:hanging="218"/>
        <w:rPr>
          <w:rFonts w:cs="Arial"/>
          <w:bCs/>
          <w:sz w:val="18"/>
          <w:szCs w:val="18"/>
        </w:rPr>
      </w:pPr>
      <w:r w:rsidRPr="000842CF">
        <w:rPr>
          <w:rFonts w:cs="Arial"/>
          <w:bCs/>
          <w:sz w:val="18"/>
          <w:szCs w:val="18"/>
        </w:rPr>
        <w:t>2011 à 2012, Mali, BAD :</w:t>
      </w:r>
      <w:r w:rsidRPr="000842CF">
        <w:rPr>
          <w:rFonts w:cs="Arial"/>
          <w:sz w:val="18"/>
          <w:szCs w:val="18"/>
        </w:rPr>
        <w:t xml:space="preserve"> SAT et Plans Communaux d’Action Environnementale pour 12 communes. TL.</w:t>
      </w:r>
    </w:p>
    <w:p w14:paraId="577C6F9A"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568" w:hanging="218"/>
        <w:rPr>
          <w:rFonts w:cs="Arial"/>
          <w:bCs/>
          <w:sz w:val="18"/>
          <w:szCs w:val="18"/>
        </w:rPr>
      </w:pPr>
      <w:r w:rsidRPr="000842CF">
        <w:rPr>
          <w:rFonts w:cs="Arial"/>
          <w:bCs/>
          <w:sz w:val="18"/>
          <w:szCs w:val="18"/>
        </w:rPr>
        <w:t>2011, Congo, UE : Evaluation finale du projet d’appui au Ministère de l’économie forestière et de l’environnement.</w:t>
      </w:r>
    </w:p>
    <w:p w14:paraId="5BD259BC"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568" w:hanging="218"/>
        <w:rPr>
          <w:rFonts w:cs="Arial"/>
          <w:bCs/>
          <w:sz w:val="18"/>
          <w:szCs w:val="18"/>
        </w:rPr>
      </w:pPr>
      <w:r w:rsidRPr="000842CF">
        <w:rPr>
          <w:rFonts w:cs="Arial"/>
          <w:bCs/>
          <w:sz w:val="18"/>
          <w:szCs w:val="18"/>
        </w:rPr>
        <w:t>2010, Congo, UE : Profil Environnemental du Pays (PEP) de la République du Congo. Chef de mission.</w:t>
      </w:r>
    </w:p>
    <w:p w14:paraId="2FC965A1"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568" w:hanging="218"/>
        <w:rPr>
          <w:rFonts w:cs="Arial"/>
          <w:bCs/>
          <w:sz w:val="18"/>
          <w:szCs w:val="18"/>
        </w:rPr>
      </w:pPr>
      <w:r w:rsidRPr="000842CF">
        <w:rPr>
          <w:rFonts w:cs="Arial"/>
          <w:bCs/>
          <w:sz w:val="18"/>
          <w:szCs w:val="18"/>
        </w:rPr>
        <w:t>2010, Tchad, UE : Evaluation finale du projet pilote de développement de la filière spiruline. Chef de mission.</w:t>
      </w:r>
    </w:p>
    <w:p w14:paraId="5C4C8D48"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568" w:hanging="218"/>
        <w:rPr>
          <w:rFonts w:cs="Arial"/>
          <w:bCs/>
          <w:sz w:val="18"/>
          <w:szCs w:val="18"/>
        </w:rPr>
      </w:pPr>
      <w:r w:rsidRPr="000842CF">
        <w:rPr>
          <w:rFonts w:cs="Arial"/>
          <w:bCs/>
          <w:sz w:val="18"/>
          <w:szCs w:val="18"/>
        </w:rPr>
        <w:t xml:space="preserve">2009 &amp; 2010, Mali, Gouvernement du Mali : Elaboration du Cadre Stratégique National de Développement du Secteur Coton </w:t>
      </w:r>
    </w:p>
    <w:p w14:paraId="7FD4DB0B"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568" w:hanging="218"/>
        <w:rPr>
          <w:rFonts w:cs="Arial"/>
          <w:bCs/>
          <w:sz w:val="18"/>
          <w:szCs w:val="18"/>
        </w:rPr>
      </w:pPr>
      <w:r w:rsidRPr="000842CF">
        <w:rPr>
          <w:rFonts w:cs="Arial"/>
          <w:bCs/>
          <w:sz w:val="18"/>
          <w:szCs w:val="18"/>
        </w:rPr>
        <w:t>2008, Madagascar, UE : Evaluation finale du projet de Développement de l'Elevage dans le Sud-Ouest. Co-évaluatrice.</w:t>
      </w:r>
    </w:p>
    <w:p w14:paraId="23E437AC"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568" w:hanging="218"/>
        <w:rPr>
          <w:rFonts w:cs="Arial"/>
          <w:bCs/>
          <w:sz w:val="18"/>
          <w:szCs w:val="18"/>
        </w:rPr>
      </w:pPr>
      <w:r w:rsidRPr="000842CF">
        <w:rPr>
          <w:rFonts w:cs="Arial"/>
          <w:bCs/>
          <w:sz w:val="18"/>
          <w:szCs w:val="18"/>
        </w:rPr>
        <w:t xml:space="preserve">2008, Guinée et Mali, UE / Autorité du Bassin du Niger : EIES du barrage de Fomi en Haute Guinée. </w:t>
      </w:r>
    </w:p>
    <w:p w14:paraId="053892EF"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568" w:hanging="218"/>
        <w:rPr>
          <w:rFonts w:cs="Arial"/>
          <w:bCs/>
          <w:sz w:val="18"/>
          <w:szCs w:val="18"/>
        </w:rPr>
      </w:pPr>
      <w:r w:rsidRPr="000842CF">
        <w:rPr>
          <w:rFonts w:cs="Arial"/>
          <w:bCs/>
          <w:sz w:val="18"/>
          <w:szCs w:val="18"/>
        </w:rPr>
        <w:t xml:space="preserve">2008, Tchad, UE : Stratégie d'intervention en zone périphérique du parc national de Zakouma. TL développement local. </w:t>
      </w:r>
    </w:p>
    <w:p w14:paraId="66699F4F"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568" w:hanging="218"/>
        <w:rPr>
          <w:rFonts w:cs="Arial"/>
          <w:bCs/>
          <w:sz w:val="18"/>
          <w:szCs w:val="18"/>
        </w:rPr>
      </w:pPr>
      <w:r w:rsidRPr="000842CF">
        <w:rPr>
          <w:rFonts w:cs="Arial"/>
          <w:bCs/>
          <w:sz w:val="18"/>
          <w:szCs w:val="18"/>
        </w:rPr>
        <w:t>2007, Madagascar, UE : Evaluation finale du programme Bemaraha. Co-évaluatrice.</w:t>
      </w:r>
    </w:p>
    <w:p w14:paraId="7D117449"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568" w:hanging="218"/>
        <w:rPr>
          <w:rFonts w:cs="Arial"/>
          <w:bCs/>
          <w:sz w:val="18"/>
          <w:szCs w:val="18"/>
        </w:rPr>
      </w:pPr>
      <w:r w:rsidRPr="000842CF">
        <w:rPr>
          <w:rFonts w:cs="Arial"/>
          <w:bCs/>
          <w:sz w:val="18"/>
          <w:szCs w:val="18"/>
        </w:rPr>
        <w:t>2007, Guinée, UE : Profil Environnemental de la Guinée. Environnementaliste</w:t>
      </w:r>
    </w:p>
    <w:p w14:paraId="21A70583"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568" w:hanging="218"/>
        <w:rPr>
          <w:rFonts w:cs="Arial"/>
          <w:bCs/>
          <w:sz w:val="18"/>
          <w:szCs w:val="18"/>
        </w:rPr>
      </w:pPr>
      <w:r w:rsidRPr="000842CF">
        <w:rPr>
          <w:rFonts w:cs="Arial"/>
          <w:bCs/>
          <w:sz w:val="18"/>
          <w:szCs w:val="18"/>
        </w:rPr>
        <w:t>2007, Pakistan, UE : Projet Renforcement Services Elevage. Evaluation situations fourragère et semencière. TL.</w:t>
      </w:r>
    </w:p>
    <w:p w14:paraId="1F8B4922"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568" w:hanging="218"/>
        <w:rPr>
          <w:rFonts w:cs="Arial"/>
          <w:bCs/>
          <w:sz w:val="18"/>
          <w:szCs w:val="18"/>
        </w:rPr>
      </w:pPr>
      <w:r w:rsidRPr="000842CF">
        <w:rPr>
          <w:rFonts w:cs="Arial"/>
          <w:bCs/>
          <w:sz w:val="18"/>
          <w:szCs w:val="18"/>
        </w:rPr>
        <w:t>2006, Namibie, UE : Profil Environnemental de la Namibie. Environnementaliste.</w:t>
      </w:r>
    </w:p>
    <w:p w14:paraId="3D816F53"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568" w:hanging="218"/>
        <w:rPr>
          <w:rFonts w:cs="Arial"/>
          <w:bCs/>
          <w:sz w:val="18"/>
          <w:szCs w:val="18"/>
        </w:rPr>
      </w:pPr>
      <w:r w:rsidRPr="000842CF">
        <w:rPr>
          <w:rFonts w:cs="Arial"/>
          <w:bCs/>
          <w:sz w:val="18"/>
          <w:szCs w:val="18"/>
        </w:rPr>
        <w:t>2006, Côte d’Ivoire, UE : Profil Environnemental de la Côte d’Ivoire. Environnementaliste</w:t>
      </w:r>
    </w:p>
    <w:p w14:paraId="2998920E"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568" w:hanging="218"/>
        <w:rPr>
          <w:rFonts w:cs="Arial"/>
          <w:bCs/>
          <w:sz w:val="18"/>
          <w:szCs w:val="18"/>
        </w:rPr>
      </w:pPr>
      <w:r w:rsidRPr="000842CF">
        <w:rPr>
          <w:rFonts w:cs="Arial"/>
          <w:bCs/>
          <w:sz w:val="18"/>
          <w:szCs w:val="18"/>
        </w:rPr>
        <w:t>2006, Tchad, UE : Profil Environnemental du Tchad. Agropastoraliste</w:t>
      </w:r>
    </w:p>
    <w:p w14:paraId="5D27E0D3"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568" w:hanging="218"/>
        <w:rPr>
          <w:rFonts w:cs="Arial"/>
          <w:b/>
          <w:sz w:val="18"/>
          <w:szCs w:val="18"/>
        </w:rPr>
      </w:pPr>
      <w:r w:rsidRPr="000842CF">
        <w:rPr>
          <w:rFonts w:cs="Arial"/>
          <w:sz w:val="18"/>
          <w:szCs w:val="18"/>
        </w:rPr>
        <w:t>2005, Niger, UE : Finalisation Plans d’Action des Programmes et du Plan Global de la Stratégie de Développement Rural.</w:t>
      </w:r>
    </w:p>
    <w:p w14:paraId="5DE8F244"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568" w:hanging="218"/>
        <w:rPr>
          <w:rFonts w:cs="Arial"/>
          <w:sz w:val="18"/>
          <w:szCs w:val="18"/>
        </w:rPr>
      </w:pPr>
      <w:r w:rsidRPr="000842CF">
        <w:rPr>
          <w:rFonts w:cs="Arial"/>
          <w:sz w:val="18"/>
          <w:szCs w:val="18"/>
        </w:rPr>
        <w:t>2004, Mali, UE :</w:t>
      </w:r>
      <w:r w:rsidRPr="000842CF">
        <w:rPr>
          <w:rFonts w:cs="Arial"/>
          <w:b/>
          <w:bCs/>
          <w:sz w:val="18"/>
          <w:szCs w:val="18"/>
        </w:rPr>
        <w:t xml:space="preserve"> </w:t>
      </w:r>
      <w:r w:rsidRPr="000842CF">
        <w:rPr>
          <w:rFonts w:cs="Arial"/>
          <w:bCs/>
          <w:sz w:val="18"/>
          <w:szCs w:val="18"/>
        </w:rPr>
        <w:t xml:space="preserve">Appui au processus de développement local pour les communes Ménaka, Andéramboukane. TL. </w:t>
      </w:r>
    </w:p>
    <w:p w14:paraId="4CA2FEF5"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568" w:hanging="218"/>
        <w:rPr>
          <w:rFonts w:cs="Arial"/>
          <w:sz w:val="18"/>
          <w:szCs w:val="18"/>
        </w:rPr>
      </w:pPr>
      <w:r w:rsidRPr="000842CF">
        <w:rPr>
          <w:rFonts w:cs="Arial"/>
          <w:bCs/>
          <w:sz w:val="18"/>
          <w:szCs w:val="18"/>
        </w:rPr>
        <w:t>2000 à 2002, Erythrée, BAD : Projet National de Développement de l’Elevage. Responsable “hydraulique et parcours ».</w:t>
      </w:r>
    </w:p>
    <w:p w14:paraId="241BD832"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568" w:hanging="218"/>
        <w:rPr>
          <w:rFonts w:cs="Arial"/>
          <w:sz w:val="18"/>
          <w:szCs w:val="18"/>
        </w:rPr>
      </w:pPr>
      <w:r w:rsidRPr="000842CF">
        <w:rPr>
          <w:rFonts w:cs="Arial"/>
          <w:bCs/>
          <w:sz w:val="18"/>
          <w:szCs w:val="18"/>
        </w:rPr>
        <w:t>2000, Mali, Coopération Néerlandaise - SNV : Elaboration de cartes d’aptitudes agro-pastorales (sol/végétation). TL.</w:t>
      </w:r>
    </w:p>
    <w:p w14:paraId="5B41ABD0"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568" w:hanging="218"/>
        <w:rPr>
          <w:rFonts w:cs="Arial"/>
          <w:sz w:val="18"/>
          <w:szCs w:val="18"/>
        </w:rPr>
      </w:pPr>
      <w:r w:rsidRPr="000842CF">
        <w:rPr>
          <w:rFonts w:cs="Arial"/>
          <w:sz w:val="18"/>
          <w:szCs w:val="18"/>
        </w:rPr>
        <w:t>2000, Tunisie, fonds tunisiens : Elaboration d'une méthodologie pour le volet pastoral du SIG des cartes agricoles.</w:t>
      </w:r>
    </w:p>
    <w:p w14:paraId="01692681"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568" w:hanging="218"/>
        <w:rPr>
          <w:rFonts w:cs="Arial"/>
          <w:sz w:val="18"/>
          <w:szCs w:val="18"/>
        </w:rPr>
      </w:pPr>
      <w:r w:rsidRPr="000842CF">
        <w:rPr>
          <w:rFonts w:cs="Arial"/>
          <w:sz w:val="18"/>
          <w:szCs w:val="18"/>
        </w:rPr>
        <w:t>1999, 1998, Turkménistan, UE/TACIS : Appui au projet pilote d'amélioration du cheptel bovin et ovin. TL.</w:t>
      </w:r>
    </w:p>
    <w:p w14:paraId="39F6D178"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568" w:hanging="218"/>
        <w:rPr>
          <w:rFonts w:cs="Arial"/>
          <w:sz w:val="18"/>
          <w:szCs w:val="18"/>
        </w:rPr>
      </w:pPr>
      <w:r w:rsidRPr="000842CF">
        <w:rPr>
          <w:rFonts w:cs="Arial"/>
          <w:sz w:val="18"/>
          <w:szCs w:val="18"/>
        </w:rPr>
        <w:t>1996, 1997, 1998, Mali : Fonds OPEP : Appui au Projet de Développement au Sahel Occidental. TL.</w:t>
      </w:r>
    </w:p>
    <w:p w14:paraId="4CCEC1AF"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568" w:hanging="218"/>
        <w:rPr>
          <w:rFonts w:cs="Arial"/>
          <w:sz w:val="18"/>
          <w:szCs w:val="18"/>
        </w:rPr>
      </w:pPr>
      <w:r w:rsidRPr="000842CF">
        <w:rPr>
          <w:rFonts w:cs="Arial"/>
          <w:sz w:val="18"/>
          <w:szCs w:val="18"/>
        </w:rPr>
        <w:t>1997, 1998, Mali, UE : Evaluation environnementale et socio-économique des VI, VII et VIIIème régions. TL.</w:t>
      </w:r>
    </w:p>
    <w:p w14:paraId="32E93AC1"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568" w:hanging="218"/>
        <w:rPr>
          <w:rFonts w:cs="Arial"/>
          <w:sz w:val="18"/>
          <w:szCs w:val="18"/>
        </w:rPr>
      </w:pPr>
      <w:r w:rsidRPr="000842CF">
        <w:rPr>
          <w:rFonts w:cs="Arial"/>
          <w:sz w:val="18"/>
          <w:szCs w:val="18"/>
        </w:rPr>
        <w:t xml:space="preserve">1997, Tunisie, FAO-CI/BM : Evaluation technico-économique à mi-parcours du second Projet de Développement Forestier </w:t>
      </w:r>
    </w:p>
    <w:p w14:paraId="387FD255"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568" w:hanging="218"/>
        <w:rPr>
          <w:rFonts w:cs="Arial"/>
          <w:sz w:val="18"/>
          <w:szCs w:val="18"/>
        </w:rPr>
      </w:pPr>
      <w:r w:rsidRPr="000842CF">
        <w:rPr>
          <w:rFonts w:cs="Arial"/>
          <w:sz w:val="18"/>
          <w:szCs w:val="18"/>
        </w:rPr>
        <w:t>1997, Burundi, BAD : Evaluation environnementale et agropastorale pour le Plan Directeur de l’Elevage.</w:t>
      </w:r>
    </w:p>
    <w:p w14:paraId="1AB4E704"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568" w:hanging="218"/>
        <w:rPr>
          <w:rFonts w:cs="Arial"/>
          <w:sz w:val="18"/>
          <w:szCs w:val="18"/>
        </w:rPr>
      </w:pPr>
      <w:r w:rsidRPr="000842CF">
        <w:rPr>
          <w:rFonts w:cs="Arial"/>
          <w:sz w:val="18"/>
          <w:szCs w:val="18"/>
        </w:rPr>
        <w:t>1997, Tchad, UE : Evaluation volet éco développement du Projet Conservation de l’Environnement de Zakouma. TL.</w:t>
      </w:r>
    </w:p>
    <w:p w14:paraId="290F39A7"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568" w:hanging="218"/>
        <w:rPr>
          <w:rFonts w:cs="Arial"/>
          <w:sz w:val="18"/>
          <w:szCs w:val="18"/>
        </w:rPr>
      </w:pPr>
      <w:r w:rsidRPr="000842CF">
        <w:rPr>
          <w:rFonts w:cs="Arial"/>
          <w:sz w:val="18"/>
          <w:szCs w:val="18"/>
        </w:rPr>
        <w:t>1996, Sénégal, FIDA : Etude préfaisabilité du Projet d’Aménagement et de Développement villageois de Louga. TL.</w:t>
      </w:r>
    </w:p>
    <w:p w14:paraId="48239428"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568" w:hanging="218"/>
        <w:rPr>
          <w:rFonts w:cs="Arial"/>
          <w:sz w:val="18"/>
          <w:szCs w:val="18"/>
        </w:rPr>
      </w:pPr>
      <w:r w:rsidRPr="000842CF">
        <w:rPr>
          <w:rFonts w:cs="Arial"/>
          <w:sz w:val="18"/>
          <w:szCs w:val="18"/>
        </w:rPr>
        <w:t>1996, Tunisie, FAO-CI/BM : Etude de faisabilité du Projet de Gestion des Ressources naturelles.</w:t>
      </w:r>
    </w:p>
    <w:p w14:paraId="17F7B03B"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568" w:hanging="218"/>
        <w:rPr>
          <w:rFonts w:cs="Arial"/>
          <w:sz w:val="18"/>
          <w:szCs w:val="18"/>
        </w:rPr>
      </w:pPr>
      <w:r w:rsidRPr="000842CF">
        <w:rPr>
          <w:rFonts w:cs="Arial"/>
          <w:sz w:val="18"/>
          <w:szCs w:val="18"/>
        </w:rPr>
        <w:t>1994, 1995, 1996, Tunisie, BM : Etude sur la stratégie nationale des parcours. Evaluation technico-économique.</w:t>
      </w:r>
    </w:p>
    <w:p w14:paraId="143077EA"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568" w:hanging="218"/>
        <w:rPr>
          <w:rFonts w:cs="Arial"/>
          <w:sz w:val="18"/>
          <w:szCs w:val="18"/>
        </w:rPr>
      </w:pPr>
      <w:r w:rsidRPr="000842CF">
        <w:rPr>
          <w:rFonts w:cs="Arial"/>
          <w:sz w:val="18"/>
          <w:szCs w:val="18"/>
        </w:rPr>
        <w:t>1995, Burkina Faso, CE : Evaluation des cultures fourragères pour le Programme Sectoriel d’Appui à l’Elevage. TL.</w:t>
      </w:r>
    </w:p>
    <w:p w14:paraId="2275137E"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568" w:hanging="218"/>
        <w:rPr>
          <w:rFonts w:cs="Arial"/>
          <w:sz w:val="18"/>
          <w:szCs w:val="18"/>
        </w:rPr>
      </w:pPr>
      <w:r w:rsidRPr="000842CF">
        <w:rPr>
          <w:rFonts w:cs="Arial"/>
          <w:sz w:val="18"/>
          <w:szCs w:val="18"/>
        </w:rPr>
        <w:t>1990 à 1993, Centrafrique, UE : Responsable de la composante agropastorale pour l’Agence Nationale de l’Elevage.</w:t>
      </w:r>
    </w:p>
    <w:p w14:paraId="00798731"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568" w:hanging="218"/>
        <w:rPr>
          <w:rFonts w:cs="Arial"/>
          <w:sz w:val="18"/>
          <w:szCs w:val="18"/>
        </w:rPr>
      </w:pPr>
      <w:r w:rsidRPr="000842CF">
        <w:rPr>
          <w:rFonts w:cs="Arial"/>
          <w:sz w:val="18"/>
          <w:szCs w:val="18"/>
        </w:rPr>
        <w:t xml:space="preserve">1988 à 1990, Centrafrique, UE : Responsable de la composante phytoécologique pour le Programme de la Région Nord </w:t>
      </w:r>
    </w:p>
    <w:p w14:paraId="5144220A" w14:textId="77777777" w:rsidR="00AC68DC" w:rsidRPr="000842CF" w:rsidRDefault="00AC68DC" w:rsidP="00393CA8">
      <w:pPr>
        <w:numPr>
          <w:ilvl w:val="0"/>
          <w:numId w:val="29"/>
        </w:numPr>
        <w:tabs>
          <w:tab w:val="clear" w:pos="360"/>
          <w:tab w:val="num" w:pos="644"/>
        </w:tabs>
        <w:overflowPunct w:val="0"/>
        <w:autoSpaceDE w:val="0"/>
        <w:autoSpaceDN w:val="0"/>
        <w:adjustRightInd w:val="0"/>
        <w:spacing w:after="0" w:line="240" w:lineRule="auto"/>
        <w:ind w:right="-568" w:hanging="218"/>
        <w:rPr>
          <w:rFonts w:cs="Arial"/>
          <w:sz w:val="18"/>
          <w:szCs w:val="18"/>
        </w:rPr>
      </w:pPr>
      <w:r w:rsidRPr="000842CF">
        <w:rPr>
          <w:rFonts w:cs="Arial"/>
          <w:sz w:val="18"/>
          <w:szCs w:val="18"/>
        </w:rPr>
        <w:t>1984 à 1987, Côte d’Ivoire / Société pour le Développement des Productions Animales. Etudes phytoécologiques.</w:t>
      </w:r>
    </w:p>
    <w:bookmarkEnd w:id="154"/>
    <w:p w14:paraId="3DDABF2A" w14:textId="77777777" w:rsidR="00DD4C8C" w:rsidRDefault="00DD4C8C" w:rsidP="00DD4C8C">
      <w:pPr>
        <w:overflowPunct w:val="0"/>
        <w:autoSpaceDE w:val="0"/>
        <w:autoSpaceDN w:val="0"/>
        <w:adjustRightInd w:val="0"/>
        <w:spacing w:after="0" w:line="240" w:lineRule="auto"/>
        <w:ind w:left="-284"/>
        <w:rPr>
          <w:rFonts w:eastAsia="Times New Roman" w:cs="Arial"/>
          <w:b/>
          <w:sz w:val="20"/>
          <w:szCs w:val="20"/>
          <w:lang w:val="fr-FR" w:eastAsia="it-IT"/>
        </w:rPr>
      </w:pPr>
    </w:p>
    <w:p w14:paraId="0BE471EC" w14:textId="77777777" w:rsidR="00431E0D" w:rsidRDefault="00431E0D" w:rsidP="00DD4C8C">
      <w:pPr>
        <w:spacing w:after="0" w:line="240" w:lineRule="auto"/>
        <w:rPr>
          <w:rFonts w:eastAsia="Calibri" w:cs="Arial"/>
          <w:b/>
          <w:bCs/>
          <w:color w:val="000000" w:themeColor="text1"/>
          <w:sz w:val="20"/>
          <w:szCs w:val="20"/>
          <w:lang w:val="fr-FR" w:eastAsia="fr-FR"/>
        </w:rPr>
      </w:pPr>
    </w:p>
    <w:p w14:paraId="55F31F09" w14:textId="77777777" w:rsidR="00DD4C8C" w:rsidRDefault="00DD4C8C" w:rsidP="00770DD7">
      <w:pPr>
        <w:pStyle w:val="Titre2"/>
        <w:rPr>
          <w:lang w:eastAsia="fr-FR"/>
        </w:rPr>
        <w:sectPr w:rsidR="00DD4C8C" w:rsidSect="00E42B65">
          <w:pgSz w:w="11906" w:h="16838"/>
          <w:pgMar w:top="851" w:right="737" w:bottom="1134" w:left="964" w:header="709" w:footer="709" w:gutter="0"/>
          <w:cols w:space="708"/>
          <w:docGrid w:linePitch="360"/>
        </w:sectPr>
      </w:pPr>
      <w:bookmarkStart w:id="155" w:name="_Toc393900332"/>
    </w:p>
    <w:p w14:paraId="6AFA6DDD" w14:textId="77777777" w:rsidR="00282133" w:rsidRPr="000806D2" w:rsidRDefault="003B087C" w:rsidP="00770DD7">
      <w:pPr>
        <w:pStyle w:val="Titre2"/>
        <w:rPr>
          <w:lang w:eastAsia="fr-FR"/>
        </w:rPr>
      </w:pPr>
      <w:bookmarkStart w:id="156" w:name="_Toc20505724"/>
      <w:r>
        <w:rPr>
          <w:lang w:eastAsia="fr-FR"/>
        </w:rPr>
        <w:lastRenderedPageBreak/>
        <w:t>8</w:t>
      </w:r>
      <w:r w:rsidR="00E87B53">
        <w:rPr>
          <w:lang w:eastAsia="fr-FR"/>
        </w:rPr>
        <w:t>.7</w:t>
      </w:r>
      <w:r w:rsidR="00282133" w:rsidRPr="000806D2">
        <w:rPr>
          <w:lang w:eastAsia="fr-FR"/>
        </w:rPr>
        <w:t xml:space="preserve"> Termes de Référence pour ce PEP</w:t>
      </w:r>
      <w:bookmarkEnd w:id="155"/>
      <w:bookmarkEnd w:id="156"/>
    </w:p>
    <w:p w14:paraId="2455B012" w14:textId="77777777" w:rsidR="000F006E" w:rsidRDefault="000F006E" w:rsidP="008C6592">
      <w:pPr>
        <w:rPr>
          <w:rFonts w:cs="Arial"/>
          <w:lang w:val="fr-FR"/>
        </w:rPr>
      </w:pPr>
    </w:p>
    <w:p w14:paraId="065074E4" w14:textId="77777777" w:rsidR="00AF50E7" w:rsidRDefault="00AF50E7" w:rsidP="00AF50E7">
      <w:pPr>
        <w:spacing w:before="20" w:after="20" w:line="260" w:lineRule="atLeast"/>
        <w:rPr>
          <w:rFonts w:ascii="Calibri" w:hAnsi="Calibri" w:cs="Arial"/>
        </w:rPr>
      </w:pPr>
      <w:r w:rsidRPr="00362CCA">
        <w:rPr>
          <w:rFonts w:ascii="Calibri" w:hAnsi="Calibri" w:cs="Arial"/>
          <w:noProof/>
          <w:lang w:val="fr-FR" w:eastAsia="fr-FR"/>
        </w:rPr>
        <w:drawing>
          <wp:inline distT="0" distB="0" distL="0" distR="0" wp14:anchorId="62569A8F" wp14:editId="2F7454FD">
            <wp:extent cx="5756910" cy="8087995"/>
            <wp:effectExtent l="0" t="0" r="8890" b="0"/>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56910" cy="8087995"/>
                    </a:xfrm>
                    <a:prstGeom prst="rect">
                      <a:avLst/>
                    </a:prstGeom>
                    <a:noFill/>
                    <a:ln>
                      <a:noFill/>
                    </a:ln>
                  </pic:spPr>
                </pic:pic>
              </a:graphicData>
            </a:graphic>
          </wp:inline>
        </w:drawing>
      </w:r>
    </w:p>
    <w:p w14:paraId="57A0F3D7" w14:textId="77777777" w:rsidR="00AF50E7" w:rsidRDefault="00AF50E7" w:rsidP="00AF50E7">
      <w:pPr>
        <w:spacing w:before="20" w:after="20" w:line="260" w:lineRule="atLeast"/>
        <w:rPr>
          <w:rFonts w:ascii="Calibri" w:hAnsi="Calibri" w:cs="Arial"/>
        </w:rPr>
      </w:pPr>
      <w:r w:rsidRPr="00362CCA">
        <w:rPr>
          <w:rFonts w:ascii="Calibri" w:hAnsi="Calibri" w:cs="Arial"/>
          <w:noProof/>
          <w:lang w:val="fr-FR" w:eastAsia="fr-FR"/>
        </w:rPr>
        <w:lastRenderedPageBreak/>
        <w:drawing>
          <wp:inline distT="0" distB="0" distL="0" distR="0" wp14:anchorId="1CED3D1D" wp14:editId="544E34C9">
            <wp:extent cx="5756910" cy="7959090"/>
            <wp:effectExtent l="0" t="0" r="8890" b="0"/>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56910" cy="7959090"/>
                    </a:xfrm>
                    <a:prstGeom prst="rect">
                      <a:avLst/>
                    </a:prstGeom>
                    <a:noFill/>
                    <a:ln>
                      <a:noFill/>
                    </a:ln>
                  </pic:spPr>
                </pic:pic>
              </a:graphicData>
            </a:graphic>
          </wp:inline>
        </w:drawing>
      </w:r>
      <w:r w:rsidRPr="00362CCA">
        <w:rPr>
          <w:rFonts w:ascii="Calibri" w:hAnsi="Calibri" w:cs="Arial"/>
          <w:noProof/>
          <w:lang w:val="fr-FR" w:eastAsia="fr-FR"/>
        </w:rPr>
        <w:lastRenderedPageBreak/>
        <w:drawing>
          <wp:inline distT="0" distB="0" distL="0" distR="0" wp14:anchorId="574BE626" wp14:editId="15C9258F">
            <wp:extent cx="5756910" cy="7933690"/>
            <wp:effectExtent l="0" t="0" r="8890" b="0"/>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56910" cy="7933690"/>
                    </a:xfrm>
                    <a:prstGeom prst="rect">
                      <a:avLst/>
                    </a:prstGeom>
                    <a:noFill/>
                    <a:ln>
                      <a:noFill/>
                    </a:ln>
                  </pic:spPr>
                </pic:pic>
              </a:graphicData>
            </a:graphic>
          </wp:inline>
        </w:drawing>
      </w:r>
    </w:p>
    <w:p w14:paraId="54B774F7" w14:textId="77777777" w:rsidR="00431E0D" w:rsidRPr="0038007D" w:rsidRDefault="00AF50E7" w:rsidP="004D6823">
      <w:pPr>
        <w:spacing w:before="20" w:after="20" w:line="260" w:lineRule="atLeast"/>
        <w:rPr>
          <w:rFonts w:cs="Arial"/>
          <w:lang w:val="fr-FR"/>
        </w:rPr>
      </w:pPr>
      <w:r w:rsidRPr="00362CCA">
        <w:rPr>
          <w:rFonts w:ascii="Calibri" w:hAnsi="Calibri" w:cs="Arial"/>
          <w:noProof/>
          <w:lang w:val="fr-FR" w:eastAsia="fr-FR"/>
        </w:rPr>
        <w:lastRenderedPageBreak/>
        <w:drawing>
          <wp:inline distT="0" distB="0" distL="0" distR="0" wp14:anchorId="60B2AC0C" wp14:editId="417F450A">
            <wp:extent cx="5756910" cy="7804785"/>
            <wp:effectExtent l="0" t="0" r="8890" b="0"/>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56910" cy="7804785"/>
                    </a:xfrm>
                    <a:prstGeom prst="rect">
                      <a:avLst/>
                    </a:prstGeom>
                    <a:noFill/>
                    <a:ln>
                      <a:noFill/>
                    </a:ln>
                  </pic:spPr>
                </pic:pic>
              </a:graphicData>
            </a:graphic>
          </wp:inline>
        </w:drawing>
      </w:r>
      <w:r w:rsidRPr="00362CCA">
        <w:rPr>
          <w:rFonts w:ascii="Calibri" w:hAnsi="Calibri" w:cs="Arial"/>
          <w:noProof/>
          <w:lang w:val="fr-FR" w:eastAsia="fr-FR"/>
        </w:rPr>
        <w:lastRenderedPageBreak/>
        <w:drawing>
          <wp:inline distT="0" distB="0" distL="0" distR="0" wp14:anchorId="4A887410" wp14:editId="6FD96513">
            <wp:extent cx="5756910" cy="7881620"/>
            <wp:effectExtent l="0" t="0" r="8890" b="0"/>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56910" cy="7881620"/>
                    </a:xfrm>
                    <a:prstGeom prst="rect">
                      <a:avLst/>
                    </a:prstGeom>
                    <a:noFill/>
                    <a:ln>
                      <a:noFill/>
                    </a:ln>
                  </pic:spPr>
                </pic:pic>
              </a:graphicData>
            </a:graphic>
          </wp:inline>
        </w:drawing>
      </w:r>
      <w:r w:rsidRPr="00362CCA">
        <w:rPr>
          <w:rFonts w:ascii="Calibri" w:hAnsi="Calibri" w:cs="Arial"/>
          <w:noProof/>
          <w:lang w:val="fr-FR" w:eastAsia="fr-FR"/>
        </w:rPr>
        <w:lastRenderedPageBreak/>
        <w:drawing>
          <wp:inline distT="0" distB="0" distL="0" distR="0" wp14:anchorId="02076CE3" wp14:editId="71E8F1FD">
            <wp:extent cx="5756910" cy="7959090"/>
            <wp:effectExtent l="0" t="0" r="8890" b="0"/>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56910" cy="7959090"/>
                    </a:xfrm>
                    <a:prstGeom prst="rect">
                      <a:avLst/>
                    </a:prstGeom>
                    <a:noFill/>
                    <a:ln>
                      <a:noFill/>
                    </a:ln>
                  </pic:spPr>
                </pic:pic>
              </a:graphicData>
            </a:graphic>
          </wp:inline>
        </w:drawing>
      </w:r>
      <w:r w:rsidRPr="00362CCA">
        <w:rPr>
          <w:rFonts w:ascii="Calibri" w:hAnsi="Calibri" w:cs="Arial"/>
          <w:noProof/>
          <w:lang w:val="fr-FR" w:eastAsia="fr-FR"/>
        </w:rPr>
        <w:lastRenderedPageBreak/>
        <w:drawing>
          <wp:inline distT="0" distB="0" distL="0" distR="0" wp14:anchorId="10987997" wp14:editId="447D5804">
            <wp:extent cx="5756910" cy="8152130"/>
            <wp:effectExtent l="0" t="0" r="8890" b="1270"/>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56910" cy="8152130"/>
                    </a:xfrm>
                    <a:prstGeom prst="rect">
                      <a:avLst/>
                    </a:prstGeom>
                    <a:noFill/>
                    <a:ln>
                      <a:noFill/>
                    </a:ln>
                  </pic:spPr>
                </pic:pic>
              </a:graphicData>
            </a:graphic>
          </wp:inline>
        </w:drawing>
      </w:r>
      <w:r w:rsidRPr="00362CCA">
        <w:rPr>
          <w:rFonts w:ascii="Calibri" w:hAnsi="Calibri" w:cs="Arial"/>
          <w:noProof/>
          <w:lang w:val="fr-FR" w:eastAsia="fr-FR"/>
        </w:rPr>
        <w:lastRenderedPageBreak/>
        <w:drawing>
          <wp:inline distT="0" distB="0" distL="0" distR="0" wp14:anchorId="17A67A35" wp14:editId="68AAF42E">
            <wp:extent cx="5756910" cy="8049260"/>
            <wp:effectExtent l="0" t="0" r="8890" b="2540"/>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56910" cy="8049260"/>
                    </a:xfrm>
                    <a:prstGeom prst="rect">
                      <a:avLst/>
                    </a:prstGeom>
                    <a:noFill/>
                    <a:ln>
                      <a:noFill/>
                    </a:ln>
                  </pic:spPr>
                </pic:pic>
              </a:graphicData>
            </a:graphic>
          </wp:inline>
        </w:drawing>
      </w:r>
      <w:r w:rsidRPr="00362CCA">
        <w:rPr>
          <w:rFonts w:ascii="Calibri" w:hAnsi="Calibri" w:cs="Arial"/>
          <w:noProof/>
          <w:lang w:val="fr-FR" w:eastAsia="fr-FR"/>
        </w:rPr>
        <w:lastRenderedPageBreak/>
        <w:drawing>
          <wp:inline distT="0" distB="0" distL="0" distR="0" wp14:anchorId="01667A02" wp14:editId="5363446A">
            <wp:extent cx="5756910" cy="7971790"/>
            <wp:effectExtent l="0" t="0" r="8890" b="3810"/>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56910" cy="7971790"/>
                    </a:xfrm>
                    <a:prstGeom prst="rect">
                      <a:avLst/>
                    </a:prstGeom>
                    <a:noFill/>
                    <a:ln>
                      <a:noFill/>
                    </a:ln>
                  </pic:spPr>
                </pic:pic>
              </a:graphicData>
            </a:graphic>
          </wp:inline>
        </w:drawing>
      </w:r>
      <w:r w:rsidRPr="00362CCA">
        <w:rPr>
          <w:rFonts w:ascii="Calibri" w:hAnsi="Calibri" w:cs="Arial"/>
          <w:noProof/>
          <w:lang w:val="fr-FR" w:eastAsia="fr-FR"/>
        </w:rPr>
        <w:lastRenderedPageBreak/>
        <w:drawing>
          <wp:inline distT="0" distB="0" distL="0" distR="0" wp14:anchorId="22447E5D" wp14:editId="38B06B49">
            <wp:extent cx="5756910" cy="8113395"/>
            <wp:effectExtent l="0" t="0" r="8890" b="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56910" cy="8113395"/>
                    </a:xfrm>
                    <a:prstGeom prst="rect">
                      <a:avLst/>
                    </a:prstGeom>
                    <a:noFill/>
                    <a:ln>
                      <a:noFill/>
                    </a:ln>
                  </pic:spPr>
                </pic:pic>
              </a:graphicData>
            </a:graphic>
          </wp:inline>
        </w:drawing>
      </w:r>
      <w:r w:rsidRPr="00362CCA">
        <w:rPr>
          <w:rFonts w:ascii="Calibri" w:hAnsi="Calibri" w:cs="Arial"/>
          <w:noProof/>
          <w:lang w:val="fr-FR" w:eastAsia="fr-FR"/>
        </w:rPr>
        <w:lastRenderedPageBreak/>
        <w:drawing>
          <wp:inline distT="0" distB="0" distL="0" distR="0" wp14:anchorId="63109D85" wp14:editId="0F77D488">
            <wp:extent cx="5756910" cy="8126730"/>
            <wp:effectExtent l="0" t="0" r="8890" b="127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56910" cy="8126730"/>
                    </a:xfrm>
                    <a:prstGeom prst="rect">
                      <a:avLst/>
                    </a:prstGeom>
                    <a:noFill/>
                    <a:ln>
                      <a:noFill/>
                    </a:ln>
                  </pic:spPr>
                </pic:pic>
              </a:graphicData>
            </a:graphic>
          </wp:inline>
        </w:drawing>
      </w:r>
      <w:r w:rsidRPr="00362CCA">
        <w:rPr>
          <w:rFonts w:ascii="Calibri" w:hAnsi="Calibri" w:cs="Arial"/>
          <w:noProof/>
          <w:lang w:val="fr-FR" w:eastAsia="fr-FR"/>
        </w:rPr>
        <w:lastRenderedPageBreak/>
        <w:drawing>
          <wp:inline distT="0" distB="0" distL="0" distR="0" wp14:anchorId="03211763" wp14:editId="278AEA5D">
            <wp:extent cx="5756910" cy="7971790"/>
            <wp:effectExtent l="0" t="0" r="8890" b="381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56910" cy="7971790"/>
                    </a:xfrm>
                    <a:prstGeom prst="rect">
                      <a:avLst/>
                    </a:prstGeom>
                    <a:noFill/>
                    <a:ln>
                      <a:noFill/>
                    </a:ln>
                  </pic:spPr>
                </pic:pic>
              </a:graphicData>
            </a:graphic>
          </wp:inline>
        </w:drawing>
      </w:r>
      <w:r w:rsidRPr="00362CCA">
        <w:rPr>
          <w:rFonts w:ascii="Calibri" w:hAnsi="Calibri" w:cs="Arial"/>
          <w:noProof/>
          <w:lang w:val="fr-FR" w:eastAsia="fr-FR"/>
        </w:rPr>
        <w:lastRenderedPageBreak/>
        <w:drawing>
          <wp:inline distT="0" distB="0" distL="0" distR="0" wp14:anchorId="174DAA83" wp14:editId="19931AF7">
            <wp:extent cx="5756910" cy="8049260"/>
            <wp:effectExtent l="0" t="0" r="8890" b="254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56910" cy="8049260"/>
                    </a:xfrm>
                    <a:prstGeom prst="rect">
                      <a:avLst/>
                    </a:prstGeom>
                    <a:noFill/>
                    <a:ln>
                      <a:noFill/>
                    </a:ln>
                  </pic:spPr>
                </pic:pic>
              </a:graphicData>
            </a:graphic>
          </wp:inline>
        </w:drawing>
      </w:r>
      <w:r w:rsidRPr="00362CCA">
        <w:rPr>
          <w:rFonts w:ascii="Calibri" w:hAnsi="Calibri" w:cs="Arial"/>
          <w:noProof/>
          <w:lang w:val="fr-FR" w:eastAsia="fr-FR"/>
        </w:rPr>
        <w:lastRenderedPageBreak/>
        <w:drawing>
          <wp:inline distT="0" distB="0" distL="0" distR="0" wp14:anchorId="3B7E3220" wp14:editId="7355B888">
            <wp:extent cx="5756910" cy="7881620"/>
            <wp:effectExtent l="0" t="0" r="889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56910" cy="7881620"/>
                    </a:xfrm>
                    <a:prstGeom prst="rect">
                      <a:avLst/>
                    </a:prstGeom>
                    <a:noFill/>
                    <a:ln>
                      <a:noFill/>
                    </a:ln>
                  </pic:spPr>
                </pic:pic>
              </a:graphicData>
            </a:graphic>
          </wp:inline>
        </w:drawing>
      </w:r>
    </w:p>
    <w:sectPr w:rsidR="00431E0D" w:rsidRPr="0038007D" w:rsidSect="00D90285">
      <w:footerReference w:type="even" r:id="rId115"/>
      <w:footerReference w:type="default" r:id="rId11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BD6911A" w14:textId="77777777" w:rsidR="0010414A" w:rsidRDefault="0010414A" w:rsidP="00282133">
      <w:pPr>
        <w:spacing w:after="0" w:line="240" w:lineRule="auto"/>
      </w:pPr>
      <w:r>
        <w:separator/>
      </w:r>
    </w:p>
  </w:endnote>
  <w:endnote w:type="continuationSeparator" w:id="0">
    <w:p w14:paraId="215F2EEF" w14:textId="77777777" w:rsidR="0010414A" w:rsidRDefault="0010414A" w:rsidP="0028213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00"/>
    <w:family w:val="roman"/>
    <w:pitch w:val="fixed"/>
    <w:sig w:usb0="E0002AFF" w:usb1="C0007843" w:usb2="00000009" w:usb3="00000000" w:csb0="000001FF" w:csb1="00000000"/>
  </w:font>
  <w:font w:name="Times New Roman">
    <w:panose1 w:val="02020603050405020304"/>
    <w:charset w:val="00"/>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Myriad Pro Light">
    <w:altName w:val="Segoe UI Light"/>
    <w:panose1 w:val="00000000000000000000"/>
    <w:charset w:val="00"/>
    <w:family w:val="swiss"/>
    <w:notTrueType/>
    <w:pitch w:val="default"/>
    <w:sig w:usb0="00000003" w:usb1="00000000" w:usb2="00000000" w:usb3="00000000" w:csb0="00000001" w:csb1="00000000"/>
  </w:font>
  <w:font w:name="Myriad Pro">
    <w:panose1 w:val="00000000000000000000"/>
    <w:charset w:val="00"/>
    <w:family w:val="swiss"/>
    <w:notTrueType/>
    <w:pitch w:val="default"/>
    <w:sig w:usb0="00000003" w:usb1="00000000" w:usb2="00000000" w:usb3="00000000" w:csb0="00000001" w:csb1="00000000"/>
  </w:font>
  <w:font w:name="RotisSemiSans">
    <w:altName w:val="RotisSemiSans"/>
    <w:panose1 w:val="00000000000000000000"/>
    <w:charset w:val="00"/>
    <w:family w:val="swiss"/>
    <w:notTrueType/>
    <w:pitch w:val="default"/>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Helvetica">
    <w:panose1 w:val="00000000000000000000"/>
    <w:charset w:val="00"/>
    <w:family w:val="swiss"/>
    <w:pitch w:val="variable"/>
    <w:sig w:usb0="E00002FF" w:usb1="5000785B" w:usb2="00000000" w:usb3="00000000" w:csb0="0000019F" w:csb1="00000000"/>
  </w:font>
  <w:font w:name="HelveticaNeueLT Com 55 Roman">
    <w:altName w:val="Arial"/>
    <w:charset w:val="00"/>
    <w:family w:val="swiss"/>
    <w:pitch w:val="variable"/>
    <w:sig w:usb0="8000008F" w:usb1="10002042" w:usb2="00000000" w:usb3="00000000" w:csb0="0000009B" w:csb1="00000000"/>
  </w:font>
  <w:font w:name="Helvetica Narrow">
    <w:altName w:val="Helvetica"/>
    <w:panose1 w:val="00000000000000000000"/>
    <w:charset w:val="00"/>
    <w:family w:val="swiss"/>
    <w:notTrueType/>
    <w:pitch w:val="variable"/>
    <w:sig w:usb0="00000003" w:usb1="00000000" w:usb2="00000000" w:usb3="00000000" w:csb0="00000001" w:csb1="00000000"/>
  </w:font>
  <w:font w:name="Aharoni">
    <w:charset w:val="B1"/>
    <w:family w:val="auto"/>
    <w:pitch w:val="variable"/>
    <w:sig w:usb0="00000801" w:usb1="00000000" w:usb2="00000000" w:usb3="00000000" w:csb0="00000020" w:csb1="00000000"/>
  </w:font>
  <w:font w:name="ArialMT">
    <w:altName w:val="Arial"/>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Batang">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Arial Unicode MS">
    <w:panose1 w:val="020B0604020202020204"/>
    <w:charset w:val="00"/>
    <w:family w:val="swiss"/>
    <w:pitch w:val="variable"/>
    <w:sig w:usb0="F7FFAFFF" w:usb1="E9DFFFFF" w:usb2="0000003F" w:usb3="00000000" w:csb0="003F01FF" w:csb1="00000000"/>
  </w:font>
  <w:font w:name="SegoeUI-Bold">
    <w:altName w:val="Segoe UI"/>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9E8703" w14:textId="77777777" w:rsidR="00736FE4" w:rsidRDefault="00736FE4" w:rsidP="00692FA0">
    <w:pPr>
      <w:pStyle w:val="Pieddepage"/>
      <w:pBdr>
        <w:top w:val="single" w:sz="4" w:space="1" w:color="auto"/>
      </w:pBdr>
      <w:tabs>
        <w:tab w:val="left" w:pos="8820"/>
        <w:tab w:val="right" w:pos="9180"/>
      </w:tabs>
      <w:ind w:right="-46"/>
      <w:jc w:val="right"/>
      <w:rPr>
        <w:rFonts w:cs="Arial"/>
        <w:sz w:val="16"/>
        <w:szCs w:val="16"/>
        <w:lang w:val="fr-FR"/>
      </w:rPr>
    </w:pPr>
    <w:r>
      <w:rPr>
        <w:rFonts w:cs="Arial"/>
        <w:sz w:val="16"/>
        <w:szCs w:val="16"/>
        <w:lang w:val="fr-FR"/>
      </w:rPr>
      <w:t>Consortium CAPA</w:t>
    </w:r>
  </w:p>
  <w:p w14:paraId="50AE202E" w14:textId="77777777" w:rsidR="00736FE4" w:rsidRPr="00643D65" w:rsidRDefault="00736FE4" w:rsidP="00692FA0">
    <w:pPr>
      <w:pStyle w:val="Pieddepage"/>
      <w:pBdr>
        <w:top w:val="single" w:sz="4" w:space="1" w:color="auto"/>
      </w:pBdr>
      <w:tabs>
        <w:tab w:val="left" w:pos="8820"/>
        <w:tab w:val="right" w:pos="9180"/>
      </w:tabs>
      <w:ind w:right="-46"/>
      <w:jc w:val="right"/>
      <w:rPr>
        <w:rFonts w:cs="Arial"/>
        <w:sz w:val="16"/>
        <w:szCs w:val="16"/>
        <w:lang w:val="fr-FR"/>
      </w:rPr>
    </w:pPr>
    <w:r>
      <w:rPr>
        <w:rFonts w:cs="Arial"/>
        <w:sz w:val="16"/>
        <w:szCs w:val="16"/>
        <w:lang w:val="fr-FR"/>
      </w:rPr>
      <w:t>Mise à jour du P</w:t>
    </w:r>
    <w:r w:rsidRPr="00643D65">
      <w:rPr>
        <w:rFonts w:cs="Arial"/>
        <w:sz w:val="16"/>
        <w:szCs w:val="16"/>
        <w:lang w:val="fr-FR"/>
      </w:rPr>
      <w:t>rofil Environnemental du Mali</w:t>
    </w:r>
  </w:p>
  <w:p w14:paraId="4315775A" w14:textId="77777777" w:rsidR="00736FE4" w:rsidRDefault="00736FE4" w:rsidP="00692FA0">
    <w:pPr>
      <w:pStyle w:val="Pieddepage"/>
      <w:pBdr>
        <w:top w:val="single" w:sz="4" w:space="1" w:color="auto"/>
      </w:pBdr>
      <w:tabs>
        <w:tab w:val="right" w:pos="9720"/>
      </w:tabs>
      <w:ind w:right="-46"/>
      <w:jc w:val="right"/>
      <w:rPr>
        <w:rFonts w:cs="Arial"/>
        <w:sz w:val="16"/>
        <w:szCs w:val="16"/>
        <w:lang w:val="fr-FR"/>
      </w:rPr>
    </w:pPr>
    <w:r>
      <w:rPr>
        <w:rFonts w:cs="Arial"/>
        <w:sz w:val="16"/>
        <w:szCs w:val="16"/>
        <w:lang w:val="fr-FR"/>
      </w:rPr>
      <w:t>R</w:t>
    </w:r>
    <w:r w:rsidRPr="00643D65">
      <w:rPr>
        <w:rFonts w:cs="Arial"/>
        <w:sz w:val="16"/>
        <w:szCs w:val="16"/>
        <w:lang w:val="fr-FR"/>
      </w:rPr>
      <w:t xml:space="preserve">apport </w:t>
    </w:r>
    <w:r>
      <w:rPr>
        <w:rFonts w:cs="Arial"/>
        <w:sz w:val="16"/>
        <w:szCs w:val="16"/>
        <w:lang w:val="fr-FR"/>
      </w:rPr>
      <w:t>final</w:t>
    </w:r>
  </w:p>
  <w:p w14:paraId="29908E17" w14:textId="77777777" w:rsidR="00736FE4" w:rsidRPr="008B5419" w:rsidRDefault="00736FE4" w:rsidP="00692FA0">
    <w:pPr>
      <w:pStyle w:val="Pieddepage"/>
      <w:pBdr>
        <w:top w:val="single" w:sz="4" w:space="1" w:color="auto"/>
      </w:pBdr>
      <w:tabs>
        <w:tab w:val="right" w:pos="9720"/>
      </w:tabs>
      <w:ind w:right="-46"/>
      <w:jc w:val="right"/>
      <w:rPr>
        <w:rFonts w:cs="Arial"/>
        <w:i/>
        <w:sz w:val="16"/>
        <w:szCs w:val="16"/>
      </w:rPr>
    </w:pPr>
    <w:r w:rsidRPr="00643D65">
      <w:rPr>
        <w:lang w:val="fr-FR"/>
      </w:rPr>
      <w:tab/>
    </w:r>
    <w:r w:rsidRPr="00591A86">
      <w:rPr>
        <w:rStyle w:val="Numrodepage"/>
        <w:rFonts w:cs="Arial"/>
        <w:sz w:val="16"/>
        <w:szCs w:val="16"/>
      </w:rPr>
      <w:fldChar w:fldCharType="begin"/>
    </w:r>
    <w:r w:rsidRPr="00643D65">
      <w:rPr>
        <w:rStyle w:val="Numrodepage"/>
        <w:rFonts w:cs="Arial"/>
        <w:sz w:val="16"/>
        <w:szCs w:val="16"/>
        <w:lang w:val="fr-FR"/>
      </w:rPr>
      <w:instrText xml:space="preserve"> PAGE </w:instrText>
    </w:r>
    <w:r w:rsidRPr="00591A86">
      <w:rPr>
        <w:rStyle w:val="Numrodepage"/>
        <w:rFonts w:cs="Arial"/>
        <w:sz w:val="16"/>
        <w:szCs w:val="16"/>
      </w:rPr>
      <w:fldChar w:fldCharType="separate"/>
    </w:r>
    <w:r w:rsidR="00196BE5">
      <w:rPr>
        <w:rStyle w:val="Numrodepage"/>
        <w:rFonts w:cs="Arial"/>
        <w:noProof/>
        <w:sz w:val="16"/>
        <w:szCs w:val="16"/>
        <w:lang w:val="fr-FR"/>
      </w:rPr>
      <w:t>iii</w:t>
    </w:r>
    <w:r w:rsidRPr="00591A86">
      <w:rPr>
        <w:rStyle w:val="Numrodepage"/>
        <w:rFonts w:cs="Arial"/>
        <w:sz w:val="16"/>
        <w:szCs w:val="16"/>
      </w:rPr>
      <w:fldChar w:fldCharType="end"/>
    </w:r>
    <w:r w:rsidRPr="00643D65">
      <w:rPr>
        <w:rStyle w:val="Numrodepage"/>
        <w:rFonts w:cs="Arial"/>
        <w:sz w:val="16"/>
        <w:szCs w:val="16"/>
        <w:lang w:val="fr-FR"/>
      </w:rPr>
      <w:t xml:space="preserve"> / </w:t>
    </w:r>
    <w:r w:rsidRPr="00591A86">
      <w:rPr>
        <w:rStyle w:val="Numrodepage"/>
        <w:rFonts w:cs="Arial"/>
        <w:sz w:val="16"/>
        <w:szCs w:val="16"/>
      </w:rPr>
      <w:fldChar w:fldCharType="begin"/>
    </w:r>
    <w:r w:rsidRPr="00643D65">
      <w:rPr>
        <w:rStyle w:val="Numrodepage"/>
        <w:rFonts w:cs="Arial"/>
        <w:sz w:val="16"/>
        <w:szCs w:val="16"/>
        <w:lang w:val="fr-FR"/>
      </w:rPr>
      <w:instrText xml:space="preserve"> NUMPAGES </w:instrText>
    </w:r>
    <w:r w:rsidRPr="00591A86">
      <w:rPr>
        <w:rStyle w:val="Numrodepage"/>
        <w:rFonts w:cs="Arial"/>
        <w:sz w:val="16"/>
        <w:szCs w:val="16"/>
      </w:rPr>
      <w:fldChar w:fldCharType="separate"/>
    </w:r>
    <w:r w:rsidR="00196BE5">
      <w:rPr>
        <w:rStyle w:val="Numrodepage"/>
        <w:rFonts w:cs="Arial"/>
        <w:noProof/>
        <w:sz w:val="16"/>
        <w:szCs w:val="16"/>
        <w:lang w:val="fr-FR"/>
      </w:rPr>
      <w:t>160</w:t>
    </w:r>
    <w:r w:rsidRPr="00591A86">
      <w:rPr>
        <w:rStyle w:val="Numrodepage"/>
        <w:rFonts w:cs="Arial"/>
        <w:sz w:val="16"/>
        <w:szCs w:val="16"/>
      </w:rPr>
      <w:fldChar w:fldCharType="end"/>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58EF79" w14:textId="77777777" w:rsidR="00736FE4" w:rsidRDefault="00736FE4" w:rsidP="00692FA0">
    <w:pPr>
      <w:pStyle w:val="Pieddepage"/>
      <w:pBdr>
        <w:top w:val="single" w:sz="4" w:space="1" w:color="auto"/>
      </w:pBdr>
      <w:tabs>
        <w:tab w:val="left" w:pos="8820"/>
        <w:tab w:val="right" w:pos="9180"/>
      </w:tabs>
      <w:ind w:right="-46"/>
      <w:jc w:val="right"/>
      <w:rPr>
        <w:rFonts w:cs="Arial"/>
        <w:sz w:val="16"/>
        <w:szCs w:val="16"/>
        <w:lang w:val="fr-FR"/>
      </w:rPr>
    </w:pPr>
    <w:r>
      <w:rPr>
        <w:rFonts w:cs="Arial"/>
        <w:sz w:val="16"/>
        <w:szCs w:val="16"/>
        <w:lang w:val="fr-FR"/>
      </w:rPr>
      <w:t>Consortium CAPA</w:t>
    </w:r>
  </w:p>
  <w:p w14:paraId="5FE7B1F2" w14:textId="77777777" w:rsidR="00736FE4" w:rsidRPr="00643D65" w:rsidRDefault="00736FE4" w:rsidP="00692FA0">
    <w:pPr>
      <w:pStyle w:val="Pieddepage"/>
      <w:pBdr>
        <w:top w:val="single" w:sz="4" w:space="1" w:color="auto"/>
      </w:pBdr>
      <w:tabs>
        <w:tab w:val="left" w:pos="8820"/>
        <w:tab w:val="right" w:pos="9180"/>
      </w:tabs>
      <w:ind w:right="-46"/>
      <w:jc w:val="right"/>
      <w:rPr>
        <w:rFonts w:cs="Arial"/>
        <w:sz w:val="16"/>
        <w:szCs w:val="16"/>
        <w:lang w:val="fr-FR"/>
      </w:rPr>
    </w:pPr>
    <w:r>
      <w:rPr>
        <w:rFonts w:cs="Arial"/>
        <w:sz w:val="16"/>
        <w:szCs w:val="16"/>
        <w:lang w:val="fr-FR"/>
      </w:rPr>
      <w:t>Mise à jour du P</w:t>
    </w:r>
    <w:r w:rsidRPr="00643D65">
      <w:rPr>
        <w:rFonts w:cs="Arial"/>
        <w:sz w:val="16"/>
        <w:szCs w:val="16"/>
        <w:lang w:val="fr-FR"/>
      </w:rPr>
      <w:t>rofil Environnemental du Mali</w:t>
    </w:r>
  </w:p>
  <w:p w14:paraId="56A28B92" w14:textId="77777777" w:rsidR="00736FE4" w:rsidRDefault="00736FE4" w:rsidP="00692FA0">
    <w:pPr>
      <w:pStyle w:val="Pieddepage"/>
      <w:pBdr>
        <w:top w:val="single" w:sz="4" w:space="1" w:color="auto"/>
      </w:pBdr>
      <w:tabs>
        <w:tab w:val="right" w:pos="9720"/>
      </w:tabs>
      <w:ind w:right="-46"/>
      <w:jc w:val="right"/>
      <w:rPr>
        <w:rFonts w:cs="Arial"/>
        <w:sz w:val="16"/>
        <w:szCs w:val="16"/>
        <w:lang w:val="fr-FR"/>
      </w:rPr>
    </w:pPr>
    <w:r>
      <w:rPr>
        <w:rFonts w:cs="Arial"/>
        <w:sz w:val="16"/>
        <w:szCs w:val="16"/>
        <w:lang w:val="fr-FR"/>
      </w:rPr>
      <w:t>R</w:t>
    </w:r>
    <w:r w:rsidRPr="00643D65">
      <w:rPr>
        <w:rFonts w:cs="Arial"/>
        <w:sz w:val="16"/>
        <w:szCs w:val="16"/>
        <w:lang w:val="fr-FR"/>
      </w:rPr>
      <w:t xml:space="preserve">apport </w:t>
    </w:r>
    <w:r>
      <w:rPr>
        <w:rFonts w:cs="Arial"/>
        <w:sz w:val="16"/>
        <w:szCs w:val="16"/>
        <w:lang w:val="fr-FR"/>
      </w:rPr>
      <w:t>final</w:t>
    </w:r>
  </w:p>
  <w:p w14:paraId="34D14724" w14:textId="77777777" w:rsidR="00736FE4" w:rsidRPr="008B5419" w:rsidRDefault="00736FE4" w:rsidP="00692FA0">
    <w:pPr>
      <w:pStyle w:val="Pieddepage"/>
      <w:pBdr>
        <w:top w:val="single" w:sz="4" w:space="1" w:color="auto"/>
      </w:pBdr>
      <w:tabs>
        <w:tab w:val="right" w:pos="9720"/>
      </w:tabs>
      <w:ind w:right="-46"/>
      <w:jc w:val="right"/>
      <w:rPr>
        <w:rFonts w:cs="Arial"/>
        <w:i/>
        <w:sz w:val="16"/>
        <w:szCs w:val="16"/>
      </w:rPr>
    </w:pPr>
    <w:r w:rsidRPr="00643D65">
      <w:rPr>
        <w:lang w:val="fr-FR"/>
      </w:rPr>
      <w:tab/>
    </w:r>
    <w:r w:rsidRPr="00591A86">
      <w:rPr>
        <w:rStyle w:val="Numrodepage"/>
        <w:rFonts w:cs="Arial"/>
        <w:sz w:val="16"/>
        <w:szCs w:val="16"/>
      </w:rPr>
      <w:fldChar w:fldCharType="begin"/>
    </w:r>
    <w:r w:rsidRPr="00643D65">
      <w:rPr>
        <w:rStyle w:val="Numrodepage"/>
        <w:rFonts w:cs="Arial"/>
        <w:sz w:val="16"/>
        <w:szCs w:val="16"/>
        <w:lang w:val="fr-FR"/>
      </w:rPr>
      <w:instrText xml:space="preserve"> PAGE </w:instrText>
    </w:r>
    <w:r w:rsidRPr="00591A86">
      <w:rPr>
        <w:rStyle w:val="Numrodepage"/>
        <w:rFonts w:cs="Arial"/>
        <w:sz w:val="16"/>
        <w:szCs w:val="16"/>
      </w:rPr>
      <w:fldChar w:fldCharType="separate"/>
    </w:r>
    <w:r w:rsidR="00196BE5">
      <w:rPr>
        <w:rStyle w:val="Numrodepage"/>
        <w:rFonts w:cs="Arial"/>
        <w:noProof/>
        <w:sz w:val="16"/>
        <w:szCs w:val="16"/>
        <w:lang w:val="fr-FR"/>
      </w:rPr>
      <w:t>11</w:t>
    </w:r>
    <w:r w:rsidRPr="00591A86">
      <w:rPr>
        <w:rStyle w:val="Numrodepage"/>
        <w:rFonts w:cs="Arial"/>
        <w:sz w:val="16"/>
        <w:szCs w:val="16"/>
      </w:rPr>
      <w:fldChar w:fldCharType="end"/>
    </w:r>
    <w:r w:rsidRPr="00643D65">
      <w:rPr>
        <w:rStyle w:val="Numrodepage"/>
        <w:rFonts w:cs="Arial"/>
        <w:sz w:val="16"/>
        <w:szCs w:val="16"/>
        <w:lang w:val="fr-FR"/>
      </w:rPr>
      <w:t xml:space="preserve"> / </w:t>
    </w:r>
    <w:r w:rsidRPr="00591A86">
      <w:rPr>
        <w:rStyle w:val="Numrodepage"/>
        <w:rFonts w:cs="Arial"/>
        <w:sz w:val="16"/>
        <w:szCs w:val="16"/>
      </w:rPr>
      <w:fldChar w:fldCharType="begin"/>
    </w:r>
    <w:r w:rsidRPr="00643D65">
      <w:rPr>
        <w:rStyle w:val="Numrodepage"/>
        <w:rFonts w:cs="Arial"/>
        <w:sz w:val="16"/>
        <w:szCs w:val="16"/>
        <w:lang w:val="fr-FR"/>
      </w:rPr>
      <w:instrText xml:space="preserve"> NUMPAGES </w:instrText>
    </w:r>
    <w:r w:rsidRPr="00591A86">
      <w:rPr>
        <w:rStyle w:val="Numrodepage"/>
        <w:rFonts w:cs="Arial"/>
        <w:sz w:val="16"/>
        <w:szCs w:val="16"/>
      </w:rPr>
      <w:fldChar w:fldCharType="separate"/>
    </w:r>
    <w:r w:rsidR="00196BE5">
      <w:rPr>
        <w:rStyle w:val="Numrodepage"/>
        <w:rFonts w:cs="Arial"/>
        <w:noProof/>
        <w:sz w:val="16"/>
        <w:szCs w:val="16"/>
        <w:lang w:val="fr-FR"/>
      </w:rPr>
      <w:t>160</w:t>
    </w:r>
    <w:r w:rsidRPr="00591A86">
      <w:rPr>
        <w:rStyle w:val="Numrodepage"/>
        <w:rFonts w:cs="Arial"/>
        <w:sz w:val="16"/>
        <w:szCs w:val="16"/>
      </w:rPr>
      <w:fldChar w:fldCharType="end"/>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64522F" w14:textId="77777777" w:rsidR="00736FE4" w:rsidRDefault="00736FE4">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end"/>
    </w:r>
  </w:p>
  <w:p w14:paraId="5BB198E2" w14:textId="77777777" w:rsidR="00736FE4" w:rsidRDefault="00736FE4">
    <w:pPr>
      <w:pStyle w:val="Pieddepage"/>
      <w:ind w:right="360"/>
    </w:pP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3208BE" w14:textId="77777777" w:rsidR="00736FE4" w:rsidRPr="001349A5" w:rsidRDefault="00736FE4">
    <w:pPr>
      <w:pStyle w:val="Pieddepage"/>
      <w:jc w:val="right"/>
      <w:rPr>
        <w:rFonts w:ascii="Calibri" w:hAnsi="Calibri" w:cs="Calibri"/>
        <w:sz w:val="18"/>
        <w:szCs w:val="18"/>
      </w:rPr>
    </w:pPr>
    <w:r w:rsidRPr="001349A5">
      <w:rPr>
        <w:rFonts w:ascii="Calibri" w:hAnsi="Calibri" w:cs="Calibri"/>
        <w:sz w:val="18"/>
        <w:szCs w:val="18"/>
      </w:rPr>
      <w:t xml:space="preserve">Page </w:t>
    </w:r>
    <w:r w:rsidRPr="001349A5">
      <w:rPr>
        <w:rFonts w:ascii="Calibri" w:hAnsi="Calibri" w:cs="Calibri"/>
        <w:bCs/>
        <w:sz w:val="18"/>
        <w:szCs w:val="18"/>
      </w:rPr>
      <w:fldChar w:fldCharType="begin"/>
    </w:r>
    <w:r w:rsidRPr="001349A5">
      <w:rPr>
        <w:rFonts w:ascii="Calibri" w:hAnsi="Calibri" w:cs="Calibri"/>
        <w:bCs/>
        <w:sz w:val="18"/>
        <w:szCs w:val="18"/>
      </w:rPr>
      <w:instrText>PAGE</w:instrText>
    </w:r>
    <w:r w:rsidRPr="001349A5">
      <w:rPr>
        <w:rFonts w:ascii="Calibri" w:hAnsi="Calibri" w:cs="Calibri"/>
        <w:bCs/>
        <w:sz w:val="18"/>
        <w:szCs w:val="18"/>
      </w:rPr>
      <w:fldChar w:fldCharType="separate"/>
    </w:r>
    <w:r w:rsidR="00196BE5">
      <w:rPr>
        <w:rFonts w:ascii="Calibri" w:hAnsi="Calibri" w:cs="Calibri"/>
        <w:bCs/>
        <w:noProof/>
        <w:sz w:val="18"/>
        <w:szCs w:val="18"/>
      </w:rPr>
      <w:t>150</w:t>
    </w:r>
    <w:r w:rsidRPr="001349A5">
      <w:rPr>
        <w:rFonts w:ascii="Calibri" w:hAnsi="Calibri" w:cs="Calibri"/>
        <w:bCs/>
        <w:sz w:val="18"/>
        <w:szCs w:val="18"/>
      </w:rPr>
      <w:fldChar w:fldCharType="end"/>
    </w:r>
    <w:r w:rsidRPr="001349A5">
      <w:rPr>
        <w:rFonts w:ascii="Calibri" w:hAnsi="Calibri" w:cs="Calibri"/>
        <w:sz w:val="18"/>
        <w:szCs w:val="18"/>
      </w:rPr>
      <w:t xml:space="preserve"> sur </w:t>
    </w:r>
    <w:r w:rsidRPr="001349A5">
      <w:rPr>
        <w:rFonts w:ascii="Calibri" w:hAnsi="Calibri" w:cs="Calibri"/>
        <w:bCs/>
        <w:sz w:val="18"/>
        <w:szCs w:val="18"/>
      </w:rPr>
      <w:fldChar w:fldCharType="begin"/>
    </w:r>
    <w:r w:rsidRPr="001349A5">
      <w:rPr>
        <w:rFonts w:ascii="Calibri" w:hAnsi="Calibri" w:cs="Calibri"/>
        <w:bCs/>
        <w:sz w:val="18"/>
        <w:szCs w:val="18"/>
      </w:rPr>
      <w:instrText>NUMPAGES</w:instrText>
    </w:r>
    <w:r w:rsidRPr="001349A5">
      <w:rPr>
        <w:rFonts w:ascii="Calibri" w:hAnsi="Calibri" w:cs="Calibri"/>
        <w:bCs/>
        <w:sz w:val="18"/>
        <w:szCs w:val="18"/>
      </w:rPr>
      <w:fldChar w:fldCharType="separate"/>
    </w:r>
    <w:r w:rsidR="00196BE5">
      <w:rPr>
        <w:rFonts w:ascii="Calibri" w:hAnsi="Calibri" w:cs="Calibri"/>
        <w:bCs/>
        <w:noProof/>
        <w:sz w:val="18"/>
        <w:szCs w:val="18"/>
      </w:rPr>
      <w:t>160</w:t>
    </w:r>
    <w:r w:rsidRPr="001349A5">
      <w:rPr>
        <w:rFonts w:ascii="Calibri" w:hAnsi="Calibri" w:cs="Calibri"/>
        <w:bCs/>
        <w:sz w:val="18"/>
        <w:szCs w:val="18"/>
      </w:rPr>
      <w:fldChar w:fldCharType="end"/>
    </w:r>
  </w:p>
  <w:p w14:paraId="4A865A8F" w14:textId="77777777" w:rsidR="00736FE4" w:rsidRDefault="00736FE4">
    <w:pPr>
      <w:pStyle w:val="Pieddepage"/>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027080C" w14:textId="77777777" w:rsidR="0010414A" w:rsidRDefault="0010414A" w:rsidP="00282133">
      <w:pPr>
        <w:spacing w:after="0" w:line="240" w:lineRule="auto"/>
      </w:pPr>
      <w:r>
        <w:separator/>
      </w:r>
    </w:p>
  </w:footnote>
  <w:footnote w:type="continuationSeparator" w:id="0">
    <w:p w14:paraId="7D59D41A" w14:textId="77777777" w:rsidR="0010414A" w:rsidRDefault="0010414A" w:rsidP="00282133">
      <w:pPr>
        <w:spacing w:after="0" w:line="240" w:lineRule="auto"/>
      </w:pPr>
      <w:r>
        <w:continuationSeparator/>
      </w:r>
    </w:p>
  </w:footnote>
  <w:footnote w:id="1">
    <w:p w14:paraId="58956378" w14:textId="77777777" w:rsidR="00736FE4" w:rsidRPr="00B55CD1" w:rsidRDefault="00736FE4" w:rsidP="00802BA9">
      <w:pPr>
        <w:pStyle w:val="Notedebasdepage"/>
        <w:spacing w:after="0"/>
        <w:rPr>
          <w:rFonts w:ascii="Arial Narrow" w:hAnsi="Arial Narrow"/>
          <w:sz w:val="17"/>
          <w:szCs w:val="17"/>
          <w:lang w:val="fr-FR"/>
        </w:rPr>
      </w:pPr>
      <w:r w:rsidRPr="00B55CD1">
        <w:rPr>
          <w:rStyle w:val="Appelnotedebasdep"/>
        </w:rPr>
        <w:footnoteRef/>
      </w:r>
      <w:r w:rsidRPr="00B55CD1">
        <w:rPr>
          <w:lang w:val="fr-FR"/>
        </w:rPr>
        <w:t xml:space="preserve"> </w:t>
      </w:r>
      <w:r w:rsidRPr="00B55CD1">
        <w:rPr>
          <w:rFonts w:ascii="Arial Narrow" w:hAnsi="Arial Narrow"/>
          <w:sz w:val="17"/>
          <w:szCs w:val="17"/>
          <w:lang w:val="fr-FR"/>
        </w:rPr>
        <w:t>En 2016, 52,8 % des véhicules ont plus de 16 ans contre 72 % en 2008 ; véhicules anciens accentuant les émissions d’oxydes d’azote (</w:t>
      </w:r>
      <w:proofErr w:type="spellStart"/>
      <w:r w:rsidRPr="00B55CD1">
        <w:rPr>
          <w:rFonts w:ascii="Arial Narrow" w:hAnsi="Arial Narrow"/>
          <w:sz w:val="17"/>
          <w:szCs w:val="17"/>
          <w:lang w:val="fr-FR"/>
        </w:rPr>
        <w:t>NOx</w:t>
      </w:r>
      <w:proofErr w:type="spellEnd"/>
      <w:r w:rsidRPr="00B55CD1">
        <w:rPr>
          <w:rFonts w:ascii="Arial Narrow" w:hAnsi="Arial Narrow"/>
          <w:sz w:val="17"/>
          <w:szCs w:val="17"/>
          <w:lang w:val="fr-FR"/>
        </w:rPr>
        <w:t>), de monoxyde de carbone (CO) et de dioxyde de carbone (CO2).</w:t>
      </w:r>
    </w:p>
  </w:footnote>
  <w:footnote w:id="2">
    <w:p w14:paraId="7615C59C" w14:textId="77777777" w:rsidR="00736FE4" w:rsidRPr="00B55CD1" w:rsidRDefault="00736FE4" w:rsidP="00802BA9">
      <w:pPr>
        <w:pStyle w:val="Notedebasdepage"/>
        <w:spacing w:after="0"/>
        <w:rPr>
          <w:rFonts w:ascii="Arial Narrow" w:hAnsi="Arial Narrow"/>
          <w:sz w:val="17"/>
          <w:szCs w:val="17"/>
          <w:lang w:val="fr-FR"/>
        </w:rPr>
      </w:pPr>
      <w:r w:rsidRPr="00B55CD1">
        <w:rPr>
          <w:rStyle w:val="Appelnotedebasdep"/>
          <w:rFonts w:ascii="Arial Narrow" w:hAnsi="Arial Narrow"/>
          <w:sz w:val="17"/>
          <w:szCs w:val="17"/>
        </w:rPr>
        <w:footnoteRef/>
      </w:r>
      <w:r w:rsidRPr="00B55CD1">
        <w:rPr>
          <w:rFonts w:ascii="Arial Narrow" w:hAnsi="Arial Narrow"/>
          <w:sz w:val="17"/>
          <w:szCs w:val="17"/>
          <w:lang w:val="fr-FR"/>
        </w:rPr>
        <w:t xml:space="preserve"> Selon l’étude BURGEAP de 2010, l’énergie domestique émet 331 µg/m³, soit 25 fois plus de PM10 que l’ensemble des véhicules. De plus, le diesel fortement soufré (10.000 ppm de soufre) entraine des émissions importantes de dioxyde de soufre et de poussières sous forme de sulfates.</w:t>
      </w:r>
    </w:p>
  </w:footnote>
  <w:footnote w:id="3">
    <w:p w14:paraId="3C4AFBC4" w14:textId="77777777" w:rsidR="00736FE4" w:rsidRPr="00B55CD1" w:rsidRDefault="00736FE4" w:rsidP="00802BA9">
      <w:pPr>
        <w:pStyle w:val="Notedebasdepage"/>
        <w:spacing w:after="0"/>
        <w:rPr>
          <w:rFonts w:ascii="Arial Narrow" w:hAnsi="Arial Narrow"/>
          <w:sz w:val="17"/>
          <w:szCs w:val="17"/>
          <w:lang w:val="fr-FR"/>
        </w:rPr>
      </w:pPr>
      <w:r w:rsidRPr="00B55CD1">
        <w:rPr>
          <w:rStyle w:val="Appelnotedebasdep"/>
          <w:rFonts w:ascii="Arial Narrow" w:hAnsi="Arial Narrow"/>
          <w:sz w:val="17"/>
          <w:szCs w:val="17"/>
        </w:rPr>
        <w:footnoteRef/>
      </w:r>
      <w:r w:rsidRPr="00B55CD1">
        <w:rPr>
          <w:rFonts w:ascii="Arial Narrow" w:hAnsi="Arial Narrow"/>
          <w:sz w:val="17"/>
          <w:szCs w:val="17"/>
          <w:lang w:val="fr-FR"/>
        </w:rPr>
        <w:t xml:space="preserve"> http://www.air-dakar.org/</w:t>
      </w:r>
    </w:p>
  </w:footnote>
  <w:footnote w:id="4">
    <w:p w14:paraId="23A95F0E" w14:textId="77777777" w:rsidR="00736FE4" w:rsidRPr="007B2458" w:rsidRDefault="00736FE4" w:rsidP="00802BA9">
      <w:pPr>
        <w:pStyle w:val="Notedebasdepage"/>
        <w:rPr>
          <w:rFonts w:ascii="Arial Narrow" w:hAnsi="Arial Narrow"/>
          <w:color w:val="7030A0"/>
          <w:sz w:val="17"/>
          <w:szCs w:val="17"/>
          <w:lang w:val="fr-FR"/>
        </w:rPr>
      </w:pPr>
      <w:r w:rsidRPr="00BC3F0C">
        <w:rPr>
          <w:rStyle w:val="Appelnotedebasdep"/>
          <w:rFonts w:ascii="Arial Narrow" w:hAnsi="Arial Narrow"/>
          <w:sz w:val="17"/>
          <w:szCs w:val="17"/>
        </w:rPr>
        <w:footnoteRef/>
      </w:r>
      <w:r w:rsidRPr="00BC3F0C">
        <w:rPr>
          <w:rFonts w:ascii="Arial Narrow" w:hAnsi="Arial Narrow"/>
          <w:sz w:val="17"/>
          <w:szCs w:val="17"/>
          <w:lang w:val="fr-FR"/>
        </w:rPr>
        <w:t xml:space="preserve"> Normes OMS : Particules fines (PM2.5) 10 </w:t>
      </w:r>
      <w:proofErr w:type="spellStart"/>
      <w:r w:rsidRPr="00BC3F0C">
        <w:rPr>
          <w:rFonts w:ascii="Arial Narrow" w:hAnsi="Arial Narrow"/>
          <w:sz w:val="17"/>
          <w:szCs w:val="17"/>
          <w:lang w:val="fr-FR"/>
        </w:rPr>
        <w:t>μg</w:t>
      </w:r>
      <w:proofErr w:type="spellEnd"/>
      <w:r w:rsidRPr="00BC3F0C">
        <w:rPr>
          <w:rFonts w:ascii="Arial Narrow" w:hAnsi="Arial Narrow"/>
          <w:sz w:val="17"/>
          <w:szCs w:val="17"/>
          <w:lang w:val="fr-FR"/>
        </w:rPr>
        <w:t xml:space="preserve">/m3 moyenne annuelle et 25 </w:t>
      </w:r>
      <w:proofErr w:type="spellStart"/>
      <w:r w:rsidRPr="00BC3F0C">
        <w:rPr>
          <w:rFonts w:ascii="Arial Narrow" w:hAnsi="Arial Narrow"/>
          <w:sz w:val="17"/>
          <w:szCs w:val="17"/>
          <w:lang w:val="fr-FR"/>
        </w:rPr>
        <w:t>μg</w:t>
      </w:r>
      <w:proofErr w:type="spellEnd"/>
      <w:r w:rsidRPr="00BC3F0C">
        <w:rPr>
          <w:rFonts w:ascii="Arial Narrow" w:hAnsi="Arial Narrow"/>
          <w:sz w:val="17"/>
          <w:szCs w:val="17"/>
          <w:lang w:val="fr-FR"/>
        </w:rPr>
        <w:t xml:space="preserve">/m3 moyenne sur 24 heures, Particules grossières (PM10) 20 </w:t>
      </w:r>
      <w:proofErr w:type="spellStart"/>
      <w:r w:rsidRPr="00BC3F0C">
        <w:rPr>
          <w:rFonts w:ascii="Arial Narrow" w:hAnsi="Arial Narrow"/>
          <w:sz w:val="17"/>
          <w:szCs w:val="17"/>
          <w:lang w:val="fr-FR"/>
        </w:rPr>
        <w:t>μg</w:t>
      </w:r>
      <w:proofErr w:type="spellEnd"/>
      <w:r w:rsidRPr="00BC3F0C">
        <w:rPr>
          <w:rFonts w:ascii="Arial Narrow" w:hAnsi="Arial Narrow"/>
          <w:sz w:val="17"/>
          <w:szCs w:val="17"/>
          <w:lang w:val="fr-FR"/>
        </w:rPr>
        <w:t xml:space="preserve">/m3 moyenne annuelle et 50 </w:t>
      </w:r>
      <w:proofErr w:type="spellStart"/>
      <w:r w:rsidRPr="00BC3F0C">
        <w:rPr>
          <w:rFonts w:ascii="Arial Narrow" w:hAnsi="Arial Narrow"/>
          <w:sz w:val="17"/>
          <w:szCs w:val="17"/>
          <w:lang w:val="fr-FR"/>
        </w:rPr>
        <w:t>μg</w:t>
      </w:r>
      <w:proofErr w:type="spellEnd"/>
      <w:r w:rsidRPr="00BC3F0C">
        <w:rPr>
          <w:rFonts w:ascii="Arial Narrow" w:hAnsi="Arial Narrow"/>
          <w:sz w:val="17"/>
          <w:szCs w:val="17"/>
          <w:lang w:val="fr-FR"/>
        </w:rPr>
        <w:t>/m3 moyenne sur 24 heures, Benzène 1 µg/m3</w:t>
      </w:r>
    </w:p>
  </w:footnote>
  <w:footnote w:id="5">
    <w:p w14:paraId="33B04F30" w14:textId="77777777" w:rsidR="00736FE4" w:rsidRPr="008F6C37" w:rsidRDefault="00736FE4" w:rsidP="00614D69">
      <w:pPr>
        <w:pStyle w:val="Notedebasdepage"/>
        <w:spacing w:after="0"/>
        <w:rPr>
          <w:rFonts w:ascii="Arial Narrow" w:hAnsi="Arial Narrow" w:cs="Arial"/>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Pertes annuelles en terres arables (ou pertes annuelles de masse de terre arable par unité de surface) évaluées selon la RUSLE (</w:t>
      </w:r>
      <w:proofErr w:type="spellStart"/>
      <w:r w:rsidRPr="008F6C37">
        <w:rPr>
          <w:rFonts w:ascii="Arial Narrow" w:hAnsi="Arial Narrow" w:cs="Arial"/>
          <w:sz w:val="17"/>
          <w:szCs w:val="17"/>
          <w:lang w:val="fr-FR"/>
        </w:rPr>
        <w:t>Reviewed</w:t>
      </w:r>
      <w:proofErr w:type="spellEnd"/>
      <w:r w:rsidRPr="008F6C37">
        <w:rPr>
          <w:rFonts w:ascii="Arial Narrow" w:hAnsi="Arial Narrow" w:cs="Arial"/>
          <w:sz w:val="17"/>
          <w:szCs w:val="17"/>
          <w:lang w:val="fr-FR"/>
        </w:rPr>
        <w:t xml:space="preserve"> Universal </w:t>
      </w:r>
      <w:proofErr w:type="spellStart"/>
      <w:r w:rsidRPr="008F6C37">
        <w:rPr>
          <w:rFonts w:ascii="Arial Narrow" w:hAnsi="Arial Narrow" w:cs="Arial"/>
          <w:sz w:val="17"/>
          <w:szCs w:val="17"/>
          <w:lang w:val="fr-FR"/>
        </w:rPr>
        <w:t>Soil</w:t>
      </w:r>
      <w:proofErr w:type="spellEnd"/>
      <w:r w:rsidRPr="008F6C37">
        <w:rPr>
          <w:rFonts w:ascii="Arial Narrow" w:hAnsi="Arial Narrow" w:cs="Arial"/>
          <w:sz w:val="17"/>
          <w:szCs w:val="17"/>
          <w:lang w:val="fr-FR"/>
        </w:rPr>
        <w:t xml:space="preserve"> </w:t>
      </w:r>
      <w:proofErr w:type="spellStart"/>
      <w:r w:rsidRPr="008F6C37">
        <w:rPr>
          <w:rFonts w:ascii="Arial Narrow" w:hAnsi="Arial Narrow" w:cs="Arial"/>
          <w:sz w:val="17"/>
          <w:szCs w:val="17"/>
          <w:lang w:val="fr-FR"/>
        </w:rPr>
        <w:t>Loss</w:t>
      </w:r>
      <w:proofErr w:type="spellEnd"/>
      <w:r w:rsidRPr="008F6C37">
        <w:rPr>
          <w:rFonts w:ascii="Arial Narrow" w:hAnsi="Arial Narrow" w:cs="Arial"/>
          <w:sz w:val="17"/>
          <w:szCs w:val="17"/>
          <w:lang w:val="fr-FR"/>
        </w:rPr>
        <w:t xml:space="preserve"> Equation) </w:t>
      </w:r>
      <w:r w:rsidRPr="008F6C37">
        <w:rPr>
          <w:rFonts w:ascii="Arial Narrow" w:hAnsi="Arial Narrow" w:cs="Arial"/>
          <w:b/>
          <w:sz w:val="17"/>
          <w:szCs w:val="17"/>
          <w:lang w:val="fr-FR"/>
        </w:rPr>
        <w:t xml:space="preserve">E = 2,24 x </w:t>
      </w:r>
      <w:proofErr w:type="gramStart"/>
      <w:r w:rsidRPr="008F6C37">
        <w:rPr>
          <w:rFonts w:ascii="Arial Narrow" w:hAnsi="Arial Narrow" w:cs="Arial"/>
          <w:b/>
          <w:sz w:val="17"/>
          <w:szCs w:val="17"/>
          <w:lang w:val="fr-FR"/>
        </w:rPr>
        <w:t>R  x</w:t>
      </w:r>
      <w:proofErr w:type="gramEnd"/>
      <w:r w:rsidRPr="008F6C37">
        <w:rPr>
          <w:rFonts w:ascii="Arial Narrow" w:hAnsi="Arial Narrow" w:cs="Arial"/>
          <w:b/>
          <w:sz w:val="17"/>
          <w:szCs w:val="17"/>
          <w:lang w:val="fr-FR"/>
        </w:rPr>
        <w:t xml:space="preserve"> K x </w:t>
      </w:r>
      <w:proofErr w:type="spellStart"/>
      <w:r w:rsidRPr="008F6C37">
        <w:rPr>
          <w:rFonts w:ascii="Arial Narrow" w:hAnsi="Arial Narrow" w:cs="Arial"/>
          <w:b/>
          <w:sz w:val="17"/>
          <w:szCs w:val="17"/>
          <w:lang w:val="fr-FR"/>
        </w:rPr>
        <w:t>Ls</w:t>
      </w:r>
      <w:proofErr w:type="spellEnd"/>
      <w:r w:rsidRPr="008F6C37">
        <w:rPr>
          <w:rFonts w:ascii="Arial Narrow" w:hAnsi="Arial Narrow" w:cs="Arial"/>
          <w:b/>
          <w:sz w:val="17"/>
          <w:szCs w:val="17"/>
          <w:lang w:val="fr-FR"/>
        </w:rPr>
        <w:t xml:space="preserve"> x C x P</w:t>
      </w:r>
      <w:r w:rsidRPr="008F6C37">
        <w:rPr>
          <w:rFonts w:ascii="Arial Narrow" w:hAnsi="Arial Narrow" w:cs="Arial"/>
          <w:sz w:val="17"/>
          <w:szCs w:val="17"/>
          <w:lang w:val="fr-FR"/>
        </w:rPr>
        <w:t xml:space="preserve"> où :</w:t>
      </w:r>
    </w:p>
    <w:p w14:paraId="0DDAB9A2" w14:textId="77777777" w:rsidR="00736FE4" w:rsidRPr="008F6C37" w:rsidRDefault="00736FE4" w:rsidP="00614D69">
      <w:pPr>
        <w:pStyle w:val="Notedebasdepage"/>
        <w:spacing w:after="0"/>
        <w:rPr>
          <w:rFonts w:ascii="Arial Narrow" w:hAnsi="Arial Narrow" w:cs="Arial"/>
          <w:sz w:val="17"/>
          <w:szCs w:val="17"/>
          <w:lang w:val="fr-FR"/>
        </w:rPr>
      </w:pPr>
      <w:r w:rsidRPr="008F6C37">
        <w:rPr>
          <w:rFonts w:ascii="Arial Narrow" w:hAnsi="Arial Narrow" w:cs="Arial"/>
          <w:b/>
          <w:sz w:val="17"/>
          <w:szCs w:val="17"/>
          <w:lang w:val="fr-FR"/>
        </w:rPr>
        <w:t>E</w:t>
      </w:r>
      <w:r w:rsidRPr="008F6C37">
        <w:rPr>
          <w:rFonts w:ascii="Arial Narrow" w:hAnsi="Arial Narrow" w:cs="Arial"/>
          <w:sz w:val="17"/>
          <w:szCs w:val="17"/>
          <w:lang w:val="fr-FR"/>
        </w:rPr>
        <w:t xml:space="preserve"> = érosion en t. ha-</w:t>
      </w:r>
      <w:proofErr w:type="gramStart"/>
      <w:r w:rsidRPr="008F6C37">
        <w:rPr>
          <w:rFonts w:ascii="Arial Narrow" w:hAnsi="Arial Narrow" w:cs="Arial"/>
          <w:sz w:val="17"/>
          <w:szCs w:val="17"/>
          <w:lang w:val="fr-FR"/>
        </w:rPr>
        <w:t>1 .</w:t>
      </w:r>
      <w:proofErr w:type="gramEnd"/>
      <w:r w:rsidRPr="008F6C37">
        <w:rPr>
          <w:rFonts w:ascii="Arial Narrow" w:hAnsi="Arial Narrow" w:cs="Arial"/>
          <w:sz w:val="17"/>
          <w:szCs w:val="17"/>
          <w:lang w:val="fr-FR"/>
        </w:rPr>
        <w:t xml:space="preserve"> </w:t>
      </w:r>
      <w:proofErr w:type="gramStart"/>
      <w:r w:rsidRPr="008F6C37">
        <w:rPr>
          <w:rFonts w:ascii="Arial Narrow" w:hAnsi="Arial Narrow" w:cs="Arial"/>
          <w:sz w:val="17"/>
          <w:szCs w:val="17"/>
          <w:lang w:val="fr-FR"/>
        </w:rPr>
        <w:t>an</w:t>
      </w:r>
      <w:proofErr w:type="gramEnd"/>
      <w:r w:rsidRPr="008F6C37">
        <w:rPr>
          <w:rFonts w:ascii="Arial Narrow" w:hAnsi="Arial Narrow" w:cs="Arial"/>
          <w:sz w:val="17"/>
          <w:szCs w:val="17"/>
          <w:lang w:val="fr-FR"/>
        </w:rPr>
        <w:t xml:space="preserve">, </w:t>
      </w:r>
      <w:r w:rsidRPr="008F6C37">
        <w:rPr>
          <w:rFonts w:ascii="Arial Narrow" w:hAnsi="Arial Narrow" w:cs="Arial"/>
          <w:b/>
          <w:sz w:val="17"/>
          <w:szCs w:val="17"/>
          <w:lang w:val="fr-FR"/>
        </w:rPr>
        <w:t>R =</w:t>
      </w:r>
      <w:r w:rsidRPr="008F6C37">
        <w:rPr>
          <w:rFonts w:ascii="Arial Narrow" w:hAnsi="Arial Narrow" w:cs="Arial"/>
          <w:sz w:val="17"/>
          <w:szCs w:val="17"/>
          <w:lang w:val="fr-FR"/>
        </w:rPr>
        <w:t xml:space="preserve"> </w:t>
      </w:r>
      <w:proofErr w:type="spellStart"/>
      <w:r w:rsidRPr="008F6C37">
        <w:rPr>
          <w:rFonts w:ascii="Arial Narrow" w:hAnsi="Arial Narrow" w:cs="Arial"/>
          <w:sz w:val="17"/>
          <w:szCs w:val="17"/>
          <w:lang w:val="fr-FR"/>
        </w:rPr>
        <w:t>érosivité</w:t>
      </w:r>
      <w:proofErr w:type="spellEnd"/>
      <w:r w:rsidRPr="008F6C37">
        <w:rPr>
          <w:rFonts w:ascii="Arial Narrow" w:hAnsi="Arial Narrow" w:cs="Arial"/>
          <w:sz w:val="17"/>
          <w:szCs w:val="17"/>
          <w:lang w:val="fr-FR"/>
        </w:rPr>
        <w:t xml:space="preserve"> des pluies ou indice pluie, </w:t>
      </w:r>
      <w:r w:rsidRPr="008F6C37">
        <w:rPr>
          <w:rFonts w:ascii="Arial Narrow" w:hAnsi="Arial Narrow" w:cs="Arial"/>
          <w:b/>
          <w:sz w:val="17"/>
          <w:szCs w:val="17"/>
          <w:lang w:val="fr-FR"/>
        </w:rPr>
        <w:t xml:space="preserve">K </w:t>
      </w:r>
      <w:r w:rsidRPr="008F6C37">
        <w:rPr>
          <w:rFonts w:ascii="Arial Narrow" w:hAnsi="Arial Narrow" w:cs="Arial"/>
          <w:sz w:val="17"/>
          <w:szCs w:val="17"/>
          <w:lang w:val="fr-FR"/>
        </w:rPr>
        <w:t xml:space="preserve">= </w:t>
      </w:r>
      <w:proofErr w:type="spellStart"/>
      <w:r w:rsidRPr="008F6C37">
        <w:rPr>
          <w:rFonts w:ascii="Arial Narrow" w:hAnsi="Arial Narrow" w:cs="Arial"/>
          <w:sz w:val="17"/>
          <w:szCs w:val="17"/>
          <w:lang w:val="fr-FR"/>
        </w:rPr>
        <w:t>érodibilité</w:t>
      </w:r>
      <w:proofErr w:type="spellEnd"/>
      <w:r w:rsidRPr="008F6C37">
        <w:rPr>
          <w:rFonts w:ascii="Arial Narrow" w:hAnsi="Arial Narrow" w:cs="Arial"/>
          <w:sz w:val="17"/>
          <w:szCs w:val="17"/>
          <w:lang w:val="fr-FR"/>
        </w:rPr>
        <w:t xml:space="preserve"> des sols, </w:t>
      </w:r>
      <w:proofErr w:type="spellStart"/>
      <w:r w:rsidRPr="008F6C37">
        <w:rPr>
          <w:rFonts w:ascii="Arial Narrow" w:hAnsi="Arial Narrow" w:cs="Arial"/>
          <w:b/>
          <w:sz w:val="17"/>
          <w:szCs w:val="17"/>
          <w:lang w:val="fr-FR"/>
        </w:rPr>
        <w:t>Ls</w:t>
      </w:r>
      <w:proofErr w:type="spellEnd"/>
      <w:r w:rsidRPr="008F6C37">
        <w:rPr>
          <w:rFonts w:ascii="Arial Narrow" w:hAnsi="Arial Narrow" w:cs="Arial"/>
          <w:b/>
          <w:sz w:val="17"/>
          <w:szCs w:val="17"/>
          <w:lang w:val="fr-FR"/>
        </w:rPr>
        <w:t xml:space="preserve"> </w:t>
      </w:r>
      <w:r w:rsidRPr="008F6C37">
        <w:rPr>
          <w:rFonts w:ascii="Arial Narrow" w:hAnsi="Arial Narrow" w:cs="Arial"/>
          <w:sz w:val="17"/>
          <w:szCs w:val="17"/>
          <w:lang w:val="fr-FR"/>
        </w:rPr>
        <w:t xml:space="preserve">= indice pente, </w:t>
      </w:r>
    </w:p>
    <w:p w14:paraId="1B10437C" w14:textId="77777777" w:rsidR="00736FE4" w:rsidRPr="008F6C37" w:rsidRDefault="00736FE4" w:rsidP="00614D69">
      <w:pPr>
        <w:pStyle w:val="Notedebasdepage"/>
        <w:spacing w:after="0"/>
        <w:rPr>
          <w:rFonts w:ascii="Arial Narrow" w:hAnsi="Arial Narrow" w:cs="Arial"/>
          <w:sz w:val="17"/>
          <w:szCs w:val="17"/>
          <w:lang w:val="fr-FR"/>
        </w:rPr>
      </w:pPr>
      <w:r w:rsidRPr="008F6C37">
        <w:rPr>
          <w:rFonts w:ascii="Arial Narrow" w:hAnsi="Arial Narrow" w:cs="Arial"/>
          <w:b/>
          <w:sz w:val="17"/>
          <w:szCs w:val="17"/>
          <w:lang w:val="fr-FR"/>
        </w:rPr>
        <w:t>C</w:t>
      </w:r>
      <w:r w:rsidRPr="008F6C37">
        <w:rPr>
          <w:rFonts w:ascii="Arial Narrow" w:hAnsi="Arial Narrow" w:cs="Arial"/>
          <w:sz w:val="17"/>
          <w:szCs w:val="17"/>
          <w:lang w:val="fr-FR"/>
        </w:rPr>
        <w:t xml:space="preserve"> = indice végétation, culture et pratiques agricoles, </w:t>
      </w:r>
      <w:r w:rsidRPr="008F6C37">
        <w:rPr>
          <w:rFonts w:ascii="Arial Narrow" w:hAnsi="Arial Narrow" w:cs="Arial"/>
          <w:b/>
          <w:sz w:val="17"/>
          <w:szCs w:val="17"/>
          <w:lang w:val="fr-FR"/>
        </w:rPr>
        <w:t>P</w:t>
      </w:r>
      <w:r w:rsidRPr="008F6C37">
        <w:rPr>
          <w:rFonts w:ascii="Arial Narrow" w:hAnsi="Arial Narrow" w:cs="Arial"/>
          <w:sz w:val="17"/>
          <w:szCs w:val="17"/>
          <w:lang w:val="fr-FR"/>
        </w:rPr>
        <w:t xml:space="preserve"> = indice des pratiques de conservation des eaux et des sols</w:t>
      </w:r>
    </w:p>
  </w:footnote>
  <w:footnote w:id="6">
    <w:p w14:paraId="59F9B866" w14:textId="77777777" w:rsidR="00736FE4" w:rsidRPr="008F6C37" w:rsidRDefault="00736FE4" w:rsidP="00614D69">
      <w:pPr>
        <w:spacing w:after="0" w:line="240" w:lineRule="auto"/>
        <w:rPr>
          <w:rFonts w:cs="Arial"/>
          <w:sz w:val="17"/>
          <w:szCs w:val="17"/>
          <w:lang w:val="fr-FR"/>
        </w:rPr>
      </w:pPr>
      <w:r w:rsidRPr="008F6C37">
        <w:rPr>
          <w:rStyle w:val="Appelnotedebasdep"/>
          <w:rFonts w:cs="Arial"/>
          <w:sz w:val="17"/>
          <w:szCs w:val="17"/>
        </w:rPr>
        <w:footnoteRef/>
      </w:r>
      <w:r w:rsidRPr="008F6C37">
        <w:rPr>
          <w:rFonts w:cs="Arial"/>
          <w:sz w:val="17"/>
          <w:szCs w:val="17"/>
          <w:lang w:val="fr-FR"/>
        </w:rPr>
        <w:t xml:space="preserve"> </w:t>
      </w:r>
      <w:r w:rsidRPr="008F6C37">
        <w:rPr>
          <w:rFonts w:eastAsia="Calibri" w:cs="Arial"/>
          <w:sz w:val="17"/>
          <w:szCs w:val="17"/>
          <w:lang w:val="fr-FR" w:eastAsia="fr-FR"/>
        </w:rPr>
        <w:t xml:space="preserve">IER p. 41 (2016) : « Dans le </w:t>
      </w:r>
      <w:proofErr w:type="spellStart"/>
      <w:r w:rsidRPr="008F6C37">
        <w:rPr>
          <w:rFonts w:eastAsia="Calibri" w:cs="Arial"/>
          <w:sz w:val="17"/>
          <w:szCs w:val="17"/>
          <w:lang w:val="fr-FR" w:eastAsia="fr-FR"/>
        </w:rPr>
        <w:t>Bélédougou</w:t>
      </w:r>
      <w:proofErr w:type="spellEnd"/>
      <w:r w:rsidRPr="008F6C37">
        <w:rPr>
          <w:rFonts w:eastAsia="Calibri" w:cs="Arial"/>
          <w:sz w:val="17"/>
          <w:szCs w:val="17"/>
          <w:lang w:val="fr-FR" w:eastAsia="fr-FR"/>
        </w:rPr>
        <w:t>, les pertes en terre, dans les conditions actuelles, de 3 t.ha-1.an-1 pour le bas glacis sous végétation naturelle, 24 t.ha-1.an-1 pour le bas glacis sous culture et 27 t.ha-1.an-1 pour le bas glacis à sol nu. Par contre, les pertes en terre évaluées pour certaines unités d’occupation du sol sont nettement plus faibles : 0,45 t. ha-1.an-1 pour le plateau sous savane ; 0,90 t. ha-1.an-1 pour le versant sous savane et 8,1 t. ha-1.an-1 pour le versant sous culture ».</w:t>
      </w:r>
    </w:p>
  </w:footnote>
  <w:footnote w:id="7">
    <w:p w14:paraId="5C23FE6A" w14:textId="77777777" w:rsidR="00736FE4" w:rsidRPr="008F6C37" w:rsidRDefault="00736FE4" w:rsidP="00614D69">
      <w:pPr>
        <w:pStyle w:val="Notedebasdepage"/>
        <w:spacing w:after="0"/>
        <w:rPr>
          <w:rFonts w:ascii="Arial Narrow" w:hAnsi="Arial Narrow" w:cs="Arial"/>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Capacité de charge d’un pâturage est la quantité de bétail que peut supporter le pâturage sans se détériorer </w:t>
      </w:r>
    </w:p>
  </w:footnote>
  <w:footnote w:id="8">
    <w:p w14:paraId="6BE40EC8" w14:textId="77777777" w:rsidR="00736FE4" w:rsidRPr="008F6C37" w:rsidRDefault="00736FE4" w:rsidP="00802BA9">
      <w:pPr>
        <w:pStyle w:val="Notedebasdepage"/>
        <w:spacing w:after="0"/>
        <w:rPr>
          <w:rFonts w:ascii="Arial Narrow" w:hAnsi="Arial Narrow" w:cs="Arial"/>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Estimation des ressources selon l’API (http://www.apimali.gov.ml/mines) : or : 800 tonnes, calcaire : 100 millions de tonnes, phosphates : 53 millions de tonnes, bauxite : 1,2 milliard de tonnes, fer : 1,36 milliard de tonnes dans les secteurs de Kita et </w:t>
      </w:r>
      <w:proofErr w:type="spellStart"/>
      <w:r w:rsidRPr="008F6C37">
        <w:rPr>
          <w:rFonts w:ascii="Arial Narrow" w:hAnsi="Arial Narrow" w:cs="Arial"/>
          <w:sz w:val="17"/>
          <w:szCs w:val="17"/>
          <w:lang w:val="fr-FR"/>
        </w:rPr>
        <w:t>Narena</w:t>
      </w:r>
      <w:proofErr w:type="spellEnd"/>
      <w:r w:rsidRPr="008F6C37">
        <w:rPr>
          <w:rFonts w:ascii="Arial Narrow" w:hAnsi="Arial Narrow" w:cs="Arial"/>
          <w:sz w:val="17"/>
          <w:szCs w:val="17"/>
          <w:lang w:val="fr-FR"/>
        </w:rPr>
        <w:t xml:space="preserve">, uranium : 5 000 tonnes dans le bassin de </w:t>
      </w:r>
      <w:proofErr w:type="spellStart"/>
      <w:r w:rsidRPr="008F6C37">
        <w:rPr>
          <w:rFonts w:ascii="Arial Narrow" w:hAnsi="Arial Narrow" w:cs="Arial"/>
          <w:sz w:val="17"/>
          <w:szCs w:val="17"/>
          <w:lang w:val="fr-FR"/>
        </w:rPr>
        <w:t>Faléa</w:t>
      </w:r>
      <w:proofErr w:type="spellEnd"/>
      <w:r w:rsidRPr="008F6C37">
        <w:rPr>
          <w:rFonts w:ascii="Arial Narrow" w:hAnsi="Arial Narrow" w:cs="Arial"/>
          <w:sz w:val="17"/>
          <w:szCs w:val="17"/>
          <w:lang w:val="fr-FR"/>
        </w:rPr>
        <w:t xml:space="preserve">, manganèse : 20 millions de tonnes, diamant (existence avérée dans une vingtaine de pipes </w:t>
      </w:r>
      <w:proofErr w:type="spellStart"/>
      <w:r w:rsidRPr="008F6C37">
        <w:rPr>
          <w:rFonts w:ascii="Arial Narrow" w:hAnsi="Arial Narrow" w:cs="Arial"/>
          <w:sz w:val="17"/>
          <w:szCs w:val="17"/>
          <w:lang w:val="fr-FR"/>
        </w:rPr>
        <w:t>kimberlitiques</w:t>
      </w:r>
      <w:proofErr w:type="spellEnd"/>
      <w:r w:rsidRPr="008F6C37">
        <w:rPr>
          <w:rFonts w:ascii="Arial Narrow" w:hAnsi="Arial Narrow" w:cs="Arial"/>
          <w:sz w:val="17"/>
          <w:szCs w:val="17"/>
          <w:lang w:val="fr-FR"/>
        </w:rPr>
        <w:t xml:space="preserve"> dans la zone minière de </w:t>
      </w:r>
      <w:proofErr w:type="spellStart"/>
      <w:r w:rsidRPr="008F6C37">
        <w:rPr>
          <w:rFonts w:ascii="Arial Narrow" w:hAnsi="Arial Narrow" w:cs="Arial"/>
          <w:sz w:val="17"/>
          <w:szCs w:val="17"/>
          <w:lang w:val="fr-FR"/>
        </w:rPr>
        <w:t>Kéniéba</w:t>
      </w:r>
      <w:proofErr w:type="spellEnd"/>
      <w:r w:rsidRPr="008F6C37">
        <w:rPr>
          <w:rFonts w:ascii="Arial Narrow" w:hAnsi="Arial Narrow" w:cs="Arial"/>
          <w:sz w:val="17"/>
          <w:szCs w:val="17"/>
          <w:lang w:val="fr-FR"/>
        </w:rPr>
        <w:t xml:space="preserve">) et selon PNUD (2015) : sels gemme : 198 millions de tonnes de </w:t>
      </w:r>
      <w:proofErr w:type="spellStart"/>
      <w:r w:rsidRPr="008F6C37">
        <w:rPr>
          <w:rFonts w:ascii="Arial Narrow" w:hAnsi="Arial Narrow" w:cs="Arial"/>
          <w:sz w:val="17"/>
          <w:szCs w:val="17"/>
          <w:lang w:val="fr-FR"/>
        </w:rPr>
        <w:t>mirabilite</w:t>
      </w:r>
      <w:proofErr w:type="spellEnd"/>
      <w:r w:rsidRPr="008F6C37">
        <w:rPr>
          <w:rFonts w:ascii="Arial Narrow" w:hAnsi="Arial Narrow" w:cs="Arial"/>
          <w:sz w:val="17"/>
          <w:szCs w:val="17"/>
          <w:lang w:val="fr-FR"/>
        </w:rPr>
        <w:t xml:space="preserve"> et 336 millions de tonnes de glaubérite dans la région de Taoudenni, .schistes bitumineux : 870 millions de tonnes à </w:t>
      </w:r>
      <w:proofErr w:type="spellStart"/>
      <w:r w:rsidRPr="008F6C37">
        <w:rPr>
          <w:rFonts w:ascii="Arial Narrow" w:hAnsi="Arial Narrow" w:cs="Arial"/>
          <w:sz w:val="17"/>
          <w:szCs w:val="17"/>
          <w:lang w:val="fr-FR"/>
        </w:rPr>
        <w:t>Bourem</w:t>
      </w:r>
      <w:proofErr w:type="spellEnd"/>
      <w:r w:rsidRPr="008F6C37">
        <w:rPr>
          <w:rFonts w:ascii="Arial Narrow" w:hAnsi="Arial Narrow" w:cs="Arial"/>
          <w:sz w:val="17"/>
          <w:szCs w:val="17"/>
          <w:lang w:val="fr-FR"/>
        </w:rPr>
        <w:t xml:space="preserve"> à faible teneur (17,85 litres de pétrole/t), marbre : 50,6 millions de tonnes, gypse : 370.000 tonnes (non exploité depuis 1991), cuivre-plomb-zinc : 1,7 million de tonnes (non exploité).  </w:t>
      </w:r>
    </w:p>
  </w:footnote>
  <w:footnote w:id="9">
    <w:p w14:paraId="27180C8A" w14:textId="77777777" w:rsidR="00736FE4" w:rsidRPr="008F6C37" w:rsidRDefault="00736FE4" w:rsidP="00802BA9">
      <w:pPr>
        <w:pStyle w:val="Notedebasdepage"/>
        <w:spacing w:after="0"/>
        <w:rPr>
          <w:rFonts w:ascii="Arial Narrow" w:hAnsi="Arial Narrow"/>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Identification de </w:t>
      </w:r>
      <w:r w:rsidRPr="008F6C37">
        <w:rPr>
          <w:rFonts w:ascii="Arial Narrow" w:eastAsia="Calibri" w:hAnsi="Arial Narrow" w:cs="Arial"/>
          <w:sz w:val="17"/>
          <w:szCs w:val="17"/>
          <w:lang w:val="fr-FR" w:eastAsia="fr-FR"/>
        </w:rPr>
        <w:t xml:space="preserve">5 bassins sédimentaires (Taoudéni, </w:t>
      </w:r>
      <w:proofErr w:type="spellStart"/>
      <w:r w:rsidRPr="008F6C37">
        <w:rPr>
          <w:rFonts w:ascii="Arial Narrow" w:eastAsia="Calibri" w:hAnsi="Arial Narrow" w:cs="Arial"/>
          <w:sz w:val="17"/>
          <w:szCs w:val="17"/>
          <w:lang w:val="fr-FR" w:eastAsia="fr-FR"/>
        </w:rPr>
        <w:t>Tamesna</w:t>
      </w:r>
      <w:proofErr w:type="spellEnd"/>
      <w:r w:rsidRPr="008F6C37">
        <w:rPr>
          <w:rFonts w:ascii="Arial Narrow" w:eastAsia="Calibri" w:hAnsi="Arial Narrow" w:cs="Arial"/>
          <w:sz w:val="17"/>
          <w:szCs w:val="17"/>
          <w:lang w:val="fr-FR" w:eastAsia="fr-FR"/>
        </w:rPr>
        <w:t xml:space="preserve">, </w:t>
      </w:r>
      <w:proofErr w:type="spellStart"/>
      <w:r w:rsidRPr="008F6C37">
        <w:rPr>
          <w:rFonts w:ascii="Arial Narrow" w:eastAsia="Calibri" w:hAnsi="Arial Narrow" w:cs="Arial"/>
          <w:sz w:val="17"/>
          <w:szCs w:val="17"/>
          <w:lang w:val="fr-FR" w:eastAsia="fr-FR"/>
        </w:rPr>
        <w:t>Illumeden</w:t>
      </w:r>
      <w:proofErr w:type="spellEnd"/>
      <w:r w:rsidRPr="008F6C37">
        <w:rPr>
          <w:rFonts w:ascii="Arial Narrow" w:eastAsia="Calibri" w:hAnsi="Arial Narrow" w:cs="Arial"/>
          <w:sz w:val="17"/>
          <w:szCs w:val="17"/>
          <w:lang w:val="fr-FR" w:eastAsia="fr-FR"/>
        </w:rPr>
        <w:t xml:space="preserve">, Nara et Gao) sur lesquels se répartissent 29 blocs pétroliers dont 16 ont été attribués à des compagnies nationales et 13 blocs ont été attribués à des compagnies internationales. </w:t>
      </w:r>
    </w:p>
  </w:footnote>
  <w:footnote w:id="10">
    <w:p w14:paraId="60A5C39A" w14:textId="77777777" w:rsidR="00736FE4" w:rsidRPr="008F6C37" w:rsidRDefault="00736FE4">
      <w:pPr>
        <w:pStyle w:val="Notedebasdepage"/>
        <w:rPr>
          <w:rFonts w:ascii="Arial Narrow" w:hAnsi="Arial Narrow" w:cs="Arial"/>
          <w:sz w:val="17"/>
          <w:szCs w:val="17"/>
          <w:vertAlign w:val="superscript"/>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Calcul appliqué par la mission : 1m</w:t>
      </w:r>
      <w:r w:rsidRPr="008F6C37">
        <w:rPr>
          <w:rFonts w:ascii="Arial Narrow" w:hAnsi="Arial Narrow" w:cs="Arial"/>
          <w:sz w:val="17"/>
          <w:szCs w:val="17"/>
          <w:vertAlign w:val="superscript"/>
          <w:lang w:val="fr-FR"/>
        </w:rPr>
        <w:t xml:space="preserve">3 </w:t>
      </w:r>
      <w:r w:rsidRPr="008F6C37">
        <w:rPr>
          <w:rFonts w:ascii="Arial Narrow" w:hAnsi="Arial Narrow" w:cs="Arial"/>
          <w:sz w:val="17"/>
          <w:szCs w:val="17"/>
          <w:lang w:val="fr-FR"/>
        </w:rPr>
        <w:t>du bois = 0,759 t (selon l’inventaire forestier 2014 et FONABES 2017). La base de calcul varie dans les études de la BM (1m</w:t>
      </w:r>
      <w:r w:rsidRPr="008F6C37">
        <w:rPr>
          <w:rFonts w:ascii="Arial Narrow" w:hAnsi="Arial Narrow" w:cs="Arial"/>
          <w:sz w:val="17"/>
          <w:szCs w:val="17"/>
          <w:vertAlign w:val="superscript"/>
          <w:lang w:val="fr-FR"/>
        </w:rPr>
        <w:t xml:space="preserve">3 </w:t>
      </w:r>
      <w:r w:rsidRPr="008F6C37">
        <w:rPr>
          <w:rFonts w:ascii="Arial Narrow" w:hAnsi="Arial Narrow" w:cs="Arial"/>
          <w:sz w:val="17"/>
          <w:szCs w:val="17"/>
          <w:lang w:val="fr-FR"/>
        </w:rPr>
        <w:t>du bois = 0,667 t)</w:t>
      </w:r>
    </w:p>
  </w:footnote>
  <w:footnote w:id="11">
    <w:p w14:paraId="524DD0FF" w14:textId="77777777" w:rsidR="00736FE4" w:rsidRPr="008F6C37" w:rsidRDefault="00736FE4" w:rsidP="00802BA9">
      <w:pPr>
        <w:pStyle w:val="Notedebasdepage"/>
        <w:spacing w:after="0"/>
        <w:rPr>
          <w:rFonts w:ascii="Arial Narrow" w:hAnsi="Arial Narrow" w:cs="Arial"/>
          <w:color w:val="7030A0"/>
          <w:sz w:val="17"/>
          <w:szCs w:val="17"/>
          <w:lang w:val="fr-FR"/>
        </w:rPr>
      </w:pPr>
      <w:r w:rsidRPr="008F6C37">
        <w:rPr>
          <w:rStyle w:val="Appelnotedebasdep"/>
          <w:rFonts w:ascii="Arial Narrow" w:hAnsi="Arial Narrow" w:cs="Arial"/>
          <w:color w:val="000000" w:themeColor="text1"/>
          <w:sz w:val="17"/>
          <w:szCs w:val="17"/>
        </w:rPr>
        <w:footnoteRef/>
      </w:r>
      <w:r w:rsidRPr="008F6C37">
        <w:rPr>
          <w:rFonts w:ascii="Arial Narrow" w:hAnsi="Arial Narrow" w:cs="Arial"/>
          <w:color w:val="000000" w:themeColor="text1"/>
          <w:sz w:val="17"/>
          <w:szCs w:val="17"/>
          <w:lang w:val="fr-FR"/>
        </w:rPr>
        <w:t xml:space="preserve"> Selon la SNBD de 2014 : La graminée annuelle </w:t>
      </w:r>
      <w:proofErr w:type="spellStart"/>
      <w:r w:rsidRPr="008F6C37">
        <w:rPr>
          <w:rFonts w:ascii="Arial Narrow" w:hAnsi="Arial Narrow" w:cs="Arial"/>
          <w:i/>
          <w:color w:val="000000" w:themeColor="text1"/>
          <w:sz w:val="17"/>
          <w:szCs w:val="17"/>
          <w:lang w:val="fr-FR"/>
        </w:rPr>
        <w:t>Pennisetum</w:t>
      </w:r>
      <w:proofErr w:type="spellEnd"/>
      <w:r w:rsidRPr="008F6C37">
        <w:rPr>
          <w:rFonts w:ascii="Arial Narrow" w:hAnsi="Arial Narrow" w:cs="Arial"/>
          <w:i/>
          <w:color w:val="000000" w:themeColor="text1"/>
          <w:sz w:val="17"/>
          <w:szCs w:val="17"/>
          <w:lang w:val="fr-FR"/>
        </w:rPr>
        <w:t xml:space="preserve"> </w:t>
      </w:r>
      <w:proofErr w:type="spellStart"/>
      <w:r w:rsidRPr="008F6C37">
        <w:rPr>
          <w:rFonts w:ascii="Arial Narrow" w:hAnsi="Arial Narrow" w:cs="Arial"/>
          <w:i/>
          <w:color w:val="000000" w:themeColor="text1"/>
          <w:sz w:val="17"/>
          <w:szCs w:val="17"/>
          <w:lang w:val="fr-FR"/>
        </w:rPr>
        <w:t>pedicellatum</w:t>
      </w:r>
      <w:proofErr w:type="spellEnd"/>
      <w:r w:rsidRPr="008F6C37">
        <w:rPr>
          <w:rFonts w:ascii="Arial Narrow" w:hAnsi="Arial Narrow" w:cs="Arial"/>
          <w:color w:val="000000" w:themeColor="text1"/>
          <w:sz w:val="17"/>
          <w:szCs w:val="17"/>
          <w:lang w:val="fr-FR"/>
        </w:rPr>
        <w:t xml:space="preserve"> est mentionnée en voie d’extinction.</w:t>
      </w:r>
    </w:p>
  </w:footnote>
  <w:footnote w:id="12">
    <w:p w14:paraId="0E57AF9D" w14:textId="77777777" w:rsidR="00736FE4" w:rsidRPr="008F6C37" w:rsidRDefault="00736FE4" w:rsidP="00802BA9">
      <w:pPr>
        <w:pStyle w:val="Notedebasdepage"/>
        <w:spacing w:after="0"/>
        <w:rPr>
          <w:rFonts w:ascii="Arial Narrow" w:hAnsi="Arial Narrow"/>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DNP (2012) indique une production halieutique dans le DIN qui peut aller du simple au triple (37.000 tonnes pour l’année hydrologique 1984-1985, 87.000 tonnes en 1969-70, 100.000 tonnes en 1994-1995 année exceptionnelle.</w:t>
      </w:r>
    </w:p>
  </w:footnote>
  <w:footnote w:id="13">
    <w:p w14:paraId="54F8DFDE" w14:textId="77777777" w:rsidR="00736FE4" w:rsidRPr="008F6C37" w:rsidRDefault="00736FE4" w:rsidP="00802BA9">
      <w:pPr>
        <w:pStyle w:val="Notedebasdepage"/>
        <w:spacing w:after="0"/>
        <w:rPr>
          <w:rFonts w:ascii="Arial Narrow" w:hAnsi="Arial Narrow" w:cs="Arial"/>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Etabli sur la base du RGPH de 2009.</w:t>
      </w:r>
    </w:p>
  </w:footnote>
  <w:footnote w:id="14">
    <w:p w14:paraId="6AB12C93" w14:textId="77777777" w:rsidR="00736FE4" w:rsidRPr="008F6C37" w:rsidRDefault="00736FE4" w:rsidP="00F26DE9">
      <w:pPr>
        <w:pStyle w:val="Notedebasdepage"/>
        <w:spacing w:after="0"/>
        <w:rPr>
          <w:rFonts w:ascii="Arial Narrow" w:hAnsi="Arial Narrow"/>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Projet de Gestion des Ressources Naturelles dans un contexte de CC (PGRN-CC) dont l’objectif de développement est l’amplification des bonnes pratiques de gestions durables des terres et de l’eau et la conservation de la biodiversité et le Projet d’Accroissement de la Productivité Projet Accroissement Agricole au Mali (PAPAM) visant l’accroissement de l’utilisation des pratiques durables des terres et des eaux dans les systèmes de production ciblé afin d’arrêter, réduire, inverser la tendance dans les agroécosystèmes du Mal</w:t>
      </w:r>
    </w:p>
  </w:footnote>
  <w:footnote w:id="15">
    <w:p w14:paraId="2A07F6F2" w14:textId="77777777" w:rsidR="00736FE4" w:rsidRPr="008F6C37" w:rsidRDefault="00736FE4" w:rsidP="00802BA9">
      <w:pPr>
        <w:pStyle w:val="Notedebasdepage"/>
        <w:spacing w:after="0"/>
        <w:rPr>
          <w:rFonts w:ascii="Arial Narrow" w:hAnsi="Arial Narrow" w:cs="Arial"/>
          <w:sz w:val="17"/>
          <w:szCs w:val="17"/>
          <w:lang w:val="fr-FR"/>
        </w:rPr>
      </w:pPr>
      <w:r w:rsidRPr="008F6C37">
        <w:rPr>
          <w:rStyle w:val="Appelnotedebasdep"/>
          <w:rFonts w:ascii="Arial Narrow" w:hAnsi="Arial Narrow" w:cs="Arial"/>
          <w:color w:val="7030A0"/>
          <w:sz w:val="17"/>
          <w:szCs w:val="17"/>
        </w:rPr>
        <w:footnoteRef/>
      </w:r>
      <w:r w:rsidRPr="008F6C37">
        <w:rPr>
          <w:rFonts w:ascii="Arial Narrow" w:hAnsi="Arial Narrow" w:cs="Arial"/>
          <w:color w:val="7030A0"/>
          <w:sz w:val="17"/>
          <w:szCs w:val="17"/>
          <w:lang w:val="fr-FR"/>
        </w:rPr>
        <w:t xml:space="preserve"> </w:t>
      </w:r>
      <w:r w:rsidRPr="008F6C37">
        <w:rPr>
          <w:rFonts w:ascii="Arial Narrow" w:hAnsi="Arial Narrow" w:cs="Arial"/>
          <w:sz w:val="17"/>
          <w:szCs w:val="17"/>
          <w:lang w:val="fr-FR"/>
        </w:rPr>
        <w:t xml:space="preserve">Les estimations sont faites sur la base des données du recensement national du cheptel de 1991 auxquelles ont été appliqués des taux de croît moyens annuels de 3 % pour les bovins, 5 % pour les ovins/caprins, 2 % pour les équins, 2 % pour les </w:t>
      </w:r>
      <w:proofErr w:type="spellStart"/>
      <w:r w:rsidRPr="008F6C37">
        <w:rPr>
          <w:rFonts w:ascii="Arial Narrow" w:hAnsi="Arial Narrow" w:cs="Arial"/>
          <w:sz w:val="17"/>
          <w:szCs w:val="17"/>
          <w:lang w:val="fr-FR"/>
        </w:rPr>
        <w:t>asins</w:t>
      </w:r>
      <w:proofErr w:type="spellEnd"/>
      <w:r w:rsidRPr="008F6C37">
        <w:rPr>
          <w:rFonts w:ascii="Arial Narrow" w:hAnsi="Arial Narrow" w:cs="Arial"/>
          <w:sz w:val="17"/>
          <w:szCs w:val="17"/>
          <w:lang w:val="fr-FR"/>
        </w:rPr>
        <w:t>, 2% pour les camelins et 1,2 % pour les porcins (DNPIA, 2017).</w:t>
      </w:r>
    </w:p>
  </w:footnote>
  <w:footnote w:id="16">
    <w:p w14:paraId="0E9958D7" w14:textId="77777777" w:rsidR="00736FE4" w:rsidRPr="008F6C37" w:rsidRDefault="00736FE4" w:rsidP="00802BA9">
      <w:pPr>
        <w:pStyle w:val="Notedebasdepage"/>
        <w:spacing w:after="0"/>
        <w:rPr>
          <w:rFonts w:ascii="Arial Narrow" w:hAnsi="Arial Narrow"/>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Le PRAPS a formé les agents de la DNPIA à la collecte des données par smartphone (NTIC) afin de localiser les bons pâturages et les « poches » de sécheresse.</w:t>
      </w:r>
    </w:p>
  </w:footnote>
  <w:footnote w:id="17">
    <w:p w14:paraId="2BF1E90D" w14:textId="77777777" w:rsidR="00736FE4" w:rsidRPr="00CF5281" w:rsidRDefault="00736FE4" w:rsidP="00CF5281">
      <w:pPr>
        <w:pStyle w:val="Notedebasdepage"/>
        <w:spacing w:after="0"/>
        <w:rPr>
          <w:rFonts w:ascii="Arial Narrow" w:hAnsi="Arial Narrow" w:cs="Arial"/>
          <w:sz w:val="16"/>
          <w:szCs w:val="16"/>
          <w:lang w:val="fr-FR"/>
        </w:rPr>
      </w:pPr>
      <w:r w:rsidRPr="00CF5281">
        <w:rPr>
          <w:rStyle w:val="Appelnotedebasdep"/>
          <w:rFonts w:ascii="Arial Narrow" w:hAnsi="Arial Narrow" w:cs="Arial"/>
          <w:sz w:val="16"/>
          <w:szCs w:val="16"/>
        </w:rPr>
        <w:footnoteRef/>
      </w:r>
      <w:r w:rsidRPr="00CF5281">
        <w:rPr>
          <w:rFonts w:ascii="Arial Narrow" w:hAnsi="Arial Narrow" w:cs="Arial"/>
          <w:sz w:val="16"/>
          <w:szCs w:val="16"/>
          <w:lang w:val="fr-FR"/>
        </w:rPr>
        <w:t xml:space="preserve"> 1 tonne de charbon de bois est produite après carbonisation de 7 tonnes de bois de feu</w:t>
      </w:r>
    </w:p>
  </w:footnote>
  <w:footnote w:id="18">
    <w:p w14:paraId="7A86735B" w14:textId="77777777" w:rsidR="00736FE4" w:rsidRPr="00CF5281" w:rsidRDefault="00736FE4" w:rsidP="00CF5281">
      <w:pPr>
        <w:pStyle w:val="Notedebasdepage"/>
        <w:spacing w:after="0"/>
        <w:rPr>
          <w:rFonts w:ascii="Arial Narrow" w:hAnsi="Arial Narrow"/>
          <w:sz w:val="17"/>
          <w:szCs w:val="17"/>
          <w:lang w:val="fr-FR"/>
        </w:rPr>
      </w:pPr>
      <w:r w:rsidRPr="00650720">
        <w:rPr>
          <w:rStyle w:val="Appelnotedebasdep"/>
          <w:rFonts w:ascii="Arial Narrow" w:hAnsi="Arial Narrow"/>
          <w:sz w:val="17"/>
          <w:szCs w:val="17"/>
        </w:rPr>
        <w:footnoteRef/>
      </w:r>
      <w:r w:rsidRPr="00650720">
        <w:rPr>
          <w:rFonts w:ascii="Arial Narrow" w:hAnsi="Arial Narrow"/>
          <w:sz w:val="17"/>
          <w:szCs w:val="17"/>
          <w:lang w:val="fr-FR"/>
        </w:rPr>
        <w:t xml:space="preserve"> Arrêté Interministériel N°2015-1535/MCI/MEF-SG du 05 juin 2015 fixant la liste des produits prohibés à l’importation et à l’exportation.</w:t>
      </w:r>
      <w:r w:rsidRPr="00CF5281">
        <w:rPr>
          <w:rFonts w:ascii="Arial Narrow" w:hAnsi="Arial Narrow"/>
          <w:sz w:val="17"/>
          <w:szCs w:val="17"/>
          <w:lang w:val="fr-FR"/>
        </w:rPr>
        <w:t xml:space="preserve"> </w:t>
      </w:r>
    </w:p>
  </w:footnote>
  <w:footnote w:id="19">
    <w:p w14:paraId="13046FE2" w14:textId="77777777" w:rsidR="00736FE4" w:rsidRPr="00791877" w:rsidRDefault="00736FE4">
      <w:pPr>
        <w:pStyle w:val="Notedebasdepage"/>
        <w:rPr>
          <w:rFonts w:ascii="Arial Narrow" w:hAnsi="Arial Narrow"/>
          <w:sz w:val="17"/>
          <w:szCs w:val="17"/>
          <w:lang w:val="fr-FR"/>
        </w:rPr>
      </w:pPr>
      <w:r w:rsidRPr="00791877">
        <w:rPr>
          <w:rStyle w:val="Appelnotedebasdep"/>
          <w:rFonts w:ascii="Arial Narrow" w:hAnsi="Arial Narrow"/>
          <w:sz w:val="17"/>
          <w:szCs w:val="17"/>
        </w:rPr>
        <w:footnoteRef/>
      </w:r>
      <w:r w:rsidRPr="00791877">
        <w:rPr>
          <w:rFonts w:ascii="Arial Narrow" w:hAnsi="Arial Narrow"/>
          <w:sz w:val="17"/>
          <w:szCs w:val="17"/>
          <w:lang w:val="fr-FR"/>
        </w:rPr>
        <w:t xml:space="preserve"> </w:t>
      </w:r>
      <w:r>
        <w:rPr>
          <w:rFonts w:ascii="Arial Narrow" w:hAnsi="Arial Narrow"/>
          <w:sz w:val="17"/>
          <w:szCs w:val="17"/>
          <w:lang w:val="fr-FR"/>
        </w:rPr>
        <w:t>D’autres sources (</w:t>
      </w:r>
      <w:r w:rsidRPr="00791877">
        <w:rPr>
          <w:rFonts w:ascii="Arial Narrow" w:hAnsi="Arial Narrow"/>
          <w:sz w:val="17"/>
          <w:szCs w:val="17"/>
          <w:lang w:val="fr-FR"/>
        </w:rPr>
        <w:t>inventaire de référence (CAIT) au World Ressources Institute</w:t>
      </w:r>
      <w:r>
        <w:rPr>
          <w:rFonts w:ascii="Arial Narrow" w:hAnsi="Arial Narrow"/>
          <w:sz w:val="17"/>
          <w:szCs w:val="17"/>
          <w:lang w:val="fr-FR"/>
        </w:rPr>
        <w:t>) donnent des chiffrés encore plus élevés, mettant le bilan plus au négatif.</w:t>
      </w:r>
    </w:p>
  </w:footnote>
  <w:footnote w:id="20">
    <w:p w14:paraId="2C44F477" w14:textId="77777777" w:rsidR="00736FE4" w:rsidRPr="00927D73" w:rsidRDefault="00736FE4" w:rsidP="00802BA9">
      <w:pPr>
        <w:pStyle w:val="Notedebasdepage"/>
        <w:spacing w:after="0"/>
        <w:rPr>
          <w:rFonts w:ascii="Arial Narrow" w:hAnsi="Arial Narrow"/>
          <w:sz w:val="17"/>
          <w:szCs w:val="17"/>
          <w:lang w:val="fr-FR"/>
        </w:rPr>
      </w:pPr>
      <w:r w:rsidRPr="00927D73">
        <w:rPr>
          <w:rStyle w:val="Appelnotedebasdep"/>
          <w:rFonts w:ascii="Arial Narrow" w:hAnsi="Arial Narrow"/>
          <w:sz w:val="17"/>
          <w:szCs w:val="17"/>
        </w:rPr>
        <w:footnoteRef/>
      </w:r>
      <w:r w:rsidRPr="00927D73">
        <w:rPr>
          <w:rFonts w:ascii="Arial Narrow" w:hAnsi="Arial Narrow"/>
          <w:sz w:val="17"/>
          <w:szCs w:val="17"/>
          <w:lang w:val="fr-FR"/>
        </w:rPr>
        <w:t xml:space="preserve"> Selon la dernière étude réalisée par la FAO en 2006 à travers le Programme pour des Moyens d’Existence Durables dans la Pêche en Afrique de l’Ouest (PMEDP/FAO)</w:t>
      </w:r>
    </w:p>
  </w:footnote>
  <w:footnote w:id="21">
    <w:p w14:paraId="6C633805" w14:textId="77777777" w:rsidR="00736FE4" w:rsidRPr="00927D73" w:rsidRDefault="00736FE4" w:rsidP="00802BA9">
      <w:pPr>
        <w:pStyle w:val="Notedebasdepage"/>
        <w:spacing w:after="0"/>
        <w:rPr>
          <w:rFonts w:ascii="Arial Narrow" w:hAnsi="Arial Narrow"/>
          <w:sz w:val="17"/>
          <w:szCs w:val="17"/>
          <w:lang w:val="fr-FR"/>
        </w:rPr>
      </w:pPr>
      <w:r w:rsidRPr="00927D73">
        <w:rPr>
          <w:rStyle w:val="Appelnotedebasdep"/>
          <w:rFonts w:ascii="Arial Narrow" w:hAnsi="Arial Narrow"/>
          <w:sz w:val="17"/>
          <w:szCs w:val="17"/>
        </w:rPr>
        <w:footnoteRef/>
      </w:r>
      <w:r w:rsidRPr="00927D73">
        <w:rPr>
          <w:rFonts w:ascii="Arial Narrow" w:hAnsi="Arial Narrow"/>
          <w:sz w:val="17"/>
          <w:szCs w:val="17"/>
          <w:lang w:val="fr-FR"/>
        </w:rPr>
        <w:t xml:space="preserve"> Mines en exploitation : </w:t>
      </w:r>
      <w:proofErr w:type="spellStart"/>
      <w:r w:rsidRPr="00927D73">
        <w:rPr>
          <w:rFonts w:ascii="Arial Narrow" w:hAnsi="Arial Narrow"/>
          <w:sz w:val="17"/>
          <w:szCs w:val="17"/>
          <w:lang w:val="fr-FR"/>
        </w:rPr>
        <w:t>Sadiola</w:t>
      </w:r>
      <w:proofErr w:type="spellEnd"/>
      <w:r w:rsidRPr="00927D73">
        <w:rPr>
          <w:rFonts w:ascii="Arial Narrow" w:hAnsi="Arial Narrow"/>
          <w:sz w:val="17"/>
          <w:szCs w:val="17"/>
          <w:lang w:val="fr-FR"/>
        </w:rPr>
        <w:t xml:space="preserve">, </w:t>
      </w:r>
      <w:proofErr w:type="spellStart"/>
      <w:r w:rsidRPr="00927D73">
        <w:rPr>
          <w:rFonts w:ascii="Arial Narrow" w:hAnsi="Arial Narrow"/>
          <w:sz w:val="17"/>
          <w:szCs w:val="17"/>
          <w:lang w:val="fr-FR"/>
        </w:rPr>
        <w:t>Yatéla</w:t>
      </w:r>
      <w:proofErr w:type="spellEnd"/>
      <w:r w:rsidRPr="00927D73">
        <w:rPr>
          <w:rFonts w:ascii="Arial Narrow" w:hAnsi="Arial Narrow"/>
          <w:sz w:val="17"/>
          <w:szCs w:val="17"/>
          <w:lang w:val="fr-FR"/>
        </w:rPr>
        <w:t xml:space="preserve">, </w:t>
      </w:r>
      <w:proofErr w:type="spellStart"/>
      <w:r w:rsidRPr="00927D73">
        <w:rPr>
          <w:rFonts w:ascii="Arial Narrow" w:hAnsi="Arial Narrow"/>
          <w:sz w:val="17"/>
          <w:szCs w:val="17"/>
          <w:lang w:val="fr-FR"/>
        </w:rPr>
        <w:t>Loulo</w:t>
      </w:r>
      <w:proofErr w:type="spellEnd"/>
      <w:r w:rsidRPr="00927D73">
        <w:rPr>
          <w:rFonts w:ascii="Arial Narrow" w:hAnsi="Arial Narrow"/>
          <w:sz w:val="17"/>
          <w:szCs w:val="17"/>
          <w:lang w:val="fr-FR"/>
        </w:rPr>
        <w:t>/</w:t>
      </w:r>
      <w:proofErr w:type="spellStart"/>
      <w:r w:rsidRPr="00927D73">
        <w:rPr>
          <w:rFonts w:ascii="Arial Narrow" w:hAnsi="Arial Narrow"/>
          <w:sz w:val="17"/>
          <w:szCs w:val="17"/>
          <w:lang w:val="fr-FR"/>
        </w:rPr>
        <w:t>Gounkoto</w:t>
      </w:r>
      <w:proofErr w:type="spellEnd"/>
      <w:r w:rsidRPr="00927D73">
        <w:rPr>
          <w:rFonts w:ascii="Arial Narrow" w:hAnsi="Arial Narrow"/>
          <w:sz w:val="17"/>
          <w:szCs w:val="17"/>
          <w:lang w:val="fr-FR"/>
        </w:rPr>
        <w:t xml:space="preserve">, </w:t>
      </w:r>
      <w:proofErr w:type="spellStart"/>
      <w:r w:rsidRPr="00927D73">
        <w:rPr>
          <w:rFonts w:ascii="Arial Narrow" w:hAnsi="Arial Narrow"/>
          <w:sz w:val="17"/>
          <w:szCs w:val="17"/>
          <w:lang w:val="fr-FR"/>
        </w:rPr>
        <w:t>Tabacoto</w:t>
      </w:r>
      <w:proofErr w:type="spellEnd"/>
      <w:r w:rsidRPr="00927D73">
        <w:rPr>
          <w:rFonts w:ascii="Arial Narrow" w:hAnsi="Arial Narrow"/>
          <w:sz w:val="17"/>
          <w:szCs w:val="17"/>
          <w:lang w:val="fr-FR"/>
        </w:rPr>
        <w:t xml:space="preserve">, </w:t>
      </w:r>
      <w:proofErr w:type="spellStart"/>
      <w:r w:rsidRPr="00927D73">
        <w:rPr>
          <w:rFonts w:ascii="Arial Narrow" w:hAnsi="Arial Narrow"/>
          <w:sz w:val="17"/>
          <w:szCs w:val="17"/>
          <w:lang w:val="fr-FR"/>
        </w:rPr>
        <w:t>Morila</w:t>
      </w:r>
      <w:proofErr w:type="spellEnd"/>
      <w:r w:rsidRPr="00927D73">
        <w:rPr>
          <w:rFonts w:ascii="Arial Narrow" w:hAnsi="Arial Narrow"/>
          <w:sz w:val="17"/>
          <w:szCs w:val="17"/>
          <w:lang w:val="fr-FR"/>
        </w:rPr>
        <w:t xml:space="preserve">, </w:t>
      </w:r>
      <w:proofErr w:type="spellStart"/>
      <w:r w:rsidRPr="00927D73">
        <w:rPr>
          <w:rFonts w:ascii="Arial Narrow" w:hAnsi="Arial Narrow"/>
          <w:sz w:val="17"/>
          <w:szCs w:val="17"/>
          <w:lang w:val="fr-FR"/>
        </w:rPr>
        <w:t>Syama</w:t>
      </w:r>
      <w:proofErr w:type="spellEnd"/>
      <w:r w:rsidRPr="00927D73">
        <w:rPr>
          <w:rFonts w:ascii="Arial Narrow" w:hAnsi="Arial Narrow"/>
          <w:sz w:val="17"/>
          <w:szCs w:val="17"/>
          <w:lang w:val="fr-FR"/>
        </w:rPr>
        <w:t xml:space="preserve">, </w:t>
      </w:r>
      <w:proofErr w:type="spellStart"/>
      <w:r w:rsidRPr="00927D73">
        <w:rPr>
          <w:rFonts w:ascii="Arial Narrow" w:hAnsi="Arial Narrow"/>
          <w:sz w:val="17"/>
          <w:szCs w:val="17"/>
          <w:lang w:val="fr-FR"/>
        </w:rPr>
        <w:t>Kalana</w:t>
      </w:r>
      <w:proofErr w:type="spellEnd"/>
      <w:r w:rsidRPr="00927D73">
        <w:rPr>
          <w:rFonts w:ascii="Arial Narrow" w:hAnsi="Arial Narrow"/>
          <w:sz w:val="17"/>
          <w:szCs w:val="17"/>
          <w:lang w:val="fr-FR"/>
        </w:rPr>
        <w:t xml:space="preserve">, </w:t>
      </w:r>
      <w:proofErr w:type="spellStart"/>
      <w:r w:rsidRPr="00927D73">
        <w:rPr>
          <w:rFonts w:ascii="Arial Narrow" w:hAnsi="Arial Narrow"/>
          <w:sz w:val="17"/>
          <w:szCs w:val="17"/>
          <w:lang w:val="fr-FR"/>
        </w:rPr>
        <w:t>Nampala</w:t>
      </w:r>
      <w:proofErr w:type="spellEnd"/>
      <w:r w:rsidRPr="00927D73">
        <w:rPr>
          <w:rFonts w:ascii="Arial Narrow" w:hAnsi="Arial Narrow"/>
          <w:sz w:val="17"/>
          <w:szCs w:val="17"/>
          <w:lang w:val="fr-FR"/>
        </w:rPr>
        <w:t xml:space="preserve">, </w:t>
      </w:r>
      <w:proofErr w:type="spellStart"/>
      <w:r w:rsidRPr="00927D73">
        <w:rPr>
          <w:rFonts w:ascii="Arial Narrow" w:hAnsi="Arial Narrow"/>
          <w:sz w:val="17"/>
          <w:szCs w:val="17"/>
          <w:lang w:val="fr-FR"/>
        </w:rPr>
        <w:t>Wassoul’or</w:t>
      </w:r>
      <w:proofErr w:type="spellEnd"/>
      <w:r w:rsidRPr="00927D73">
        <w:rPr>
          <w:rFonts w:ascii="Arial Narrow" w:hAnsi="Arial Narrow"/>
          <w:sz w:val="17"/>
          <w:szCs w:val="17"/>
          <w:lang w:val="fr-FR"/>
        </w:rPr>
        <w:t xml:space="preserve">, </w:t>
      </w:r>
      <w:proofErr w:type="spellStart"/>
      <w:r w:rsidRPr="00927D73">
        <w:rPr>
          <w:rFonts w:ascii="Arial Narrow" w:hAnsi="Arial Narrow"/>
          <w:sz w:val="17"/>
          <w:szCs w:val="17"/>
          <w:lang w:val="fr-FR"/>
        </w:rPr>
        <w:t>Fekola</w:t>
      </w:r>
      <w:proofErr w:type="spellEnd"/>
      <w:r w:rsidRPr="00927D73">
        <w:rPr>
          <w:rFonts w:ascii="Arial Narrow" w:hAnsi="Arial Narrow"/>
          <w:sz w:val="17"/>
          <w:szCs w:val="17"/>
          <w:lang w:val="fr-FR"/>
        </w:rPr>
        <w:t xml:space="preserve"> et Accords S.A.</w:t>
      </w:r>
    </w:p>
  </w:footnote>
  <w:footnote w:id="22">
    <w:p w14:paraId="3568F9E6" w14:textId="77777777" w:rsidR="00736FE4" w:rsidRPr="00927D73" w:rsidRDefault="00736FE4" w:rsidP="00802BA9">
      <w:pPr>
        <w:pStyle w:val="Notedebasdepage"/>
        <w:spacing w:after="0"/>
        <w:rPr>
          <w:rFonts w:ascii="Arial Narrow" w:hAnsi="Arial Narrow"/>
          <w:sz w:val="17"/>
          <w:szCs w:val="17"/>
          <w:lang w:val="fr-FR"/>
        </w:rPr>
      </w:pPr>
      <w:r w:rsidRPr="00927D73">
        <w:rPr>
          <w:rStyle w:val="Appelnotedebasdep"/>
          <w:rFonts w:ascii="Arial Narrow" w:hAnsi="Arial Narrow"/>
          <w:sz w:val="17"/>
          <w:szCs w:val="17"/>
        </w:rPr>
        <w:footnoteRef/>
      </w:r>
      <w:r w:rsidRPr="00927D73">
        <w:rPr>
          <w:rFonts w:ascii="Arial Narrow" w:hAnsi="Arial Narrow"/>
          <w:sz w:val="17"/>
          <w:szCs w:val="17"/>
          <w:lang w:val="fr-FR"/>
        </w:rPr>
        <w:t xml:space="preserve"> ITIE (2013) : En 2011, les titres d’exploitation de l’or couvraient une superficie totale de 1877,38 km².</w:t>
      </w:r>
    </w:p>
  </w:footnote>
  <w:footnote w:id="23">
    <w:p w14:paraId="1747BD8E" w14:textId="77777777" w:rsidR="00736FE4" w:rsidRPr="008F6C37" w:rsidRDefault="00736FE4" w:rsidP="00802BA9">
      <w:pPr>
        <w:pStyle w:val="Notedebasdepage"/>
        <w:spacing w:after="0"/>
        <w:rPr>
          <w:rFonts w:ascii="Arial Narrow" w:hAnsi="Arial Narrow"/>
          <w:sz w:val="17"/>
          <w:szCs w:val="17"/>
          <w:lang w:val="fr-FR"/>
        </w:rPr>
      </w:pPr>
      <w:r w:rsidRPr="008F6C37">
        <w:rPr>
          <w:rStyle w:val="Appelnotedebasdep"/>
          <w:rFonts w:ascii="Arial Narrow" w:hAnsi="Arial Narrow"/>
          <w:sz w:val="17"/>
          <w:szCs w:val="17"/>
        </w:rPr>
        <w:footnoteRef/>
      </w:r>
      <w:r w:rsidRPr="008F6C37">
        <w:rPr>
          <w:rFonts w:ascii="Arial Narrow" w:hAnsi="Arial Narrow"/>
          <w:sz w:val="17"/>
          <w:szCs w:val="17"/>
          <w:lang w:val="fr-FR"/>
        </w:rPr>
        <w:t xml:space="preserve"> Les compagnies internationales sont certifiées ISO 14001 et participent aux initiatives internationales (processus de l’ITIE, de Kimberley, de Responsabilité Sociale des Entreprises favorisant une gestion environnementale et sociale accrue par les entreprises au profit du développement humain durable des communautés locales.</w:t>
      </w:r>
    </w:p>
  </w:footnote>
  <w:footnote w:id="24">
    <w:p w14:paraId="363FB1A0" w14:textId="77777777" w:rsidR="00736FE4" w:rsidRPr="008F6C37" w:rsidRDefault="00736FE4" w:rsidP="00802BA9">
      <w:pPr>
        <w:pStyle w:val="Notedebasdepage"/>
        <w:spacing w:after="0"/>
        <w:rPr>
          <w:rFonts w:ascii="Arial Narrow" w:hAnsi="Arial Narrow"/>
          <w:sz w:val="17"/>
          <w:szCs w:val="17"/>
          <w:lang w:val="fr-FR"/>
        </w:rPr>
      </w:pPr>
      <w:r w:rsidRPr="008F6C37">
        <w:rPr>
          <w:rStyle w:val="Appelnotedebasdep"/>
          <w:rFonts w:ascii="Arial Narrow" w:hAnsi="Arial Narrow"/>
          <w:sz w:val="17"/>
          <w:szCs w:val="17"/>
        </w:rPr>
        <w:footnoteRef/>
      </w:r>
      <w:r w:rsidRPr="008F6C37">
        <w:rPr>
          <w:rFonts w:ascii="Arial Narrow" w:hAnsi="Arial Narrow"/>
          <w:sz w:val="17"/>
          <w:szCs w:val="17"/>
          <w:lang w:val="fr-FR"/>
        </w:rPr>
        <w:t xml:space="preserve"> DRAPC </w:t>
      </w:r>
      <w:proofErr w:type="spellStart"/>
      <w:r w:rsidRPr="008F6C37">
        <w:rPr>
          <w:rFonts w:ascii="Arial Narrow" w:hAnsi="Arial Narrow"/>
          <w:sz w:val="17"/>
          <w:szCs w:val="17"/>
          <w:lang w:val="fr-FR"/>
        </w:rPr>
        <w:t>Yonfolila</w:t>
      </w:r>
      <w:proofErr w:type="spellEnd"/>
      <w:r w:rsidRPr="008F6C37">
        <w:rPr>
          <w:rFonts w:ascii="Arial Narrow" w:hAnsi="Arial Narrow"/>
          <w:sz w:val="17"/>
          <w:szCs w:val="17"/>
          <w:lang w:val="fr-FR"/>
        </w:rPr>
        <w:t xml:space="preserve"> (2018) : La Société des Mines de </w:t>
      </w:r>
      <w:proofErr w:type="spellStart"/>
      <w:r w:rsidRPr="008F6C37">
        <w:rPr>
          <w:rFonts w:ascii="Arial Narrow" w:hAnsi="Arial Narrow"/>
          <w:sz w:val="17"/>
          <w:szCs w:val="17"/>
          <w:lang w:val="fr-FR"/>
        </w:rPr>
        <w:t>Komana</w:t>
      </w:r>
      <w:proofErr w:type="spellEnd"/>
      <w:r w:rsidRPr="008F6C37">
        <w:rPr>
          <w:rFonts w:ascii="Arial Narrow" w:hAnsi="Arial Narrow"/>
          <w:sz w:val="17"/>
          <w:szCs w:val="17"/>
          <w:lang w:val="fr-FR"/>
        </w:rPr>
        <w:t xml:space="preserve"> (SMK) s’est trouvée confrontée à la rupture de stock de Méta bisulfite de Sodium, produit neutralisant les cyanures. De ce fait, la teneur en cyanure du parc à boue est devenue très élevée et a occasionné la mort de 42 oiseaux (hérons et aigles) entre le 13 décembre 2017 et le 7 mai 2018.</w:t>
      </w:r>
    </w:p>
  </w:footnote>
  <w:footnote w:id="25">
    <w:p w14:paraId="448E1414" w14:textId="77777777" w:rsidR="00736FE4" w:rsidRPr="008F6C37" w:rsidRDefault="00736FE4" w:rsidP="00802BA9">
      <w:pPr>
        <w:pStyle w:val="Notedebasdepage"/>
        <w:spacing w:after="0"/>
        <w:rPr>
          <w:rFonts w:ascii="Arial Narrow" w:hAnsi="Arial Narrow" w:cs="Arial"/>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Arrêté interministériel n° 2014</w:t>
      </w:r>
      <w:r w:rsidRPr="008F6C37">
        <w:rPr>
          <w:rFonts w:ascii="Cambria Math" w:eastAsia="Calibri" w:hAnsi="Cambria Math" w:cs="Cambria Math"/>
          <w:sz w:val="17"/>
          <w:szCs w:val="17"/>
          <w:lang w:val="fr-FR"/>
        </w:rPr>
        <w:t>‐</w:t>
      </w:r>
      <w:r w:rsidRPr="008F6C37">
        <w:rPr>
          <w:rFonts w:ascii="Arial Narrow" w:hAnsi="Arial Narrow" w:cs="Arial"/>
          <w:sz w:val="17"/>
          <w:szCs w:val="17"/>
          <w:lang w:val="fr-FR"/>
        </w:rPr>
        <w:t>1663/MM</w:t>
      </w:r>
      <w:r w:rsidRPr="008F6C37">
        <w:rPr>
          <w:rFonts w:ascii="Cambria Math" w:eastAsia="Calibri" w:hAnsi="Cambria Math" w:cs="Cambria Math"/>
          <w:sz w:val="17"/>
          <w:szCs w:val="17"/>
          <w:lang w:val="fr-FR"/>
        </w:rPr>
        <w:t>‐</w:t>
      </w:r>
      <w:r w:rsidRPr="008F6C37">
        <w:rPr>
          <w:rFonts w:ascii="Arial Narrow" w:hAnsi="Arial Narrow" w:cs="Arial"/>
          <w:sz w:val="17"/>
          <w:szCs w:val="17"/>
          <w:lang w:val="fr-FR"/>
        </w:rPr>
        <w:t>MIS</w:t>
      </w:r>
      <w:r w:rsidRPr="008F6C37">
        <w:rPr>
          <w:rFonts w:ascii="Cambria Math" w:eastAsia="Calibri" w:hAnsi="Cambria Math" w:cs="Cambria Math"/>
          <w:sz w:val="17"/>
          <w:szCs w:val="17"/>
          <w:lang w:val="fr-FR"/>
        </w:rPr>
        <w:t>‐</w:t>
      </w:r>
      <w:r w:rsidRPr="008F6C37">
        <w:rPr>
          <w:rFonts w:ascii="Arial Narrow" w:hAnsi="Arial Narrow" w:cs="Arial"/>
          <w:sz w:val="17"/>
          <w:szCs w:val="17"/>
          <w:lang w:val="fr-FR"/>
        </w:rPr>
        <w:t xml:space="preserve"> MEEA</w:t>
      </w:r>
      <w:r w:rsidRPr="008F6C37">
        <w:rPr>
          <w:rFonts w:ascii="Cambria Math" w:eastAsia="Calibri" w:hAnsi="Cambria Math" w:cs="Cambria Math"/>
          <w:sz w:val="17"/>
          <w:szCs w:val="17"/>
          <w:lang w:val="fr-FR"/>
        </w:rPr>
        <w:t>‐</w:t>
      </w:r>
      <w:r w:rsidRPr="008F6C37">
        <w:rPr>
          <w:rFonts w:ascii="Arial Narrow" w:hAnsi="Arial Narrow" w:cs="Arial"/>
          <w:sz w:val="17"/>
          <w:szCs w:val="17"/>
          <w:lang w:val="fr-FR"/>
        </w:rPr>
        <w:t>MDV du 6 Juin 2014 portant interdiction de l’activité d’orpaillage pendant la période d’hivernage au Mali (15 Mai – 30 Octobre).</w:t>
      </w:r>
    </w:p>
  </w:footnote>
  <w:footnote w:id="26">
    <w:p w14:paraId="19A50BA6" w14:textId="77777777" w:rsidR="00736FE4" w:rsidRPr="008F6C37" w:rsidRDefault="00736FE4" w:rsidP="00802BA9">
      <w:pPr>
        <w:pStyle w:val="Notedebasdepage"/>
        <w:spacing w:after="0"/>
        <w:rPr>
          <w:rFonts w:ascii="Arial Narrow" w:hAnsi="Arial Narrow" w:cs="Arial"/>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Ce déséquilibre peut provoquer un alluvionnement excessif des vallées et leur asphyxie plus ou moins profonde (KEITA, 2017)</w:t>
      </w:r>
    </w:p>
  </w:footnote>
  <w:footnote w:id="27">
    <w:p w14:paraId="6BBCA49C" w14:textId="77777777" w:rsidR="00736FE4" w:rsidRPr="008F6C37" w:rsidRDefault="00736FE4" w:rsidP="00802BA9">
      <w:pPr>
        <w:pStyle w:val="Notedebasdepage"/>
        <w:spacing w:after="0"/>
        <w:rPr>
          <w:rFonts w:ascii="Arial Narrow" w:hAnsi="Arial Narrow" w:cs="Arial"/>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Les efforts régionaux, appuyés par ONUDI/PNUE depuis 2012, pour la réduction d’utilisation du mercure n’ont malheureusement pas encore eu d’impact significatif.</w:t>
      </w:r>
    </w:p>
  </w:footnote>
  <w:footnote w:id="28">
    <w:p w14:paraId="3F03F58D" w14:textId="77777777" w:rsidR="00736FE4" w:rsidRPr="008F6C37" w:rsidRDefault="00736FE4" w:rsidP="00802BA9">
      <w:pPr>
        <w:pStyle w:val="Notedebasdepage"/>
        <w:spacing w:after="0"/>
        <w:rPr>
          <w:rFonts w:ascii="Arial Narrow" w:hAnsi="Arial Narrow"/>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Les analyses du MEADD dans la région de Kayes régions (2017) montrent que les valeurs turbidités, nitrites (NO2), ammonium (NH4) dépassent largement la norme malienne de qualité.</w:t>
      </w:r>
    </w:p>
  </w:footnote>
  <w:footnote w:id="29">
    <w:p w14:paraId="15EFE5E3" w14:textId="77777777" w:rsidR="00736FE4" w:rsidRPr="00770DD7" w:rsidRDefault="00736FE4" w:rsidP="00802BA9">
      <w:pPr>
        <w:pStyle w:val="Notedebasdepage"/>
        <w:rPr>
          <w:rFonts w:ascii="Arial Narrow" w:hAnsi="Arial Narrow"/>
          <w:sz w:val="18"/>
          <w:szCs w:val="18"/>
          <w:lang w:val="fr-FR"/>
        </w:rPr>
      </w:pPr>
      <w:r w:rsidRPr="00770DD7">
        <w:rPr>
          <w:rStyle w:val="Appelnotedebasdep"/>
          <w:rFonts w:ascii="Arial Narrow" w:hAnsi="Arial Narrow"/>
          <w:sz w:val="18"/>
          <w:szCs w:val="18"/>
        </w:rPr>
        <w:footnoteRef/>
      </w:r>
      <w:r w:rsidRPr="00770DD7">
        <w:rPr>
          <w:rFonts w:ascii="Arial Narrow" w:hAnsi="Arial Narrow"/>
          <w:sz w:val="18"/>
          <w:szCs w:val="18"/>
          <w:lang w:val="fr-FR"/>
        </w:rPr>
        <w:t xml:space="preserve"> Voir glossaire</w:t>
      </w:r>
    </w:p>
  </w:footnote>
  <w:footnote w:id="30">
    <w:p w14:paraId="2F52E9C4" w14:textId="77777777" w:rsidR="00736FE4" w:rsidRPr="00BB1D74" w:rsidRDefault="00736FE4" w:rsidP="00802BA9">
      <w:pPr>
        <w:pStyle w:val="Notedebasdepage"/>
        <w:spacing w:after="0"/>
        <w:rPr>
          <w:rFonts w:ascii="Arial Narrow" w:hAnsi="Arial Narrow"/>
          <w:sz w:val="17"/>
          <w:szCs w:val="17"/>
          <w:lang w:val="fr-FR"/>
        </w:rPr>
      </w:pPr>
      <w:r w:rsidRPr="00BB1D74">
        <w:rPr>
          <w:rStyle w:val="Appelnotedebasdep"/>
          <w:rFonts w:ascii="Arial Narrow" w:hAnsi="Arial Narrow"/>
          <w:sz w:val="17"/>
          <w:szCs w:val="17"/>
        </w:rPr>
        <w:footnoteRef/>
      </w:r>
      <w:r w:rsidRPr="00BB1D74">
        <w:rPr>
          <w:rFonts w:ascii="Arial Narrow" w:hAnsi="Arial Narrow"/>
          <w:sz w:val="17"/>
          <w:szCs w:val="17"/>
          <w:lang w:val="fr-FR"/>
        </w:rPr>
        <w:t xml:space="preserve"> Mise en place du contrôle technique en 2001</w:t>
      </w:r>
    </w:p>
  </w:footnote>
  <w:footnote w:id="31">
    <w:p w14:paraId="1ADED5CD" w14:textId="77777777" w:rsidR="00736FE4" w:rsidRPr="008830B4" w:rsidRDefault="00736FE4">
      <w:pPr>
        <w:pStyle w:val="Notedebasdepage"/>
        <w:rPr>
          <w:rFonts w:ascii="Arial Narrow" w:hAnsi="Arial Narrow"/>
          <w:sz w:val="17"/>
          <w:szCs w:val="17"/>
          <w:lang w:val="fr-FR"/>
        </w:rPr>
      </w:pPr>
      <w:r w:rsidRPr="008830B4">
        <w:rPr>
          <w:rStyle w:val="Appelnotedebasdep"/>
          <w:rFonts w:ascii="Arial Narrow" w:hAnsi="Arial Narrow"/>
          <w:sz w:val="17"/>
          <w:szCs w:val="17"/>
        </w:rPr>
        <w:footnoteRef/>
      </w:r>
      <w:r w:rsidRPr="008830B4">
        <w:rPr>
          <w:rFonts w:ascii="Arial Narrow" w:hAnsi="Arial Narrow"/>
          <w:sz w:val="17"/>
          <w:szCs w:val="17"/>
          <w:lang w:val="fr-FR"/>
        </w:rPr>
        <w:t xml:space="preserve"> </w:t>
      </w:r>
      <w:r>
        <w:rPr>
          <w:rFonts w:ascii="Arial Narrow" w:hAnsi="Arial Narrow"/>
          <w:sz w:val="17"/>
          <w:szCs w:val="17"/>
          <w:lang w:val="fr-FR"/>
        </w:rPr>
        <w:t>Selon les estimations de BURGEAP (2019) uniquement 1 sur 15 motos est enregistré.</w:t>
      </w:r>
    </w:p>
  </w:footnote>
  <w:footnote w:id="32">
    <w:p w14:paraId="71BCEBE4" w14:textId="77777777" w:rsidR="00736FE4" w:rsidRPr="00105F75" w:rsidRDefault="00736FE4" w:rsidP="00105F75">
      <w:pPr>
        <w:pStyle w:val="Notedebasdepage"/>
        <w:spacing w:after="0"/>
        <w:rPr>
          <w:rFonts w:ascii="Arial Narrow" w:hAnsi="Arial Narrow"/>
          <w:sz w:val="17"/>
          <w:szCs w:val="17"/>
          <w:lang w:val="fr-FR"/>
        </w:rPr>
      </w:pPr>
      <w:r w:rsidRPr="00105F75">
        <w:rPr>
          <w:rStyle w:val="Appelnotedebasdep"/>
          <w:rFonts w:ascii="Arial Narrow" w:hAnsi="Arial Narrow"/>
          <w:sz w:val="17"/>
          <w:szCs w:val="17"/>
        </w:rPr>
        <w:footnoteRef/>
      </w:r>
      <w:r w:rsidRPr="00105F75">
        <w:rPr>
          <w:rFonts w:ascii="Arial Narrow" w:hAnsi="Arial Narrow"/>
          <w:sz w:val="17"/>
          <w:szCs w:val="17"/>
          <w:lang w:val="fr-FR"/>
        </w:rPr>
        <w:t xml:space="preserve"> Direction de régulation de la circulation et des transports urbains (2016) : 2735 accidents en 2016 contre 3485 en 2014 (moyenne de 2492 accidents pour la période 2007-2016).</w:t>
      </w:r>
    </w:p>
  </w:footnote>
  <w:footnote w:id="33">
    <w:p w14:paraId="77B28289" w14:textId="77777777" w:rsidR="00736FE4" w:rsidRPr="004B58D4" w:rsidRDefault="00736FE4" w:rsidP="004B58D4">
      <w:pPr>
        <w:pStyle w:val="Notedebasdepage"/>
        <w:spacing w:after="0"/>
        <w:rPr>
          <w:rFonts w:ascii="Arial Narrow" w:hAnsi="Arial Narrow"/>
          <w:sz w:val="17"/>
          <w:szCs w:val="17"/>
          <w:lang w:val="fr-FR"/>
        </w:rPr>
      </w:pPr>
      <w:r w:rsidRPr="000C73ED">
        <w:rPr>
          <w:rStyle w:val="Appelnotedebasdep"/>
          <w:rFonts w:ascii="Arial Narrow" w:hAnsi="Arial Narrow"/>
          <w:sz w:val="17"/>
          <w:szCs w:val="17"/>
        </w:rPr>
        <w:footnoteRef/>
      </w:r>
      <w:r w:rsidRPr="000C73ED">
        <w:rPr>
          <w:rFonts w:ascii="Arial Narrow" w:hAnsi="Arial Narrow"/>
          <w:sz w:val="17"/>
          <w:szCs w:val="17"/>
          <w:lang w:val="fr-FR"/>
        </w:rPr>
        <w:t xml:space="preserve"> L’ONG Public Eye dans son rapport « Dirty diesel » de 2016 indique des teneurs en soufre 378 fois supérieures à la limite admise en Europe</w:t>
      </w:r>
    </w:p>
  </w:footnote>
  <w:footnote w:id="34">
    <w:p w14:paraId="1646B397" w14:textId="77777777" w:rsidR="00736FE4" w:rsidRPr="00105F75" w:rsidRDefault="00736FE4" w:rsidP="00802BA9">
      <w:pPr>
        <w:pStyle w:val="Notedebasdepage"/>
        <w:spacing w:after="0"/>
        <w:rPr>
          <w:rFonts w:ascii="Arial Narrow" w:hAnsi="Arial Narrow"/>
          <w:sz w:val="17"/>
          <w:szCs w:val="17"/>
          <w:lang w:val="fr-FR"/>
        </w:rPr>
      </w:pPr>
      <w:r w:rsidRPr="00105F75">
        <w:rPr>
          <w:rStyle w:val="Appelnotedebasdep"/>
          <w:rFonts w:ascii="Arial Narrow" w:hAnsi="Arial Narrow"/>
          <w:sz w:val="17"/>
          <w:szCs w:val="17"/>
        </w:rPr>
        <w:footnoteRef/>
      </w:r>
      <w:r w:rsidRPr="00105F75">
        <w:rPr>
          <w:rFonts w:ascii="Arial Narrow" w:hAnsi="Arial Narrow"/>
          <w:sz w:val="17"/>
          <w:szCs w:val="17"/>
          <w:lang w:val="fr-FR"/>
        </w:rPr>
        <w:t xml:space="preserve"> Villes anciennes de Djenné (1988), Tombouctou (1988), Falaises de Bandiagara en pays Dogon (1989), Tombeau des Askia près de Gao (2004)</w:t>
      </w:r>
    </w:p>
  </w:footnote>
  <w:footnote w:id="35">
    <w:p w14:paraId="31645809" w14:textId="77777777" w:rsidR="00736FE4" w:rsidRPr="00105F75" w:rsidRDefault="00736FE4" w:rsidP="00802BA9">
      <w:pPr>
        <w:pStyle w:val="Notedebasdepage"/>
        <w:spacing w:after="0"/>
        <w:rPr>
          <w:rFonts w:ascii="Arial Narrow" w:hAnsi="Arial Narrow"/>
          <w:sz w:val="17"/>
          <w:szCs w:val="17"/>
          <w:lang w:val="fr-FR"/>
        </w:rPr>
      </w:pPr>
      <w:r w:rsidRPr="00105F75">
        <w:rPr>
          <w:rStyle w:val="Appelnotedebasdep"/>
          <w:rFonts w:ascii="Arial Narrow" w:hAnsi="Arial Narrow"/>
          <w:sz w:val="17"/>
          <w:szCs w:val="17"/>
        </w:rPr>
        <w:footnoteRef/>
      </w:r>
      <w:r w:rsidRPr="00105F75">
        <w:rPr>
          <w:rFonts w:ascii="Arial Narrow" w:hAnsi="Arial Narrow"/>
          <w:sz w:val="17"/>
          <w:szCs w:val="17"/>
          <w:lang w:val="fr-FR"/>
        </w:rPr>
        <w:t xml:space="preserve"> Le </w:t>
      </w:r>
      <w:proofErr w:type="spellStart"/>
      <w:r w:rsidRPr="00105F75">
        <w:rPr>
          <w:rFonts w:ascii="Arial Narrow" w:hAnsi="Arial Narrow"/>
          <w:sz w:val="17"/>
          <w:szCs w:val="17"/>
          <w:lang w:val="fr-FR"/>
        </w:rPr>
        <w:t>Sanké</w:t>
      </w:r>
      <w:proofErr w:type="spellEnd"/>
      <w:r w:rsidRPr="00105F75">
        <w:rPr>
          <w:rFonts w:ascii="Arial Narrow" w:hAnsi="Arial Narrow"/>
          <w:sz w:val="17"/>
          <w:szCs w:val="17"/>
          <w:lang w:val="fr-FR"/>
        </w:rPr>
        <w:t xml:space="preserve"> </w:t>
      </w:r>
      <w:proofErr w:type="spellStart"/>
      <w:r w:rsidRPr="00105F75">
        <w:rPr>
          <w:rFonts w:ascii="Arial Narrow" w:hAnsi="Arial Narrow"/>
          <w:sz w:val="17"/>
          <w:szCs w:val="17"/>
          <w:lang w:val="fr-FR"/>
        </w:rPr>
        <w:t>mô</w:t>
      </w:r>
      <w:proofErr w:type="spellEnd"/>
      <w:r w:rsidRPr="00105F75">
        <w:rPr>
          <w:rFonts w:ascii="Arial Narrow" w:hAnsi="Arial Narrow"/>
          <w:sz w:val="17"/>
          <w:szCs w:val="17"/>
          <w:lang w:val="fr-FR"/>
        </w:rPr>
        <w:t xml:space="preserve">, rite de pêche collective dans le </w:t>
      </w:r>
      <w:proofErr w:type="spellStart"/>
      <w:r w:rsidRPr="00105F75">
        <w:rPr>
          <w:rFonts w:ascii="Arial Narrow" w:hAnsi="Arial Narrow"/>
          <w:sz w:val="17"/>
          <w:szCs w:val="17"/>
          <w:lang w:val="fr-FR"/>
        </w:rPr>
        <w:t>Sanké</w:t>
      </w:r>
      <w:proofErr w:type="spellEnd"/>
      <w:r w:rsidRPr="00105F75">
        <w:rPr>
          <w:rFonts w:ascii="Arial Narrow" w:hAnsi="Arial Narrow"/>
          <w:sz w:val="17"/>
          <w:szCs w:val="17"/>
          <w:lang w:val="fr-FR"/>
        </w:rPr>
        <w:t xml:space="preserve"> à San (2009), La société secrète des </w:t>
      </w:r>
      <w:proofErr w:type="spellStart"/>
      <w:r w:rsidRPr="00105F75">
        <w:rPr>
          <w:rFonts w:ascii="Arial Narrow" w:hAnsi="Arial Narrow"/>
          <w:sz w:val="17"/>
          <w:szCs w:val="17"/>
          <w:lang w:val="fr-FR"/>
        </w:rPr>
        <w:t>Kôrêdugaw</w:t>
      </w:r>
      <w:proofErr w:type="spellEnd"/>
      <w:r w:rsidRPr="00105F75">
        <w:rPr>
          <w:rFonts w:ascii="Arial Narrow" w:hAnsi="Arial Narrow"/>
          <w:sz w:val="17"/>
          <w:szCs w:val="17"/>
          <w:lang w:val="fr-FR"/>
        </w:rPr>
        <w:t xml:space="preserve">, rite de sagesse du Mali (2011), </w:t>
      </w:r>
    </w:p>
  </w:footnote>
  <w:footnote w:id="36">
    <w:p w14:paraId="7192233D" w14:textId="77777777" w:rsidR="00736FE4" w:rsidRPr="007E4F5F" w:rsidRDefault="00736FE4" w:rsidP="00802BA9">
      <w:pPr>
        <w:pStyle w:val="Notedebasdepage"/>
        <w:spacing w:after="0"/>
        <w:rPr>
          <w:rFonts w:ascii="Arial Narrow" w:hAnsi="Arial Narrow"/>
          <w:sz w:val="17"/>
          <w:szCs w:val="17"/>
          <w:lang w:val="fr-FR"/>
        </w:rPr>
      </w:pPr>
      <w:r w:rsidRPr="00105F75">
        <w:rPr>
          <w:rStyle w:val="Appelnotedebasdep"/>
          <w:rFonts w:ascii="Arial Narrow" w:hAnsi="Arial Narrow"/>
          <w:sz w:val="17"/>
          <w:szCs w:val="17"/>
        </w:rPr>
        <w:footnoteRef/>
      </w:r>
      <w:r w:rsidRPr="00105F75">
        <w:rPr>
          <w:rFonts w:ascii="Arial Narrow" w:hAnsi="Arial Narrow"/>
          <w:sz w:val="17"/>
          <w:szCs w:val="17"/>
          <w:lang w:val="fr-FR"/>
        </w:rPr>
        <w:t xml:space="preserve"> </w:t>
      </w:r>
      <w:proofErr w:type="gramStart"/>
      <w:r w:rsidRPr="00105F75">
        <w:rPr>
          <w:rFonts w:ascii="Arial Narrow" w:hAnsi="Arial Narrow"/>
          <w:sz w:val="17"/>
          <w:szCs w:val="17"/>
          <w:lang w:val="fr-FR"/>
        </w:rPr>
        <w:t>espace</w:t>
      </w:r>
      <w:proofErr w:type="gramEnd"/>
      <w:r w:rsidRPr="00105F75">
        <w:rPr>
          <w:rFonts w:ascii="Arial Narrow" w:hAnsi="Arial Narrow"/>
          <w:sz w:val="17"/>
          <w:szCs w:val="17"/>
          <w:lang w:val="fr-FR"/>
        </w:rPr>
        <w:t xml:space="preserve"> culturel du </w:t>
      </w:r>
      <w:proofErr w:type="spellStart"/>
      <w:r w:rsidRPr="00105F75">
        <w:rPr>
          <w:rFonts w:ascii="Arial Narrow" w:hAnsi="Arial Narrow"/>
          <w:sz w:val="17"/>
          <w:szCs w:val="17"/>
          <w:lang w:val="fr-FR"/>
        </w:rPr>
        <w:t>Yaaral</w:t>
      </w:r>
      <w:proofErr w:type="spellEnd"/>
      <w:r w:rsidRPr="00105F75">
        <w:rPr>
          <w:rFonts w:ascii="Arial Narrow" w:hAnsi="Arial Narrow"/>
          <w:sz w:val="17"/>
          <w:szCs w:val="17"/>
          <w:lang w:val="fr-FR"/>
        </w:rPr>
        <w:t xml:space="preserve"> et du </w:t>
      </w:r>
      <w:proofErr w:type="spellStart"/>
      <w:r w:rsidRPr="00105F75">
        <w:rPr>
          <w:rFonts w:ascii="Arial Narrow" w:hAnsi="Arial Narrow"/>
          <w:sz w:val="17"/>
          <w:szCs w:val="17"/>
          <w:lang w:val="fr-FR"/>
        </w:rPr>
        <w:t>Degal</w:t>
      </w:r>
      <w:proofErr w:type="spellEnd"/>
      <w:r w:rsidRPr="00105F75">
        <w:rPr>
          <w:rFonts w:ascii="Arial Narrow" w:hAnsi="Arial Narrow"/>
          <w:sz w:val="17"/>
          <w:szCs w:val="17"/>
          <w:lang w:val="fr-FR"/>
        </w:rPr>
        <w:t xml:space="preserve"> (2008), réfection septennale du </w:t>
      </w:r>
      <w:proofErr w:type="spellStart"/>
      <w:r w:rsidRPr="00105F75">
        <w:rPr>
          <w:rFonts w:ascii="Arial Narrow" w:hAnsi="Arial Narrow"/>
          <w:sz w:val="17"/>
          <w:szCs w:val="17"/>
          <w:lang w:val="fr-FR"/>
        </w:rPr>
        <w:t>Kamabulon</w:t>
      </w:r>
      <w:proofErr w:type="spellEnd"/>
      <w:r w:rsidRPr="00105F75">
        <w:rPr>
          <w:rFonts w:ascii="Arial Narrow" w:hAnsi="Arial Narrow"/>
          <w:sz w:val="17"/>
          <w:szCs w:val="17"/>
          <w:lang w:val="fr-FR"/>
        </w:rPr>
        <w:t xml:space="preserve"> case sacrée de </w:t>
      </w:r>
      <w:proofErr w:type="spellStart"/>
      <w:r w:rsidRPr="00105F75">
        <w:rPr>
          <w:rFonts w:ascii="Arial Narrow" w:hAnsi="Arial Narrow"/>
          <w:sz w:val="17"/>
          <w:szCs w:val="17"/>
          <w:lang w:val="fr-FR"/>
        </w:rPr>
        <w:t>Kangaba</w:t>
      </w:r>
      <w:proofErr w:type="spellEnd"/>
      <w:r w:rsidRPr="00105F75">
        <w:rPr>
          <w:rFonts w:ascii="Arial Narrow" w:hAnsi="Arial Narrow"/>
          <w:sz w:val="17"/>
          <w:szCs w:val="17"/>
          <w:lang w:val="fr-FR"/>
        </w:rPr>
        <w:t xml:space="preserve"> (2010), charte du Mandé </w:t>
      </w:r>
      <w:proofErr w:type="spellStart"/>
      <w:r w:rsidRPr="007E4F5F">
        <w:rPr>
          <w:rFonts w:ascii="Arial Narrow" w:hAnsi="Arial Narrow"/>
          <w:sz w:val="17"/>
          <w:szCs w:val="17"/>
          <w:lang w:val="fr-FR"/>
        </w:rPr>
        <w:t>proclaméee</w:t>
      </w:r>
      <w:proofErr w:type="spellEnd"/>
      <w:r w:rsidRPr="007E4F5F">
        <w:rPr>
          <w:rFonts w:ascii="Arial Narrow" w:hAnsi="Arial Narrow"/>
          <w:sz w:val="17"/>
          <w:szCs w:val="17"/>
          <w:lang w:val="fr-FR"/>
        </w:rPr>
        <w:t xml:space="preserve"> à </w:t>
      </w:r>
      <w:proofErr w:type="spellStart"/>
      <w:r w:rsidRPr="007E4F5F">
        <w:rPr>
          <w:rFonts w:ascii="Arial Narrow" w:hAnsi="Arial Narrow"/>
          <w:sz w:val="17"/>
          <w:szCs w:val="17"/>
          <w:lang w:val="fr-FR"/>
        </w:rPr>
        <w:t>Kouroukan</w:t>
      </w:r>
      <w:proofErr w:type="spellEnd"/>
      <w:r w:rsidRPr="007E4F5F">
        <w:rPr>
          <w:rFonts w:ascii="Arial Narrow" w:hAnsi="Arial Narrow"/>
          <w:sz w:val="17"/>
          <w:szCs w:val="17"/>
          <w:lang w:val="fr-FR"/>
        </w:rPr>
        <w:t xml:space="preserve"> </w:t>
      </w:r>
      <w:proofErr w:type="spellStart"/>
      <w:r w:rsidRPr="007E4F5F">
        <w:rPr>
          <w:rFonts w:ascii="Arial Narrow" w:hAnsi="Arial Narrow"/>
          <w:sz w:val="17"/>
          <w:szCs w:val="17"/>
          <w:lang w:val="fr-FR"/>
        </w:rPr>
        <w:t>Fouga</w:t>
      </w:r>
      <w:proofErr w:type="spellEnd"/>
      <w:r w:rsidRPr="007E4F5F">
        <w:rPr>
          <w:rFonts w:ascii="Arial Narrow" w:hAnsi="Arial Narrow"/>
          <w:sz w:val="17"/>
          <w:szCs w:val="17"/>
          <w:lang w:val="fr-FR"/>
        </w:rPr>
        <w:t xml:space="preserve">, proclamée à </w:t>
      </w:r>
      <w:proofErr w:type="spellStart"/>
      <w:r w:rsidRPr="007E4F5F">
        <w:rPr>
          <w:rFonts w:ascii="Arial Narrow" w:hAnsi="Arial Narrow"/>
          <w:sz w:val="17"/>
          <w:szCs w:val="17"/>
          <w:lang w:val="fr-FR"/>
        </w:rPr>
        <w:t>Kurukanfuka</w:t>
      </w:r>
      <w:proofErr w:type="spellEnd"/>
      <w:r w:rsidRPr="007E4F5F">
        <w:rPr>
          <w:rFonts w:ascii="Arial Narrow" w:hAnsi="Arial Narrow"/>
          <w:sz w:val="17"/>
          <w:szCs w:val="17"/>
          <w:lang w:val="fr-FR"/>
        </w:rPr>
        <w:t xml:space="preserve"> ou charte de </w:t>
      </w:r>
      <w:proofErr w:type="spellStart"/>
      <w:r w:rsidRPr="007E4F5F">
        <w:rPr>
          <w:rFonts w:ascii="Arial Narrow" w:hAnsi="Arial Narrow"/>
          <w:sz w:val="17"/>
          <w:szCs w:val="17"/>
          <w:lang w:val="fr-FR"/>
        </w:rPr>
        <w:t>Kurunkanfuga</w:t>
      </w:r>
      <w:proofErr w:type="spellEnd"/>
      <w:r w:rsidRPr="007E4F5F">
        <w:rPr>
          <w:rFonts w:ascii="Arial Narrow" w:hAnsi="Arial Narrow"/>
          <w:sz w:val="17"/>
          <w:szCs w:val="17"/>
          <w:lang w:val="fr-FR"/>
        </w:rPr>
        <w:t xml:space="preserve"> (2010), pratiques et expressions culturelles liées au balafon des communautés Sénoufo du Mali, du Burkina Faso et de la Côte d’Ivoire (2012), les pratiques et savoirs liés à l’</w:t>
      </w:r>
      <w:proofErr w:type="spellStart"/>
      <w:r w:rsidRPr="007E4F5F">
        <w:rPr>
          <w:rFonts w:ascii="Arial Narrow" w:hAnsi="Arial Narrow"/>
          <w:sz w:val="17"/>
          <w:szCs w:val="17"/>
          <w:lang w:val="fr-FR"/>
        </w:rPr>
        <w:t>imzad</w:t>
      </w:r>
      <w:proofErr w:type="spellEnd"/>
      <w:r w:rsidRPr="007E4F5F">
        <w:rPr>
          <w:rFonts w:ascii="Arial Narrow" w:hAnsi="Arial Narrow"/>
          <w:sz w:val="17"/>
          <w:szCs w:val="17"/>
          <w:lang w:val="fr-FR"/>
        </w:rPr>
        <w:t xml:space="preserve"> des communautés touarègues du Mali (2013), la sortie des masques et marionnettes de </w:t>
      </w:r>
      <w:proofErr w:type="spellStart"/>
      <w:r w:rsidRPr="007E4F5F">
        <w:rPr>
          <w:rFonts w:ascii="Arial Narrow" w:hAnsi="Arial Narrow"/>
          <w:sz w:val="17"/>
          <w:szCs w:val="17"/>
          <w:lang w:val="fr-FR"/>
        </w:rPr>
        <w:t>Markala</w:t>
      </w:r>
      <w:proofErr w:type="spellEnd"/>
      <w:r w:rsidRPr="007E4F5F">
        <w:rPr>
          <w:rFonts w:ascii="Arial Narrow" w:hAnsi="Arial Narrow"/>
          <w:sz w:val="17"/>
          <w:szCs w:val="17"/>
          <w:lang w:val="fr-FR"/>
        </w:rPr>
        <w:t xml:space="preserve"> (2014). .</w:t>
      </w:r>
    </w:p>
  </w:footnote>
  <w:footnote w:id="37">
    <w:p w14:paraId="0E5ED06D" w14:textId="77777777" w:rsidR="00736FE4" w:rsidRPr="007E4F5F" w:rsidRDefault="00736FE4" w:rsidP="00802BA9">
      <w:pPr>
        <w:pStyle w:val="Notedebasdepage"/>
        <w:spacing w:after="0"/>
        <w:rPr>
          <w:rFonts w:ascii="Arial Narrow" w:hAnsi="Arial Narrow"/>
          <w:sz w:val="17"/>
          <w:szCs w:val="17"/>
          <w:lang w:val="fr-FR"/>
        </w:rPr>
      </w:pPr>
      <w:r w:rsidRPr="007E4F5F">
        <w:rPr>
          <w:rStyle w:val="Appelnotedebasdep"/>
          <w:rFonts w:ascii="Arial Narrow" w:hAnsi="Arial Narrow"/>
          <w:sz w:val="17"/>
          <w:szCs w:val="17"/>
        </w:rPr>
        <w:footnoteRef/>
      </w:r>
      <w:r w:rsidRPr="007E4F5F">
        <w:rPr>
          <w:rFonts w:ascii="Arial Narrow" w:hAnsi="Arial Narrow"/>
          <w:sz w:val="17"/>
          <w:szCs w:val="17"/>
          <w:lang w:val="fr-FR"/>
        </w:rPr>
        <w:t xml:space="preserve"> EGIS (2016) : En période de pluies, les débits dépassent la capacité hydraulique de la station de SOTUBA et sont partiellement évacués vers le réseau de drainage.</w:t>
      </w:r>
    </w:p>
  </w:footnote>
  <w:footnote w:id="38">
    <w:p w14:paraId="666EA369" w14:textId="77777777" w:rsidR="00736FE4" w:rsidRPr="007E4F5F" w:rsidRDefault="00736FE4" w:rsidP="00802BA9">
      <w:pPr>
        <w:pStyle w:val="Notedebasdepage"/>
        <w:spacing w:after="0"/>
        <w:rPr>
          <w:rFonts w:ascii="Arial Narrow" w:hAnsi="Arial Narrow"/>
          <w:sz w:val="17"/>
          <w:szCs w:val="17"/>
          <w:lang w:val="fr-FR"/>
        </w:rPr>
      </w:pPr>
      <w:r w:rsidRPr="007E4F5F">
        <w:rPr>
          <w:rStyle w:val="Appelnotedebasdep"/>
          <w:rFonts w:ascii="Arial Narrow" w:hAnsi="Arial Narrow"/>
          <w:sz w:val="17"/>
          <w:szCs w:val="17"/>
        </w:rPr>
        <w:footnoteRef/>
      </w:r>
      <w:r w:rsidRPr="007E4F5F">
        <w:rPr>
          <w:rFonts w:ascii="Arial Narrow" w:hAnsi="Arial Narrow"/>
          <w:sz w:val="17"/>
          <w:szCs w:val="17"/>
          <w:lang w:val="fr-FR"/>
        </w:rPr>
        <w:t xml:space="preserve"> La production annuelle de déchets solides par habitant à Bamako oscille entre 255 kg, soit 0,7 kg/jour (DNACPN-PNA, 2009) et 584 kg soit 1,6 kg/jour si l’on intègre aux déchets ménagers les déchets industriels et hospitaliers (MEA, 2008).</w:t>
      </w:r>
    </w:p>
  </w:footnote>
  <w:footnote w:id="39">
    <w:p w14:paraId="3D7FEDBA" w14:textId="77777777" w:rsidR="00736FE4" w:rsidRPr="00CA62E0" w:rsidRDefault="00736FE4" w:rsidP="00802BA9">
      <w:pPr>
        <w:pStyle w:val="Notedebasdepage"/>
        <w:spacing w:after="0"/>
        <w:rPr>
          <w:rFonts w:ascii="Arial Narrow" w:hAnsi="Arial Narrow"/>
          <w:color w:val="7030A0"/>
          <w:sz w:val="17"/>
          <w:szCs w:val="17"/>
          <w:lang w:val="fr-FR"/>
        </w:rPr>
      </w:pPr>
      <w:r w:rsidRPr="007E4F5F">
        <w:rPr>
          <w:rStyle w:val="Appelnotedebasdep"/>
          <w:rFonts w:ascii="Arial Narrow" w:hAnsi="Arial Narrow"/>
          <w:sz w:val="17"/>
          <w:szCs w:val="17"/>
        </w:rPr>
        <w:footnoteRef/>
      </w:r>
      <w:r w:rsidRPr="007E4F5F">
        <w:rPr>
          <w:rFonts w:ascii="Arial Narrow" w:hAnsi="Arial Narrow"/>
          <w:sz w:val="17"/>
          <w:szCs w:val="17"/>
          <w:lang w:val="fr-FR"/>
        </w:rPr>
        <w:t xml:space="preserve"> DSUVA (2017) : A Bamako, le dépôt de transit de </w:t>
      </w:r>
      <w:proofErr w:type="spellStart"/>
      <w:r w:rsidRPr="007E4F5F">
        <w:rPr>
          <w:rFonts w:ascii="Arial Narrow" w:hAnsi="Arial Narrow"/>
          <w:sz w:val="17"/>
          <w:szCs w:val="17"/>
          <w:lang w:val="fr-FR"/>
        </w:rPr>
        <w:t>Lafiabougou</w:t>
      </w:r>
      <w:proofErr w:type="spellEnd"/>
      <w:r w:rsidRPr="007E4F5F">
        <w:rPr>
          <w:rFonts w:ascii="Arial Narrow" w:hAnsi="Arial Narrow"/>
          <w:sz w:val="17"/>
          <w:szCs w:val="17"/>
          <w:lang w:val="fr-FR"/>
        </w:rPr>
        <w:t xml:space="preserve"> stocke environ 500.000 m³ de déchets mais seulement une fraction est évacuée par la société contractuelle (17 % fin 2016). Il en est de même pour d’autres dépôts de transit.</w:t>
      </w:r>
    </w:p>
  </w:footnote>
  <w:footnote w:id="40">
    <w:p w14:paraId="6FCFD8B3" w14:textId="77777777" w:rsidR="00736FE4" w:rsidRPr="008E7F14" w:rsidRDefault="00736FE4" w:rsidP="002B192A">
      <w:pPr>
        <w:pStyle w:val="Notedebasdepage"/>
        <w:rPr>
          <w:rFonts w:ascii="Arial Narrow" w:hAnsi="Arial Narrow"/>
          <w:sz w:val="17"/>
          <w:szCs w:val="17"/>
          <w:lang w:val="fr-FR"/>
        </w:rPr>
      </w:pPr>
      <w:r w:rsidRPr="008E7F14">
        <w:rPr>
          <w:rStyle w:val="Appelnotedebasdep"/>
          <w:rFonts w:ascii="Arial Narrow" w:hAnsi="Arial Narrow"/>
          <w:sz w:val="17"/>
          <w:szCs w:val="17"/>
        </w:rPr>
        <w:footnoteRef/>
      </w:r>
      <w:r w:rsidRPr="008E7F14">
        <w:rPr>
          <w:rFonts w:ascii="Arial Narrow" w:hAnsi="Arial Narrow"/>
          <w:sz w:val="17"/>
          <w:szCs w:val="17"/>
          <w:lang w:val="fr-FR"/>
        </w:rPr>
        <w:t xml:space="preserve"> </w:t>
      </w:r>
      <w:proofErr w:type="gramStart"/>
      <w:r w:rsidRPr="008E7F14">
        <w:rPr>
          <w:rFonts w:ascii="Arial Narrow" w:hAnsi="Arial Narrow"/>
          <w:sz w:val="17"/>
          <w:szCs w:val="17"/>
          <w:lang w:val="fr-FR"/>
        </w:rPr>
        <w:t>kTE</w:t>
      </w:r>
      <w:proofErr w:type="gramEnd"/>
      <w:r w:rsidRPr="008E7F14">
        <w:rPr>
          <w:rFonts w:ascii="Arial Narrow" w:hAnsi="Arial Narrow"/>
          <w:sz w:val="17"/>
          <w:szCs w:val="17"/>
          <w:lang w:val="fr-FR"/>
        </w:rPr>
        <w:t xml:space="preserve">-CO2 : kilo tonne équivalent CO2 ou 1000 tonnes </w:t>
      </w:r>
    </w:p>
  </w:footnote>
  <w:footnote w:id="41">
    <w:p w14:paraId="13B94CF5" w14:textId="77777777" w:rsidR="00736FE4" w:rsidRPr="008F6C37" w:rsidRDefault="00736FE4" w:rsidP="00500D2D">
      <w:pPr>
        <w:pStyle w:val="Notedebasdepage"/>
        <w:spacing w:before="120" w:after="120"/>
        <w:rPr>
          <w:rFonts w:ascii="Arial Narrow" w:hAnsi="Arial Narrow" w:cs="Arial"/>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w:t>
      </w:r>
      <w:hyperlink r:id="rId1" w:history="1">
        <w:r w:rsidRPr="008F6C37">
          <w:rPr>
            <w:rStyle w:val="Lienhypertexte"/>
            <w:rFonts w:ascii="Arial Narrow" w:hAnsi="Arial Narrow" w:cs="Arial"/>
            <w:color w:val="auto"/>
            <w:sz w:val="17"/>
            <w:szCs w:val="17"/>
            <w:lang w:val="fr-FR"/>
          </w:rPr>
          <w:t>http://hdr.undp.org/en/countries/profiles/MLI#</w:t>
        </w:r>
      </w:hyperlink>
    </w:p>
  </w:footnote>
  <w:footnote w:id="42">
    <w:p w14:paraId="46CA0548" w14:textId="77777777" w:rsidR="00736FE4" w:rsidRPr="008F6C37" w:rsidRDefault="00736FE4" w:rsidP="008F6C37">
      <w:pPr>
        <w:pStyle w:val="Notedebasdepage"/>
        <w:spacing w:after="0"/>
        <w:rPr>
          <w:rFonts w:ascii="Arial Narrow" w:hAnsi="Arial Narrow"/>
          <w:sz w:val="17"/>
          <w:szCs w:val="17"/>
          <w:lang w:val="fr-FR"/>
        </w:rPr>
      </w:pPr>
      <w:r w:rsidRPr="008F6C37">
        <w:rPr>
          <w:rStyle w:val="Appelnotedebasdep"/>
          <w:rFonts w:ascii="Arial Narrow" w:hAnsi="Arial Narrow" w:cs="Arial"/>
          <w:sz w:val="17"/>
          <w:szCs w:val="17"/>
        </w:rPr>
        <w:footnoteRef/>
      </w:r>
      <w:r w:rsidRPr="008F6C37">
        <w:rPr>
          <w:rStyle w:val="st"/>
          <w:rFonts w:ascii="Arial Narrow" w:hAnsi="Arial Narrow" w:cs="Arial"/>
          <w:sz w:val="17"/>
          <w:szCs w:val="17"/>
          <w:lang w:val="fr-FR"/>
        </w:rPr>
        <w:t xml:space="preserve">La </w:t>
      </w:r>
      <w:r w:rsidRPr="008F6C37">
        <w:rPr>
          <w:rStyle w:val="Emphase"/>
          <w:rFonts w:ascii="Arial Narrow" w:hAnsi="Arial Narrow" w:cs="Arial"/>
          <w:i w:val="0"/>
          <w:sz w:val="17"/>
          <w:szCs w:val="17"/>
          <w:lang w:val="fr-FR"/>
        </w:rPr>
        <w:t>productivité</w:t>
      </w:r>
      <w:r w:rsidRPr="008F6C37">
        <w:rPr>
          <w:rStyle w:val="st"/>
          <w:rFonts w:ascii="Arial Narrow" w:hAnsi="Arial Narrow" w:cs="Arial"/>
          <w:i/>
          <w:sz w:val="17"/>
          <w:szCs w:val="17"/>
          <w:lang w:val="fr-FR"/>
        </w:rPr>
        <w:t xml:space="preserve"> e</w:t>
      </w:r>
      <w:r w:rsidRPr="008F6C37">
        <w:rPr>
          <w:rStyle w:val="st"/>
          <w:rFonts w:ascii="Arial Narrow" w:hAnsi="Arial Narrow" w:cs="Arial"/>
          <w:sz w:val="17"/>
          <w:szCs w:val="17"/>
          <w:lang w:val="fr-FR"/>
        </w:rPr>
        <w:t xml:space="preserve">st définie comme le rapport, en volume, entre une </w:t>
      </w:r>
      <w:r w:rsidRPr="008F6C37">
        <w:rPr>
          <w:rStyle w:val="Emphase"/>
          <w:rFonts w:ascii="Arial Narrow" w:hAnsi="Arial Narrow" w:cs="Arial"/>
          <w:i w:val="0"/>
          <w:sz w:val="17"/>
          <w:szCs w:val="17"/>
          <w:lang w:val="fr-FR"/>
        </w:rPr>
        <w:t>production</w:t>
      </w:r>
      <w:r w:rsidRPr="008F6C37">
        <w:rPr>
          <w:rStyle w:val="st"/>
          <w:rFonts w:ascii="Arial Narrow" w:hAnsi="Arial Narrow" w:cs="Arial"/>
          <w:sz w:val="17"/>
          <w:szCs w:val="17"/>
          <w:lang w:val="fr-FR"/>
        </w:rPr>
        <w:t xml:space="preserve"> et les ressources mises en œuvre pour l'obtenir.</w:t>
      </w:r>
      <w:r w:rsidRPr="008F6C37">
        <w:rPr>
          <w:rFonts w:ascii="Arial Narrow" w:hAnsi="Arial Narrow"/>
          <w:sz w:val="17"/>
          <w:szCs w:val="17"/>
          <w:lang w:val="fr-FR"/>
        </w:rPr>
        <w:t xml:space="preserve"> </w:t>
      </w:r>
    </w:p>
  </w:footnote>
  <w:footnote w:id="43">
    <w:p w14:paraId="4F39706D" w14:textId="77777777" w:rsidR="00736FE4" w:rsidRPr="008F6C37" w:rsidRDefault="00736FE4" w:rsidP="008F6C37">
      <w:pPr>
        <w:pStyle w:val="Notedebasdepage"/>
        <w:spacing w:after="0"/>
        <w:rPr>
          <w:rFonts w:ascii="Arial Narrow" w:hAnsi="Arial Narrow"/>
          <w:sz w:val="17"/>
          <w:szCs w:val="17"/>
          <w:lang w:val="fr-FR"/>
        </w:rPr>
      </w:pPr>
      <w:r w:rsidRPr="008F6C37">
        <w:rPr>
          <w:rStyle w:val="Appelnotedebasdep"/>
          <w:rFonts w:ascii="Arial Narrow" w:hAnsi="Arial Narrow"/>
          <w:sz w:val="17"/>
          <w:szCs w:val="17"/>
        </w:rPr>
        <w:footnoteRef/>
      </w:r>
      <w:r w:rsidRPr="008F6C37">
        <w:rPr>
          <w:rFonts w:ascii="Arial Narrow" w:hAnsi="Arial Narrow"/>
          <w:sz w:val="17"/>
          <w:szCs w:val="17"/>
          <w:lang w:val="fr-FR"/>
        </w:rPr>
        <w:t xml:space="preserve"> Selon le manuel sur les pâturages tropicaux et les cultures fourragères (</w:t>
      </w:r>
      <w:proofErr w:type="spellStart"/>
      <w:r w:rsidRPr="008F6C37">
        <w:rPr>
          <w:rFonts w:ascii="Arial Narrow" w:hAnsi="Arial Narrow"/>
          <w:sz w:val="17"/>
          <w:szCs w:val="17"/>
          <w:lang w:val="fr-FR"/>
        </w:rPr>
        <w:t>Boudet</w:t>
      </w:r>
      <w:proofErr w:type="spellEnd"/>
      <w:r w:rsidRPr="008F6C37">
        <w:rPr>
          <w:rFonts w:ascii="Arial Narrow" w:hAnsi="Arial Narrow"/>
          <w:sz w:val="17"/>
          <w:szCs w:val="17"/>
          <w:lang w:val="fr-FR"/>
        </w:rPr>
        <w:t xml:space="preserve">, 1984), la capacité de charge d’un pâturage est la quantité de bétail (exprimé en UBT/ha ou Unité Bovin Tropicale par hectare -équivalant au L.S.U </w:t>
      </w:r>
      <w:proofErr w:type="spellStart"/>
      <w:r w:rsidRPr="008F6C37">
        <w:rPr>
          <w:rFonts w:ascii="Arial Narrow" w:hAnsi="Arial Narrow"/>
          <w:sz w:val="17"/>
          <w:szCs w:val="17"/>
          <w:lang w:val="fr-FR"/>
        </w:rPr>
        <w:t>Livestock</w:t>
      </w:r>
      <w:proofErr w:type="spellEnd"/>
      <w:r w:rsidRPr="008F6C37">
        <w:rPr>
          <w:rFonts w:ascii="Arial Narrow" w:hAnsi="Arial Narrow"/>
          <w:sz w:val="17"/>
          <w:szCs w:val="17"/>
          <w:lang w:val="fr-FR"/>
        </w:rPr>
        <w:t xml:space="preserve"> Bovin Unit- d’un bovin de 250 kg à l’entretien) que peut supporter le pâturage sans se détériorer, le bétail devant rester en bon état d’entretien, voire prendre du poids ou produire du lait pendant son séjour sur le pâturage.</w:t>
      </w:r>
    </w:p>
  </w:footnote>
  <w:footnote w:id="44">
    <w:p w14:paraId="699AD432" w14:textId="77777777" w:rsidR="00736FE4" w:rsidRPr="008F6C37" w:rsidRDefault="00736FE4" w:rsidP="008F6C37">
      <w:pPr>
        <w:pStyle w:val="Notedebasdepage"/>
        <w:spacing w:after="0"/>
        <w:rPr>
          <w:rFonts w:ascii="Arial Narrow" w:hAnsi="Arial Narrow"/>
          <w:sz w:val="17"/>
          <w:szCs w:val="17"/>
          <w:lang w:val="fr-FR"/>
        </w:rPr>
      </w:pPr>
      <w:r w:rsidRPr="008F6C37">
        <w:rPr>
          <w:rStyle w:val="Appelnotedebasdep"/>
          <w:rFonts w:ascii="Arial Narrow" w:hAnsi="Arial Narrow"/>
          <w:sz w:val="17"/>
          <w:szCs w:val="17"/>
        </w:rPr>
        <w:footnoteRef/>
      </w:r>
      <w:r w:rsidRPr="008F6C37">
        <w:rPr>
          <w:rFonts w:ascii="Arial Narrow" w:hAnsi="Arial Narrow"/>
          <w:sz w:val="17"/>
          <w:szCs w:val="17"/>
          <w:lang w:val="fr-FR"/>
        </w:rPr>
        <w:t xml:space="preserve"> Le taux d’incidence est calculé en rapportant l’incidence (nombre de nouveaux cas) pour 100.000 habitants par an.</w:t>
      </w:r>
    </w:p>
  </w:footnote>
  <w:footnote w:id="45">
    <w:p w14:paraId="73CB70C1" w14:textId="77777777" w:rsidR="00736FE4" w:rsidRPr="001D0C63" w:rsidRDefault="00736FE4" w:rsidP="00CC5C9B">
      <w:pPr>
        <w:pStyle w:val="Notedebasdepage"/>
        <w:spacing w:after="0"/>
        <w:rPr>
          <w:rFonts w:ascii="Arial Narrow" w:hAnsi="Arial Narrow"/>
          <w:sz w:val="17"/>
          <w:szCs w:val="17"/>
          <w:lang w:val="fr-FR"/>
        </w:rPr>
      </w:pPr>
      <w:r w:rsidRPr="001D0C63">
        <w:rPr>
          <w:rStyle w:val="Appelnotedebasdep"/>
          <w:rFonts w:ascii="Arial Narrow" w:hAnsi="Arial Narrow"/>
          <w:sz w:val="17"/>
          <w:szCs w:val="17"/>
        </w:rPr>
        <w:footnoteRef/>
      </w:r>
      <w:r w:rsidRPr="001D0C63">
        <w:rPr>
          <w:rFonts w:ascii="Arial Narrow" w:hAnsi="Arial Narrow"/>
          <w:sz w:val="17"/>
          <w:szCs w:val="17"/>
          <w:lang w:val="fr-FR"/>
        </w:rPr>
        <w:t xml:space="preserve"> PM10 (</w:t>
      </w:r>
      <w:proofErr w:type="spellStart"/>
      <w:r w:rsidRPr="001D0C63">
        <w:rPr>
          <w:rFonts w:ascii="Arial Narrow" w:hAnsi="Arial Narrow"/>
          <w:sz w:val="17"/>
          <w:szCs w:val="17"/>
          <w:lang w:val="fr-FR"/>
        </w:rPr>
        <w:t>Particulate</w:t>
      </w:r>
      <w:proofErr w:type="spellEnd"/>
      <w:r w:rsidRPr="001D0C63">
        <w:rPr>
          <w:rFonts w:ascii="Arial Narrow" w:hAnsi="Arial Narrow"/>
          <w:sz w:val="17"/>
          <w:szCs w:val="17"/>
          <w:lang w:val="fr-FR"/>
        </w:rPr>
        <w:t xml:space="preserve"> </w:t>
      </w:r>
      <w:proofErr w:type="spellStart"/>
      <w:r w:rsidRPr="001D0C63">
        <w:rPr>
          <w:rFonts w:ascii="Arial Narrow" w:hAnsi="Arial Narrow"/>
          <w:sz w:val="17"/>
          <w:szCs w:val="17"/>
          <w:lang w:val="fr-FR"/>
        </w:rPr>
        <w:t>Matter</w:t>
      </w:r>
      <w:proofErr w:type="spellEnd"/>
      <w:r w:rsidRPr="001D0C63">
        <w:rPr>
          <w:rFonts w:ascii="Arial Narrow" w:hAnsi="Arial Narrow"/>
          <w:sz w:val="17"/>
          <w:szCs w:val="17"/>
          <w:lang w:val="fr-FR"/>
        </w:rPr>
        <w:t xml:space="preserve"> 10) : particules dont le diamètre est inférieur à 10 micromètres</w:t>
      </w:r>
    </w:p>
  </w:footnote>
  <w:footnote w:id="46">
    <w:p w14:paraId="5EB1A036" w14:textId="77777777" w:rsidR="00736FE4" w:rsidRPr="001D0C63" w:rsidRDefault="00736FE4" w:rsidP="00DE412B">
      <w:pPr>
        <w:pStyle w:val="Notedebasdepage"/>
        <w:spacing w:after="0"/>
        <w:rPr>
          <w:rFonts w:ascii="Arial Narrow" w:hAnsi="Arial Narrow"/>
          <w:sz w:val="17"/>
          <w:szCs w:val="17"/>
          <w:lang w:val="fr-FR"/>
        </w:rPr>
      </w:pPr>
      <w:r w:rsidRPr="001D0C63">
        <w:rPr>
          <w:rStyle w:val="Appelnotedebasdep"/>
          <w:rFonts w:ascii="Arial Narrow" w:hAnsi="Arial Narrow"/>
          <w:sz w:val="17"/>
          <w:szCs w:val="17"/>
        </w:rPr>
        <w:footnoteRef/>
      </w:r>
      <w:r w:rsidRPr="001D0C63">
        <w:rPr>
          <w:rFonts w:ascii="Arial Narrow" w:hAnsi="Arial Narrow"/>
          <w:sz w:val="17"/>
          <w:szCs w:val="17"/>
          <w:lang w:val="fr-FR"/>
        </w:rPr>
        <w:t xml:space="preserve"> https://reliefweb.int/report/mali/mali-plan-de-r-ponse-humanitaire-janvier-d-cembre-2018-version-r-vis-e-juillet-2018</w:t>
      </w:r>
    </w:p>
  </w:footnote>
  <w:footnote w:id="47">
    <w:p w14:paraId="5F5C1A72" w14:textId="77777777" w:rsidR="00736FE4" w:rsidRPr="001D0C63" w:rsidRDefault="00736FE4" w:rsidP="001D0C63">
      <w:pPr>
        <w:pStyle w:val="Notedebasdepage"/>
        <w:spacing w:after="0"/>
        <w:rPr>
          <w:rFonts w:ascii="Arial Narrow" w:hAnsi="Arial Narrow"/>
          <w:sz w:val="17"/>
          <w:szCs w:val="17"/>
          <w:lang w:val="fr-FR"/>
        </w:rPr>
      </w:pPr>
      <w:r w:rsidRPr="001D0C63">
        <w:rPr>
          <w:rStyle w:val="Appelnotedebasdep"/>
          <w:rFonts w:ascii="Arial Narrow" w:hAnsi="Arial Narrow"/>
          <w:sz w:val="17"/>
          <w:szCs w:val="17"/>
        </w:rPr>
        <w:footnoteRef/>
      </w:r>
      <w:r w:rsidRPr="001D0C63">
        <w:rPr>
          <w:rFonts w:ascii="Arial Narrow" w:hAnsi="Arial Narrow"/>
          <w:sz w:val="17"/>
          <w:szCs w:val="17"/>
          <w:lang w:val="fr-FR"/>
        </w:rPr>
        <w:t xml:space="preserve"> https://www.unicef.fr/article/la-malnutrition-au-mali-une-question-de-sante-publique</w:t>
      </w:r>
    </w:p>
  </w:footnote>
  <w:footnote w:id="48">
    <w:p w14:paraId="6B6F77A8" w14:textId="77777777" w:rsidR="00736FE4" w:rsidRPr="00A437BA" w:rsidRDefault="00736FE4" w:rsidP="00802BA9">
      <w:pPr>
        <w:pStyle w:val="Notedebasdepage"/>
        <w:spacing w:after="0"/>
        <w:rPr>
          <w:rFonts w:ascii="Arial Narrow" w:hAnsi="Arial Narrow"/>
          <w:sz w:val="17"/>
          <w:szCs w:val="17"/>
          <w:lang w:val="fr-FR"/>
        </w:rPr>
      </w:pPr>
      <w:r w:rsidRPr="00A437BA">
        <w:rPr>
          <w:rStyle w:val="Appelnotedebasdep"/>
          <w:rFonts w:ascii="Arial Narrow" w:hAnsi="Arial Narrow"/>
          <w:sz w:val="17"/>
          <w:szCs w:val="17"/>
        </w:rPr>
        <w:footnoteRef/>
      </w:r>
      <w:r w:rsidRPr="00A437BA">
        <w:rPr>
          <w:rFonts w:ascii="Arial Narrow" w:hAnsi="Arial Narrow"/>
          <w:sz w:val="17"/>
          <w:szCs w:val="17"/>
          <w:lang w:val="fr-FR"/>
        </w:rPr>
        <w:t xml:space="preserve"> (SAP, 2017) : Lors de la sécheresse de 2011, 60 % des ménages n’ont rien récolté.</w:t>
      </w:r>
    </w:p>
  </w:footnote>
  <w:footnote w:id="49">
    <w:p w14:paraId="2E4E459E" w14:textId="77777777" w:rsidR="00736FE4" w:rsidRPr="008F6C37" w:rsidRDefault="00736FE4" w:rsidP="00802BA9">
      <w:pPr>
        <w:pStyle w:val="Notedebasdepage"/>
        <w:spacing w:after="0"/>
        <w:ind w:right="96"/>
        <w:rPr>
          <w:rFonts w:ascii="Arial Narrow" w:hAnsi="Arial Narrow" w:cs="Arial"/>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Les Comités de veille de crises sont basés sur des décisions normatives signées par le Gouverneur. Par exemple à Ségou, la création de la Cellule Régionale de Veille et d’Intervention en matière de Risques et de Calamités repose sur la Décision n°09-1486/GRS-CAB-CAEF.</w:t>
      </w:r>
    </w:p>
  </w:footnote>
  <w:footnote w:id="50">
    <w:p w14:paraId="0BD1934C" w14:textId="77777777" w:rsidR="00736FE4" w:rsidRPr="008F6C37" w:rsidRDefault="00736FE4" w:rsidP="00802BA9">
      <w:pPr>
        <w:pStyle w:val="Notedebasdepage"/>
        <w:spacing w:after="0"/>
        <w:rPr>
          <w:rFonts w:ascii="Arial Narrow" w:hAnsi="Arial Narrow" w:cs="Arial"/>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DAKOUO (2016) : conflits liés i) à la gestion et à l’utilisation des ressources naturelles, ii) au leadership communautaire, iii) aux modes de désignation des chefs et conseils de village par les populations locales, iv) aux relations anciennes entre maîtres et dépendants, v) au découpage territorial nés de la mise en œuvre de la décentralisation et vi) les conflits religieux marqués par des oppositions et antagonismes entre sectes et/ou courants de pensées.</w:t>
      </w:r>
    </w:p>
  </w:footnote>
  <w:footnote w:id="51">
    <w:p w14:paraId="020C765F" w14:textId="77777777" w:rsidR="00736FE4" w:rsidRPr="008F6C37" w:rsidRDefault="00736FE4" w:rsidP="00802BA9">
      <w:pPr>
        <w:pStyle w:val="Notedebasdepage"/>
        <w:spacing w:after="0"/>
        <w:rPr>
          <w:rFonts w:ascii="Arial Narrow" w:hAnsi="Arial Narrow" w:cs="Arial"/>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COWI (2016) : Conflit-types liés à l’eau avec i) Conflits " Eleveurs / Agriculteurs / Pêcheurs ", ii) d’usages liés à l’exploitation d’un cours d’eau, iii) liés à l'inter-influence entre puits ou forages, iv) à la réalisation d'une infrastructure, v) à la gestion d'un point d'eau, vi) au foncier, vii) aux cadres institutionnels multiples, viii) à la gestion de l'eau dans le Delta Intérieur du Niger et ix) conflit sur une ressource transfrontalière : le bassin du Sourou partagé entre le Mali et le Burkina-Faso.</w:t>
      </w:r>
    </w:p>
  </w:footnote>
  <w:footnote w:id="52">
    <w:p w14:paraId="3325D0FC" w14:textId="77777777" w:rsidR="00736FE4" w:rsidRPr="008F6C37" w:rsidRDefault="00736FE4" w:rsidP="00802BA9">
      <w:pPr>
        <w:pStyle w:val="Notedebasdepage"/>
        <w:spacing w:after="0"/>
        <w:rPr>
          <w:rFonts w:ascii="Arial Narrow" w:hAnsi="Arial Narrow" w:cs="Arial"/>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Le projet Tenure Facility (HELVETAS) montre que l’instauration des COFO a réduit le nombre de conflits de 25 % au niveau municipal et de 35 % au niveau des villages dans les zones pilotes.</w:t>
      </w:r>
    </w:p>
  </w:footnote>
  <w:footnote w:id="53">
    <w:p w14:paraId="4CCF2F69" w14:textId="77777777" w:rsidR="00736FE4" w:rsidRPr="008F6C37" w:rsidRDefault="00736FE4" w:rsidP="00802BA9">
      <w:pPr>
        <w:pStyle w:val="Notedebasdepage"/>
        <w:spacing w:after="0"/>
        <w:rPr>
          <w:rFonts w:ascii="Arial Narrow" w:hAnsi="Arial Narrow" w:cs="Arial"/>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L’UNESCO (2015, 2017) a collaboré avec les citoyens et les associations locales de maçons pour mener à bien la reconstruction de 14 des 16 mausolées inscrits sur la liste du Patrimoine mondial qui avaient été délibérément détruits en 2012 par des groupes extrémistes violents et a réalisé un passeport pour le patrimoine pour sensibiliser les populations locales sur la nécessité de protéger ces sites du patrimoine.</w:t>
      </w:r>
    </w:p>
  </w:footnote>
  <w:footnote w:id="54">
    <w:p w14:paraId="435AB426" w14:textId="77777777" w:rsidR="00736FE4" w:rsidRPr="008F6C37" w:rsidRDefault="00736FE4" w:rsidP="00802BA9">
      <w:pPr>
        <w:pStyle w:val="Notedebasdepage"/>
        <w:spacing w:after="0"/>
        <w:rPr>
          <w:rFonts w:ascii="Arial Narrow" w:hAnsi="Arial Narrow" w:cs="Arial"/>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PIB en 2016 (année de l’étude) s’élevait à 7608,9 milliards de FCFA (INSTAT, 2016) ou à 14,05 milliards d’USD (source Banque Mondiale)</w:t>
      </w:r>
    </w:p>
  </w:footnote>
  <w:footnote w:id="55">
    <w:p w14:paraId="09BDE9F4" w14:textId="77777777" w:rsidR="00736FE4" w:rsidRPr="008F6C37" w:rsidRDefault="00736FE4" w:rsidP="00802BA9">
      <w:pPr>
        <w:pStyle w:val="Notedebasdepage"/>
        <w:spacing w:after="0"/>
        <w:rPr>
          <w:rFonts w:ascii="Arial Narrow" w:hAnsi="Arial Narrow"/>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Remédiation ou processus de réparation</w:t>
      </w:r>
    </w:p>
  </w:footnote>
  <w:footnote w:id="56">
    <w:p w14:paraId="55C4E871" w14:textId="77777777" w:rsidR="00736FE4" w:rsidRPr="008F6C37" w:rsidRDefault="00736FE4" w:rsidP="00802BA9">
      <w:pPr>
        <w:pStyle w:val="Notedebasdepage"/>
        <w:spacing w:after="0"/>
        <w:rPr>
          <w:rFonts w:ascii="Arial Narrow" w:hAnsi="Arial Narrow" w:cs="Arial"/>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Décret n°2014-0816/P-RM portant suspension de la perception de la Taxe sur la Valeur Ajoutée, des droits et taxes sur les équipements d’énergies renouvelables à l ’importation.</w:t>
      </w:r>
    </w:p>
  </w:footnote>
  <w:footnote w:id="57">
    <w:p w14:paraId="7E1616BB" w14:textId="77777777" w:rsidR="00736FE4" w:rsidRPr="008F6C37" w:rsidRDefault="00736FE4" w:rsidP="00802BA9">
      <w:pPr>
        <w:pStyle w:val="Notedebasdepage"/>
        <w:spacing w:after="0"/>
        <w:rPr>
          <w:rFonts w:ascii="Arial Narrow" w:hAnsi="Arial Narrow" w:cs="Arial"/>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Décret N°2017-0050/PM-RM du 09 février 2017 portant création de l’Unité de Partenariat Public-Privé, l’Unité PPP est un organe consultatif qui a pour mission d’assurer la fonction d’évaluation du processus de mise en œuvre des projets de partenariat public-privé.</w:t>
      </w:r>
    </w:p>
  </w:footnote>
  <w:footnote w:id="58">
    <w:p w14:paraId="3073026A" w14:textId="77777777" w:rsidR="00736FE4" w:rsidRPr="008F6C37" w:rsidRDefault="00736FE4" w:rsidP="00802BA9">
      <w:pPr>
        <w:pStyle w:val="Notedebasdepage"/>
        <w:spacing w:after="0"/>
        <w:rPr>
          <w:rFonts w:ascii="Arial Narrow" w:hAnsi="Arial Narrow" w:cs="Arial"/>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Loi N°01-020 du 30 Mai 2001 relative aux pollutions et nuisances</w:t>
      </w:r>
    </w:p>
  </w:footnote>
  <w:footnote w:id="59">
    <w:p w14:paraId="4730675C" w14:textId="77777777" w:rsidR="00736FE4" w:rsidRPr="008F6C37" w:rsidRDefault="00736FE4" w:rsidP="00802BA9">
      <w:pPr>
        <w:pStyle w:val="Notedebasdepage"/>
        <w:spacing w:after="0"/>
        <w:rPr>
          <w:rFonts w:ascii="Arial Narrow" w:hAnsi="Arial Narrow"/>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Décret N°08-346/P-RM du 26 juin 2008, modifié par le décret N°09-318/P-RM du 26 juin 2009 portant modification du décret relatif à l’EIES</w:t>
      </w:r>
    </w:p>
  </w:footnote>
  <w:footnote w:id="60">
    <w:p w14:paraId="26FA1FDF" w14:textId="77777777" w:rsidR="00736FE4" w:rsidRPr="008F6C37" w:rsidRDefault="00736FE4" w:rsidP="00802BA9">
      <w:pPr>
        <w:pStyle w:val="Notedebasdepage"/>
        <w:spacing w:after="0"/>
        <w:rPr>
          <w:rFonts w:ascii="Arial Narrow" w:hAnsi="Arial Narrow" w:cs="Arial"/>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Arrêté interministériel N°10-1509/MEA-MIIC-MEF fixant le montant, les modalités de paiement et de gestion des frais afférents aux activités relatives à l’étude d’impact environnemental et social.</w:t>
      </w:r>
    </w:p>
  </w:footnote>
  <w:footnote w:id="61">
    <w:p w14:paraId="64A5739E" w14:textId="77777777" w:rsidR="00736FE4" w:rsidRPr="008F6C37" w:rsidRDefault="00736FE4" w:rsidP="00802BA9">
      <w:pPr>
        <w:pStyle w:val="Notedebasdepage"/>
        <w:spacing w:after="0"/>
        <w:rPr>
          <w:rFonts w:ascii="Arial Narrow" w:hAnsi="Arial Narrow" w:cs="Arial"/>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Arrêté interministériel N°2013-0258/MEA-MATDAT-SG du 29 janvier 2013 fixant les modalités de la consultation publique en matière d’EIES.  </w:t>
      </w:r>
    </w:p>
  </w:footnote>
  <w:footnote w:id="62">
    <w:p w14:paraId="3A516AC9" w14:textId="77777777" w:rsidR="00736FE4" w:rsidRPr="008F6C37" w:rsidRDefault="00736FE4" w:rsidP="00802BA9">
      <w:pPr>
        <w:pStyle w:val="Notedebasdepage"/>
        <w:spacing w:after="0"/>
        <w:rPr>
          <w:rFonts w:ascii="Arial Narrow" w:hAnsi="Arial Narrow" w:cs="Arial"/>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Décret N°10-387/P-RM du 26 juillet 2010 fixant la liste des essences forestières protégées et des essences forestières de valeur économique</w:t>
      </w:r>
    </w:p>
  </w:footnote>
  <w:footnote w:id="63">
    <w:p w14:paraId="607A7A8F" w14:textId="77777777" w:rsidR="00736FE4" w:rsidRPr="008F6C37" w:rsidRDefault="00736FE4" w:rsidP="00802BA9">
      <w:pPr>
        <w:pStyle w:val="Notedebasdepage"/>
        <w:spacing w:after="0"/>
        <w:rPr>
          <w:rFonts w:ascii="Arial Narrow" w:hAnsi="Arial Narrow" w:cs="Arial"/>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Décret 2011-637/P-RM du 20 septembre 2011 déterminant les conditions et modalités d’exercice des droits conférés par les titres d’exploitation et de transport des produits forestiers.</w:t>
      </w:r>
    </w:p>
  </w:footnote>
  <w:footnote w:id="64">
    <w:p w14:paraId="55BC9C1C" w14:textId="77777777" w:rsidR="00736FE4" w:rsidRPr="008F6C37" w:rsidRDefault="00736FE4" w:rsidP="00802BA9">
      <w:pPr>
        <w:pStyle w:val="Notedebasdepage"/>
        <w:spacing w:after="0"/>
        <w:rPr>
          <w:rFonts w:ascii="Arial Narrow" w:hAnsi="Arial Narrow" w:cs="Arial"/>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Décret N° 2014-0595-P-RM du 29 juillet 2014 fixant les modalités d’application de la loi N° 2014-024 du 3 juillet 2014 portant interdiction de la production, de l’importation et de la commercialisation de sachets plastiques non biodégradables en République du Mali</w:t>
      </w:r>
    </w:p>
  </w:footnote>
  <w:footnote w:id="65">
    <w:p w14:paraId="3FBDC80C" w14:textId="77777777" w:rsidR="00736FE4" w:rsidRPr="008F6C37" w:rsidRDefault="00736FE4" w:rsidP="00802BA9">
      <w:pPr>
        <w:pStyle w:val="Notedebasdepage"/>
        <w:spacing w:after="0"/>
        <w:rPr>
          <w:rFonts w:ascii="Arial Narrow" w:hAnsi="Arial Narrow" w:cs="Arial"/>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Loi N°08 du 28 février 2008 relative au contrôle de qualité des engrais</w:t>
      </w:r>
    </w:p>
  </w:footnote>
  <w:footnote w:id="66">
    <w:p w14:paraId="6EB04115" w14:textId="77777777" w:rsidR="00736FE4" w:rsidRPr="008F6C37" w:rsidRDefault="00736FE4" w:rsidP="00802BA9">
      <w:pPr>
        <w:pStyle w:val="Notedebasdepage"/>
        <w:spacing w:after="0"/>
        <w:rPr>
          <w:rFonts w:ascii="Arial Narrow" w:hAnsi="Arial Narrow" w:cs="Arial"/>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Loi N°08-042 du 1er décembre 2008 relative à la sécurité en biotechnologie en République du Mali.</w:t>
      </w:r>
    </w:p>
  </w:footnote>
  <w:footnote w:id="67">
    <w:p w14:paraId="7ABDC2D4" w14:textId="77777777" w:rsidR="00736FE4" w:rsidRPr="008F6C37" w:rsidRDefault="00736FE4" w:rsidP="00802BA9">
      <w:pPr>
        <w:pStyle w:val="Notedebasdepage"/>
        <w:spacing w:after="0"/>
        <w:rPr>
          <w:rFonts w:ascii="Arial Narrow" w:hAnsi="Arial Narrow" w:cs="Arial"/>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Loi N°8-033 du 11 août 2008 relative aux installations classées pour la protection de l’environnement</w:t>
      </w:r>
    </w:p>
  </w:footnote>
  <w:footnote w:id="68">
    <w:p w14:paraId="5CE83720" w14:textId="77777777" w:rsidR="00736FE4" w:rsidRPr="008F6C37" w:rsidRDefault="00736FE4" w:rsidP="00802BA9">
      <w:pPr>
        <w:pStyle w:val="Notedebasdepage"/>
        <w:spacing w:after="0"/>
        <w:rPr>
          <w:rFonts w:ascii="Arial Narrow" w:hAnsi="Arial Narrow" w:cs="Arial"/>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Décret N°2016-0006 P-RM 15 janvier 2016 instituant le Mécanisme national d’Alerte précoce et de Réponse aux risques sécuritaires.</w:t>
      </w:r>
    </w:p>
  </w:footnote>
  <w:footnote w:id="69">
    <w:p w14:paraId="5397A70F" w14:textId="77777777" w:rsidR="00736FE4" w:rsidRPr="008F6C37" w:rsidRDefault="00736FE4" w:rsidP="00802BA9">
      <w:pPr>
        <w:pStyle w:val="Notedebasdepage"/>
        <w:spacing w:after="0"/>
        <w:rPr>
          <w:rFonts w:ascii="Arial Narrow" w:hAnsi="Arial Narrow" w:cs="Arial"/>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Décret N°2017-0845/P-RM du 09 octobre 2017 portant approbation de la politique forestière nationale et son plan d’actions 2018-2022.</w:t>
      </w:r>
    </w:p>
  </w:footnote>
  <w:footnote w:id="70">
    <w:p w14:paraId="7BF0BB85" w14:textId="77777777" w:rsidR="00736FE4" w:rsidRPr="008F6C37" w:rsidRDefault="00736FE4" w:rsidP="00802BA9">
      <w:pPr>
        <w:pStyle w:val="Notedebasdepage"/>
        <w:spacing w:after="0"/>
        <w:rPr>
          <w:rFonts w:ascii="Arial Narrow" w:hAnsi="Arial Narrow"/>
          <w:color w:val="7030A0"/>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Décret N°2018-0079/P-RM du 29 janvier 2018 fixant le détail des compétences de l’Etat transférées aux collectivités territoriales en matière de gestion des ressources forestières et fauniques.</w:t>
      </w:r>
    </w:p>
  </w:footnote>
  <w:footnote w:id="71">
    <w:p w14:paraId="5D56CBAF" w14:textId="77777777" w:rsidR="00736FE4" w:rsidRPr="008F6C37" w:rsidRDefault="00736FE4" w:rsidP="00802BA9">
      <w:pPr>
        <w:pStyle w:val="Notedebasdepage"/>
        <w:spacing w:after="0"/>
        <w:rPr>
          <w:rFonts w:ascii="Arial Narrow" w:hAnsi="Arial Narrow" w:cs="Arial"/>
          <w:sz w:val="17"/>
          <w:szCs w:val="17"/>
          <w:lang w:val="fr-FR"/>
        </w:rPr>
      </w:pPr>
      <w:r w:rsidRPr="008F6C37">
        <w:rPr>
          <w:rStyle w:val="Appelnotedebasdep"/>
          <w:rFonts w:ascii="Arial Narrow" w:hAnsi="Arial Narrow" w:cs="Arial"/>
          <w:color w:val="7030A0"/>
          <w:sz w:val="17"/>
          <w:szCs w:val="17"/>
        </w:rPr>
        <w:footnoteRef/>
      </w:r>
      <w:r w:rsidRPr="008F6C37">
        <w:rPr>
          <w:rFonts w:ascii="Arial Narrow" w:hAnsi="Arial Narrow" w:cs="Arial"/>
          <w:color w:val="7030A0"/>
          <w:sz w:val="17"/>
          <w:szCs w:val="17"/>
          <w:lang w:val="fr-FR"/>
        </w:rPr>
        <w:t xml:space="preserve"> </w:t>
      </w:r>
      <w:r w:rsidRPr="008F6C37">
        <w:rPr>
          <w:rFonts w:ascii="Arial Narrow" w:hAnsi="Arial Narrow" w:cs="Arial"/>
          <w:sz w:val="17"/>
          <w:szCs w:val="17"/>
          <w:lang w:val="fr-FR"/>
        </w:rPr>
        <w:t>Ordonnance n°07-015/P-RM du 28 mars 2007, ratifié par la loi n°07-042 du 28 juin 2007.</w:t>
      </w:r>
    </w:p>
  </w:footnote>
  <w:footnote w:id="72">
    <w:p w14:paraId="65D0E7D7" w14:textId="77777777" w:rsidR="00736FE4" w:rsidRPr="008F6C37" w:rsidRDefault="00736FE4" w:rsidP="00802BA9">
      <w:pPr>
        <w:pStyle w:val="Notedebasdepage"/>
        <w:spacing w:after="0"/>
        <w:rPr>
          <w:rFonts w:ascii="Arial Narrow" w:hAnsi="Arial Narrow" w:cs="Arial"/>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Ordonnance N°02-049/P-RM du 29 mars 2002 portant création de l’Agence du Bassin du Fleuve Niger.</w:t>
      </w:r>
    </w:p>
  </w:footnote>
  <w:footnote w:id="73">
    <w:p w14:paraId="1A5B1932" w14:textId="77777777" w:rsidR="00736FE4" w:rsidRPr="008F6C37" w:rsidRDefault="00736FE4" w:rsidP="00802BA9">
      <w:pPr>
        <w:pStyle w:val="Notedebasdepage"/>
        <w:spacing w:after="0"/>
        <w:rPr>
          <w:rFonts w:ascii="Arial Narrow" w:hAnsi="Arial Narrow" w:cs="Arial"/>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Décret N°10-066/P-RM du 01 février 2010 déterminant le cadre organique de la Direction Nationale de l’Hydraulique.</w:t>
      </w:r>
    </w:p>
  </w:footnote>
  <w:footnote w:id="74">
    <w:p w14:paraId="33E250D5" w14:textId="77777777" w:rsidR="00736FE4" w:rsidRPr="008F6C37" w:rsidRDefault="00736FE4" w:rsidP="00802BA9">
      <w:pPr>
        <w:pStyle w:val="Notedebasdepage"/>
        <w:spacing w:after="0"/>
        <w:rPr>
          <w:rFonts w:ascii="Arial Narrow" w:hAnsi="Arial Narrow" w:cs="Arial"/>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Loi N°03-006 du 21 mai 2003 portant création de l’Agence Malienne pour le Développement de l’énergie domestique et de l’électrification rurale.</w:t>
      </w:r>
    </w:p>
  </w:footnote>
  <w:footnote w:id="75">
    <w:p w14:paraId="0C43C1AA" w14:textId="77777777" w:rsidR="00736FE4" w:rsidRPr="008F6C37" w:rsidRDefault="00736FE4" w:rsidP="00CA1C87">
      <w:pPr>
        <w:pStyle w:val="Notedebasdepage"/>
        <w:spacing w:after="0"/>
        <w:rPr>
          <w:rFonts w:ascii="Arial Narrow" w:hAnsi="Arial Narrow"/>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Ordonnance n°2014-012/P-RM du 1</w:t>
      </w:r>
      <w:r w:rsidRPr="008F6C37">
        <w:rPr>
          <w:rFonts w:ascii="Arial Narrow" w:hAnsi="Arial Narrow" w:cs="Arial"/>
          <w:sz w:val="17"/>
          <w:szCs w:val="17"/>
          <w:vertAlign w:val="superscript"/>
          <w:lang w:val="fr-FR"/>
        </w:rPr>
        <w:t>er</w:t>
      </w:r>
      <w:r w:rsidRPr="008F6C37">
        <w:rPr>
          <w:rFonts w:ascii="Arial Narrow" w:hAnsi="Arial Narrow" w:cs="Arial"/>
          <w:sz w:val="17"/>
          <w:szCs w:val="17"/>
          <w:lang w:val="fr-FR"/>
        </w:rPr>
        <w:t xml:space="preserve"> octobre 2014 portant création de l’Agence des Energies renouvelables du Mali (AER-Mali), ratifiée par la Loi n°2014-057 du 29 décembre 2014</w:t>
      </w:r>
      <w:r>
        <w:rPr>
          <w:rFonts w:ascii="Arial Narrow" w:hAnsi="Arial Narrow" w:cs="Arial"/>
          <w:sz w:val="17"/>
          <w:szCs w:val="17"/>
          <w:lang w:val="fr-FR"/>
        </w:rPr>
        <w:t>.</w:t>
      </w:r>
    </w:p>
  </w:footnote>
  <w:footnote w:id="76">
    <w:p w14:paraId="1E6958C6" w14:textId="77777777" w:rsidR="00736FE4" w:rsidRPr="000A1722" w:rsidRDefault="00736FE4" w:rsidP="00D1703E">
      <w:pPr>
        <w:pStyle w:val="Notedebasdepage"/>
        <w:spacing w:after="0"/>
        <w:rPr>
          <w:lang w:val="fr-FR"/>
        </w:rPr>
      </w:pPr>
      <w:r w:rsidRPr="00B84254">
        <w:rPr>
          <w:rStyle w:val="Appelnotedebasdep"/>
        </w:rPr>
        <w:footnoteRef/>
      </w:r>
      <w:r w:rsidRPr="00B84254">
        <w:rPr>
          <w:lang w:val="fr-FR"/>
        </w:rPr>
        <w:t xml:space="preserve"> </w:t>
      </w:r>
      <w:r w:rsidRPr="00B84254">
        <w:rPr>
          <w:rFonts w:ascii="Arial Narrow" w:hAnsi="Arial Narrow"/>
          <w:sz w:val="17"/>
          <w:szCs w:val="17"/>
          <w:lang w:val="fr-FR"/>
        </w:rPr>
        <w:t>Ordonnance N°2012-004/P-RM du 24 février 2012 portant création de l’Agence Nationale de la Météorologie</w:t>
      </w:r>
      <w:r w:rsidRPr="00B84254">
        <w:rPr>
          <w:lang w:val="fr-FR"/>
        </w:rPr>
        <w:t>.</w:t>
      </w:r>
    </w:p>
  </w:footnote>
  <w:footnote w:id="77">
    <w:p w14:paraId="4A7F5861" w14:textId="77777777" w:rsidR="00736FE4" w:rsidRPr="00D82C38" w:rsidRDefault="00736FE4" w:rsidP="00802BA9">
      <w:pPr>
        <w:pStyle w:val="Notedebasdepage"/>
        <w:spacing w:after="0"/>
        <w:rPr>
          <w:rFonts w:ascii="Arial Narrow" w:hAnsi="Arial Narrow"/>
          <w:color w:val="7030A0"/>
          <w:sz w:val="17"/>
          <w:szCs w:val="17"/>
          <w:lang w:val="fr-FR"/>
        </w:rPr>
      </w:pPr>
      <w:r w:rsidRPr="00066B1E">
        <w:rPr>
          <w:rStyle w:val="Appelnotedebasdep"/>
          <w:rFonts w:ascii="Arial Narrow" w:hAnsi="Arial Narrow"/>
          <w:sz w:val="17"/>
          <w:szCs w:val="17"/>
        </w:rPr>
        <w:footnoteRef/>
      </w:r>
      <w:r w:rsidRPr="00066B1E">
        <w:rPr>
          <w:rFonts w:ascii="Arial Narrow" w:hAnsi="Arial Narrow"/>
          <w:sz w:val="17"/>
          <w:szCs w:val="17"/>
          <w:lang w:val="fr-FR"/>
        </w:rPr>
        <w:t xml:space="preserve"> Décret N°007-066/P-RM du 23 février 2007 fixant l’organisation et les modalités de fonctionnement ainsi que le détail de la composition du Conseil Supérieur de l’Agriculture.</w:t>
      </w:r>
    </w:p>
  </w:footnote>
  <w:footnote w:id="78">
    <w:p w14:paraId="126E60C6" w14:textId="77777777" w:rsidR="00736FE4" w:rsidRPr="004C4A1B" w:rsidRDefault="00736FE4" w:rsidP="00802BA9">
      <w:pPr>
        <w:pStyle w:val="Notedebasdepage"/>
        <w:spacing w:after="0"/>
        <w:rPr>
          <w:rFonts w:ascii="Arial Narrow" w:hAnsi="Arial Narrow"/>
          <w:sz w:val="17"/>
          <w:szCs w:val="17"/>
          <w:lang w:val="fr-FR"/>
        </w:rPr>
      </w:pPr>
      <w:r w:rsidRPr="004C4A1B">
        <w:rPr>
          <w:rStyle w:val="Appelnotedebasdep"/>
          <w:rFonts w:ascii="Arial Narrow" w:hAnsi="Arial Narrow"/>
          <w:sz w:val="17"/>
          <w:szCs w:val="17"/>
        </w:rPr>
        <w:footnoteRef/>
      </w:r>
      <w:r w:rsidRPr="004C4A1B">
        <w:rPr>
          <w:rFonts w:ascii="Arial Narrow" w:hAnsi="Arial Narrow"/>
          <w:sz w:val="17"/>
          <w:szCs w:val="17"/>
          <w:lang w:val="fr-FR"/>
        </w:rPr>
        <w:t xml:space="preserve"> 1% en 2014 avec 10,5 milliards pour un budget de 1024,4 milliards de FCFA</w:t>
      </w:r>
    </w:p>
  </w:footnote>
  <w:footnote w:id="79">
    <w:p w14:paraId="2F83561C" w14:textId="77777777" w:rsidR="00736FE4" w:rsidRPr="00D37EAA" w:rsidRDefault="00736FE4" w:rsidP="00802BA9">
      <w:pPr>
        <w:pStyle w:val="Notedebasdepage"/>
        <w:rPr>
          <w:rFonts w:ascii="Arial Narrow" w:hAnsi="Arial Narrow"/>
          <w:color w:val="7030A0"/>
          <w:sz w:val="17"/>
          <w:szCs w:val="17"/>
          <w:lang w:val="fr-FR"/>
        </w:rPr>
      </w:pPr>
      <w:r w:rsidRPr="004C4A1B">
        <w:rPr>
          <w:rStyle w:val="Appelnotedebasdep"/>
          <w:rFonts w:ascii="Arial Narrow" w:hAnsi="Arial Narrow"/>
          <w:sz w:val="17"/>
          <w:szCs w:val="17"/>
        </w:rPr>
        <w:footnoteRef/>
      </w:r>
      <w:r w:rsidRPr="004C4A1B">
        <w:rPr>
          <w:rFonts w:ascii="Arial Narrow" w:hAnsi="Arial Narrow"/>
          <w:sz w:val="17"/>
          <w:szCs w:val="17"/>
          <w:lang w:val="fr-FR"/>
        </w:rPr>
        <w:t xml:space="preserve"> MEF (2016) p. 38 : Selon le Secrétariat à l’Harmonisation de l’Aide (SHA), à partir des données transmises par les PTF, les décaissements pour le secteur « environnement et ressources naturelles « s’élevaient à 1 % (10,5 sur 1024,4 milliards de FCFA) et les prévisions de décaissement pour les années 2015, 2016 et 2017 s’élevaient à 1,9 %.</w:t>
      </w:r>
    </w:p>
  </w:footnote>
  <w:footnote w:id="80">
    <w:p w14:paraId="5C8B4344" w14:textId="77777777" w:rsidR="00736FE4" w:rsidRPr="008F6C37" w:rsidRDefault="00736FE4" w:rsidP="00CE273B">
      <w:pPr>
        <w:pStyle w:val="Notedebasdepage"/>
        <w:spacing w:after="0"/>
        <w:rPr>
          <w:rFonts w:ascii="Arial Narrow" w:hAnsi="Arial Narrow" w:cs="Arial"/>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Loi N°01-020 du 30 mai 2001 relative aux pollutions et aux nuisances et la gestion des déchets - application du principe pollueur-payeur.</w:t>
      </w:r>
    </w:p>
  </w:footnote>
  <w:footnote w:id="81">
    <w:p w14:paraId="65A07266" w14:textId="77777777" w:rsidR="00736FE4" w:rsidRPr="008F6C37" w:rsidRDefault="00736FE4" w:rsidP="00CE273B">
      <w:pPr>
        <w:pStyle w:val="Notedebasdepage"/>
        <w:spacing w:after="0"/>
        <w:rPr>
          <w:rFonts w:ascii="Arial Narrow" w:hAnsi="Arial Narrow" w:cs="Arial"/>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http://info-matin.ml/exploitation-miniere-au-mali-un-desastre-ecologique-et-sociologique-qui-interpelle/</w:t>
      </w:r>
    </w:p>
  </w:footnote>
  <w:footnote w:id="82">
    <w:p w14:paraId="5751A612" w14:textId="77777777" w:rsidR="00736FE4" w:rsidRPr="008F6C37" w:rsidRDefault="00736FE4" w:rsidP="00CE273B">
      <w:pPr>
        <w:pStyle w:val="Notedebasdepage"/>
        <w:spacing w:after="0"/>
        <w:rPr>
          <w:rFonts w:ascii="Arial Narrow" w:hAnsi="Arial Narrow"/>
          <w:color w:val="7030A0"/>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Application pour Android </w:t>
      </w:r>
      <w:proofErr w:type="spellStart"/>
      <w:r w:rsidRPr="008F6C37">
        <w:rPr>
          <w:rFonts w:ascii="Arial Narrow" w:hAnsi="Arial Narrow" w:cs="Arial"/>
          <w:sz w:val="17"/>
          <w:szCs w:val="17"/>
          <w:lang w:val="fr-FR"/>
        </w:rPr>
        <w:t>Map</w:t>
      </w:r>
      <w:proofErr w:type="spellEnd"/>
      <w:r w:rsidRPr="008F6C37">
        <w:rPr>
          <w:rFonts w:ascii="Arial Narrow" w:hAnsi="Arial Narrow" w:cs="Arial"/>
          <w:sz w:val="17"/>
          <w:szCs w:val="17"/>
          <w:lang w:val="fr-FR"/>
        </w:rPr>
        <w:t xml:space="preserve"> Action (présenté le 20 janvier 2018 dans les locaux de l’incubateur Impact Hub), outil de collecte d’informations, d’analyse de données et de partage de données collectées et de </w:t>
      </w:r>
      <w:proofErr w:type="spellStart"/>
      <w:r w:rsidRPr="008F6C37">
        <w:rPr>
          <w:rFonts w:ascii="Arial Narrow" w:hAnsi="Arial Narrow" w:cs="Arial"/>
          <w:sz w:val="17"/>
          <w:szCs w:val="17"/>
          <w:lang w:val="fr-FR"/>
        </w:rPr>
        <w:t>géolocaliser</w:t>
      </w:r>
      <w:proofErr w:type="spellEnd"/>
      <w:r w:rsidRPr="008F6C37">
        <w:rPr>
          <w:rFonts w:ascii="Arial Narrow" w:hAnsi="Arial Narrow" w:cs="Arial"/>
          <w:sz w:val="17"/>
          <w:szCs w:val="17"/>
          <w:lang w:val="fr-FR"/>
        </w:rPr>
        <w:t xml:space="preserve"> les problèmes environnementaux que les citoyens rapportent.</w:t>
      </w:r>
    </w:p>
  </w:footnote>
  <w:footnote w:id="83">
    <w:p w14:paraId="725CD368" w14:textId="77777777" w:rsidR="00736FE4" w:rsidRPr="008F6C37" w:rsidRDefault="00736FE4" w:rsidP="00CE273B">
      <w:pPr>
        <w:pStyle w:val="Notedebasdepage"/>
        <w:spacing w:after="0"/>
        <w:rPr>
          <w:rFonts w:ascii="Arial Narrow" w:hAnsi="Arial Narrow" w:cs="Arial"/>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(INSTAT) créée par l’ordonnance no. 99</w:t>
      </w:r>
      <w:r w:rsidRPr="008F6C37">
        <w:rPr>
          <w:rFonts w:ascii="Cambria Math" w:eastAsia="Calibri" w:hAnsi="Cambria Math" w:cs="Cambria Math"/>
          <w:sz w:val="17"/>
          <w:szCs w:val="17"/>
          <w:lang w:val="fr-FR"/>
        </w:rPr>
        <w:t>‐</w:t>
      </w:r>
      <w:r w:rsidRPr="008F6C37">
        <w:rPr>
          <w:rFonts w:ascii="Arial Narrow" w:hAnsi="Arial Narrow" w:cs="Arial"/>
          <w:sz w:val="17"/>
          <w:szCs w:val="17"/>
          <w:lang w:val="fr-FR"/>
        </w:rPr>
        <w:t>016 PRM du 20 mars 2009</w:t>
      </w:r>
    </w:p>
  </w:footnote>
  <w:footnote w:id="84">
    <w:p w14:paraId="6E2738EF" w14:textId="77777777" w:rsidR="00736FE4" w:rsidRPr="008F6C37" w:rsidRDefault="00736FE4" w:rsidP="00802BA9">
      <w:pPr>
        <w:pStyle w:val="Notedebasdepage"/>
        <w:spacing w:after="0"/>
        <w:rPr>
          <w:rFonts w:ascii="Arial Narrow" w:hAnsi="Arial Narrow" w:cs="Arial"/>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Les Cellules de Planification et de la Statistique (CPS) sectorielles ont été créées par la loi N°07</w:t>
      </w:r>
      <w:r w:rsidRPr="008F6C37">
        <w:rPr>
          <w:rFonts w:ascii="Cambria Math" w:eastAsia="Calibri" w:hAnsi="Cambria Math" w:cs="Cambria Math"/>
          <w:sz w:val="17"/>
          <w:szCs w:val="17"/>
          <w:lang w:val="fr-FR"/>
        </w:rPr>
        <w:t>‐</w:t>
      </w:r>
      <w:r w:rsidRPr="008F6C37">
        <w:rPr>
          <w:rFonts w:ascii="Arial Narrow" w:hAnsi="Arial Narrow" w:cs="Arial"/>
          <w:sz w:val="17"/>
          <w:szCs w:val="17"/>
          <w:lang w:val="fr-FR"/>
        </w:rPr>
        <w:t>020 du 02 février 2007 avec son décret d’application N°07</w:t>
      </w:r>
      <w:r w:rsidRPr="008F6C37">
        <w:rPr>
          <w:rFonts w:ascii="Cambria Math" w:eastAsia="Calibri" w:hAnsi="Cambria Math" w:cs="Cambria Math"/>
          <w:sz w:val="17"/>
          <w:szCs w:val="17"/>
          <w:lang w:val="fr-FR"/>
        </w:rPr>
        <w:t>‐</w:t>
      </w:r>
      <w:r w:rsidRPr="008F6C37">
        <w:rPr>
          <w:rFonts w:ascii="Arial Narrow" w:hAnsi="Arial Narrow" w:cs="Arial"/>
          <w:sz w:val="17"/>
          <w:szCs w:val="17"/>
          <w:lang w:val="fr-FR"/>
        </w:rPr>
        <w:t>166/P</w:t>
      </w:r>
      <w:r w:rsidRPr="008F6C37">
        <w:rPr>
          <w:rFonts w:ascii="Cambria Math" w:eastAsia="Calibri" w:hAnsi="Cambria Math" w:cs="Cambria Math"/>
          <w:sz w:val="17"/>
          <w:szCs w:val="17"/>
          <w:lang w:val="fr-FR"/>
        </w:rPr>
        <w:t>‐</w:t>
      </w:r>
      <w:r w:rsidRPr="008F6C37">
        <w:rPr>
          <w:rFonts w:ascii="Arial Narrow" w:hAnsi="Arial Narrow" w:cs="Arial"/>
          <w:sz w:val="17"/>
          <w:szCs w:val="17"/>
          <w:lang w:val="fr-FR"/>
        </w:rPr>
        <w:t>RM du 28 mai 2007 fixant l’organisation et les modalités de fonctionnement des CPS. Ce décret met en place 11 CPS dont une qui s’occupe du secteur de l’environnement en occurrence la CPS du secteur Eau, Environnement, Domaine de l’État et Urbanisme.</w:t>
      </w:r>
    </w:p>
  </w:footnote>
  <w:footnote w:id="85">
    <w:p w14:paraId="71C02846" w14:textId="77777777" w:rsidR="00736FE4" w:rsidRPr="008F6C37" w:rsidRDefault="00736FE4" w:rsidP="00802BA9">
      <w:pPr>
        <w:pStyle w:val="Notedebasdepage"/>
        <w:spacing w:after="0"/>
        <w:rPr>
          <w:rFonts w:ascii="Arial Narrow" w:hAnsi="Arial Narrow"/>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w:t>
      </w:r>
      <w:r w:rsidRPr="008F6C37">
        <w:rPr>
          <w:rFonts w:ascii="Arial Narrow" w:hAnsi="Arial Narrow" w:cs="Arial"/>
          <w:b/>
          <w:sz w:val="17"/>
          <w:szCs w:val="17"/>
          <w:lang w:val="fr-FR"/>
        </w:rPr>
        <w:t>ODD6</w:t>
      </w:r>
      <w:r w:rsidRPr="008F6C37">
        <w:rPr>
          <w:rFonts w:ascii="Arial Narrow" w:hAnsi="Arial Narrow" w:cs="Arial"/>
          <w:sz w:val="17"/>
          <w:szCs w:val="17"/>
          <w:lang w:val="fr-FR"/>
        </w:rPr>
        <w:t xml:space="preserve"> : Garantir l’accès de tous à des services d’alimentation en eau et d’assainissement gérés de façon durable, </w:t>
      </w:r>
      <w:r w:rsidRPr="008F6C37">
        <w:rPr>
          <w:rFonts w:ascii="Arial Narrow" w:hAnsi="Arial Narrow" w:cs="Arial"/>
          <w:b/>
          <w:sz w:val="17"/>
          <w:szCs w:val="17"/>
          <w:lang w:val="fr-FR"/>
        </w:rPr>
        <w:t xml:space="preserve">ODD7 </w:t>
      </w:r>
      <w:r w:rsidRPr="008F6C37">
        <w:rPr>
          <w:rFonts w:ascii="Arial Narrow" w:hAnsi="Arial Narrow" w:cs="Arial"/>
          <w:sz w:val="17"/>
          <w:szCs w:val="17"/>
          <w:lang w:val="fr-FR"/>
        </w:rPr>
        <w:t xml:space="preserve">: Garantir l’accès de tous à des services énergétiques fiables, durables et modernes, à un coût abordable, </w:t>
      </w:r>
      <w:r w:rsidRPr="008F6C37">
        <w:rPr>
          <w:rFonts w:ascii="Arial Narrow" w:hAnsi="Arial Narrow" w:cs="Arial"/>
          <w:b/>
          <w:sz w:val="17"/>
          <w:szCs w:val="17"/>
          <w:lang w:val="fr-FR"/>
        </w:rPr>
        <w:t>ODD11</w:t>
      </w:r>
      <w:r w:rsidRPr="008F6C37">
        <w:rPr>
          <w:rFonts w:ascii="Arial Narrow" w:hAnsi="Arial Narrow" w:cs="Arial"/>
          <w:sz w:val="17"/>
          <w:szCs w:val="17"/>
          <w:lang w:val="fr-FR"/>
        </w:rPr>
        <w:t xml:space="preserve"> : Faire en sorte que les villes et les établissements humains soient ouverts à tous, sûrs, résilients et durables, </w:t>
      </w:r>
      <w:r w:rsidRPr="008F6C37">
        <w:rPr>
          <w:rFonts w:ascii="Arial Narrow" w:hAnsi="Arial Narrow" w:cs="Arial"/>
          <w:b/>
          <w:sz w:val="17"/>
          <w:szCs w:val="17"/>
          <w:lang w:val="fr-FR"/>
        </w:rPr>
        <w:t xml:space="preserve">ODD 12 </w:t>
      </w:r>
      <w:r w:rsidRPr="008F6C37">
        <w:rPr>
          <w:rFonts w:ascii="Arial Narrow" w:hAnsi="Arial Narrow" w:cs="Arial"/>
          <w:sz w:val="17"/>
          <w:szCs w:val="17"/>
          <w:lang w:val="fr-FR"/>
        </w:rPr>
        <w:t xml:space="preserve">: Établir des modes de consommation et de production durables, </w:t>
      </w:r>
      <w:r w:rsidRPr="008F6C37">
        <w:rPr>
          <w:rFonts w:ascii="Arial Narrow" w:hAnsi="Arial Narrow" w:cs="Arial"/>
          <w:b/>
          <w:sz w:val="17"/>
          <w:szCs w:val="17"/>
          <w:lang w:val="fr-FR"/>
        </w:rPr>
        <w:t>ODD13</w:t>
      </w:r>
      <w:r w:rsidRPr="008F6C37">
        <w:rPr>
          <w:rFonts w:ascii="Arial Narrow" w:hAnsi="Arial Narrow" w:cs="Arial"/>
          <w:sz w:val="17"/>
          <w:szCs w:val="17"/>
          <w:lang w:val="fr-FR"/>
        </w:rPr>
        <w:t xml:space="preserve"> :  Prendre d’urgence des mesures pour lutter contre les changements climatiques et leurs répercussions,  </w:t>
      </w:r>
      <w:r w:rsidRPr="008F6C37">
        <w:rPr>
          <w:rFonts w:ascii="Arial Narrow" w:hAnsi="Arial Narrow" w:cs="Arial"/>
          <w:b/>
          <w:sz w:val="17"/>
          <w:szCs w:val="17"/>
          <w:lang w:val="fr-FR"/>
        </w:rPr>
        <w:t xml:space="preserve">ODD15 </w:t>
      </w:r>
      <w:r w:rsidRPr="008F6C37">
        <w:rPr>
          <w:rFonts w:ascii="Arial Narrow" w:hAnsi="Arial Narrow" w:cs="Arial"/>
          <w:sz w:val="17"/>
          <w:szCs w:val="17"/>
          <w:lang w:val="fr-FR"/>
        </w:rPr>
        <w:t>: Préserver et restaurer les écosystèmes terrestres, en veillant à les exploiter de façon durable, gérer durablement les forêts, lutter contre la désertification, enrayer et inverser le processus de dégradation des terres et mettre fin à l’appauvrissement de la biodiversité.</w:t>
      </w:r>
    </w:p>
  </w:footnote>
  <w:footnote w:id="86">
    <w:p w14:paraId="73D60495" w14:textId="77777777" w:rsidR="00736FE4" w:rsidRPr="008F6C37" w:rsidRDefault="00736FE4" w:rsidP="00C518A4">
      <w:pPr>
        <w:pStyle w:val="Notedebasdepage"/>
        <w:spacing w:after="0"/>
        <w:rPr>
          <w:rFonts w:ascii="Arial Narrow" w:hAnsi="Arial Narrow" w:cs="Arial"/>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Voir glossaire</w:t>
      </w:r>
    </w:p>
  </w:footnote>
  <w:footnote w:id="87">
    <w:p w14:paraId="747AAB68" w14:textId="77777777" w:rsidR="00736FE4" w:rsidRPr="008F6C37" w:rsidRDefault="00736FE4" w:rsidP="00C518A4">
      <w:pPr>
        <w:pStyle w:val="Notedebasdepage"/>
        <w:spacing w:after="0"/>
        <w:rPr>
          <w:rFonts w:ascii="Arial Narrow" w:hAnsi="Arial Narrow" w:cs="Arial"/>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Voir glossaire</w:t>
      </w:r>
    </w:p>
  </w:footnote>
  <w:footnote w:id="88">
    <w:p w14:paraId="210EA88C" w14:textId="77777777" w:rsidR="00736FE4" w:rsidRPr="008F6C37" w:rsidRDefault="00736FE4" w:rsidP="00C518A4">
      <w:pPr>
        <w:pStyle w:val="Notedebasdepage"/>
        <w:spacing w:after="0"/>
        <w:rPr>
          <w:rFonts w:ascii="Arial Narrow" w:hAnsi="Arial Narrow" w:cs="Arial"/>
          <w:sz w:val="17"/>
          <w:szCs w:val="17"/>
          <w:lang w:val="fr-FR"/>
        </w:rPr>
      </w:pPr>
      <w:r w:rsidRPr="008F6C37">
        <w:rPr>
          <w:rStyle w:val="Appelnotedebasdep"/>
          <w:rFonts w:ascii="Arial Narrow" w:hAnsi="Arial Narrow" w:cs="Arial"/>
          <w:sz w:val="17"/>
          <w:szCs w:val="17"/>
          <w:lang w:val="fr-FR"/>
        </w:rPr>
        <w:footnoteRef/>
      </w:r>
      <w:r w:rsidRPr="008F6C37">
        <w:rPr>
          <w:rFonts w:ascii="Arial Narrow" w:hAnsi="Arial Narrow" w:cs="Arial"/>
          <w:sz w:val="17"/>
          <w:szCs w:val="17"/>
          <w:lang w:val="fr-FR"/>
        </w:rPr>
        <w:t xml:space="preserve"> Voir glossaire</w:t>
      </w:r>
    </w:p>
  </w:footnote>
  <w:footnote w:id="89">
    <w:p w14:paraId="4A64CEC3" w14:textId="77777777" w:rsidR="00736FE4" w:rsidRPr="008F6C37" w:rsidRDefault="00736FE4" w:rsidP="00C518A4">
      <w:pPr>
        <w:pStyle w:val="Notedebasdepage"/>
        <w:spacing w:after="0"/>
        <w:rPr>
          <w:rFonts w:ascii="Arial Narrow" w:hAnsi="Arial Narrow"/>
          <w:sz w:val="17"/>
          <w:szCs w:val="17"/>
          <w:lang w:val="fr-FR"/>
        </w:rPr>
      </w:pPr>
      <w:r w:rsidRPr="008F6C37">
        <w:rPr>
          <w:rStyle w:val="Appelnotedebasdep"/>
          <w:rFonts w:ascii="Arial Narrow" w:hAnsi="Arial Narrow" w:cs="Arial"/>
          <w:sz w:val="17"/>
          <w:szCs w:val="17"/>
        </w:rPr>
        <w:footnoteRef/>
      </w:r>
      <w:r w:rsidRPr="008F6C37">
        <w:rPr>
          <w:rFonts w:ascii="Arial Narrow" w:hAnsi="Arial Narrow" w:cs="Arial"/>
          <w:sz w:val="17"/>
          <w:szCs w:val="17"/>
          <w:lang w:val="fr-FR"/>
        </w:rPr>
        <w:t xml:space="preserve"> Voir glossaire</w:t>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15pt;height:15pt" o:bullet="t">
        <v:imagedata r:id="rId1" o:title="mso4A6A"/>
      </v:shape>
    </w:pict>
  </w:numPicBullet>
  <w:abstractNum w:abstractNumId="0">
    <w:nsid w:val="00903692"/>
    <w:multiLevelType w:val="hybridMultilevel"/>
    <w:tmpl w:val="8AF2EE72"/>
    <w:lvl w:ilvl="0" w:tplc="08090003">
      <w:start w:val="1"/>
      <w:numFmt w:val="bullet"/>
      <w:lvlText w:val="o"/>
      <w:lvlJc w:val="left"/>
      <w:pPr>
        <w:ind w:left="720" w:hanging="360"/>
      </w:pPr>
      <w:rPr>
        <w:rFonts w:ascii="Courier New" w:hAnsi="Courier New"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
    <w:nsid w:val="0470633D"/>
    <w:multiLevelType w:val="hybridMultilevel"/>
    <w:tmpl w:val="84925F92"/>
    <w:lvl w:ilvl="0" w:tplc="0146471C">
      <w:start w:val="1"/>
      <w:numFmt w:val="bullet"/>
      <w:pStyle w:val="PucePt"/>
      <w:lvlText w:val=""/>
      <w:lvlJc w:val="left"/>
      <w:pPr>
        <w:tabs>
          <w:tab w:val="num" w:pos="360"/>
        </w:tabs>
        <w:ind w:left="360" w:hanging="360"/>
      </w:pPr>
      <w:rPr>
        <w:rFonts w:ascii="Symbol" w:hAnsi="Symbol" w:hint="default"/>
        <w:sz w:val="18"/>
      </w:rPr>
    </w:lvl>
    <w:lvl w:ilvl="1" w:tplc="E164516E">
      <w:start w:val="1"/>
      <w:numFmt w:val="bullet"/>
      <w:pStyle w:val="PucePt2"/>
      <w:lvlText w:val="­"/>
      <w:lvlJc w:val="left"/>
      <w:pPr>
        <w:tabs>
          <w:tab w:val="num" w:pos="1083"/>
        </w:tabs>
        <w:ind w:left="1083" w:hanging="360"/>
      </w:pPr>
      <w:rPr>
        <w:rFonts w:ascii="Times New Roman" w:hAnsi="Times New Roman" w:cs="Times New Roman" w:hint="default"/>
      </w:rPr>
    </w:lvl>
    <w:lvl w:ilvl="2" w:tplc="040C0005">
      <w:start w:val="1"/>
      <w:numFmt w:val="bullet"/>
      <w:lvlText w:val=""/>
      <w:lvlJc w:val="left"/>
      <w:pPr>
        <w:tabs>
          <w:tab w:val="num" w:pos="1803"/>
        </w:tabs>
        <w:ind w:left="1803" w:hanging="360"/>
      </w:pPr>
      <w:rPr>
        <w:rFonts w:ascii="Wingdings" w:hAnsi="Wingdings" w:hint="default"/>
      </w:rPr>
    </w:lvl>
    <w:lvl w:ilvl="3" w:tplc="040C0001" w:tentative="1">
      <w:start w:val="1"/>
      <w:numFmt w:val="bullet"/>
      <w:lvlText w:val=""/>
      <w:lvlJc w:val="left"/>
      <w:pPr>
        <w:tabs>
          <w:tab w:val="num" w:pos="2523"/>
        </w:tabs>
        <w:ind w:left="2523" w:hanging="360"/>
      </w:pPr>
      <w:rPr>
        <w:rFonts w:ascii="Symbol" w:hAnsi="Symbol" w:hint="default"/>
      </w:rPr>
    </w:lvl>
    <w:lvl w:ilvl="4" w:tplc="040C0003" w:tentative="1">
      <w:start w:val="1"/>
      <w:numFmt w:val="bullet"/>
      <w:lvlText w:val="o"/>
      <w:lvlJc w:val="left"/>
      <w:pPr>
        <w:tabs>
          <w:tab w:val="num" w:pos="3243"/>
        </w:tabs>
        <w:ind w:left="3243" w:hanging="360"/>
      </w:pPr>
      <w:rPr>
        <w:rFonts w:ascii="Courier New" w:hAnsi="Courier New" w:cs="Courier New" w:hint="default"/>
      </w:rPr>
    </w:lvl>
    <w:lvl w:ilvl="5" w:tplc="040C0005" w:tentative="1">
      <w:start w:val="1"/>
      <w:numFmt w:val="bullet"/>
      <w:lvlText w:val=""/>
      <w:lvlJc w:val="left"/>
      <w:pPr>
        <w:tabs>
          <w:tab w:val="num" w:pos="3963"/>
        </w:tabs>
        <w:ind w:left="3963" w:hanging="360"/>
      </w:pPr>
      <w:rPr>
        <w:rFonts w:ascii="Wingdings" w:hAnsi="Wingdings" w:hint="default"/>
      </w:rPr>
    </w:lvl>
    <w:lvl w:ilvl="6" w:tplc="040C0001" w:tentative="1">
      <w:start w:val="1"/>
      <w:numFmt w:val="bullet"/>
      <w:lvlText w:val=""/>
      <w:lvlJc w:val="left"/>
      <w:pPr>
        <w:tabs>
          <w:tab w:val="num" w:pos="4683"/>
        </w:tabs>
        <w:ind w:left="4683" w:hanging="360"/>
      </w:pPr>
      <w:rPr>
        <w:rFonts w:ascii="Symbol" w:hAnsi="Symbol" w:hint="default"/>
      </w:rPr>
    </w:lvl>
    <w:lvl w:ilvl="7" w:tplc="040C0003" w:tentative="1">
      <w:start w:val="1"/>
      <w:numFmt w:val="bullet"/>
      <w:lvlText w:val="o"/>
      <w:lvlJc w:val="left"/>
      <w:pPr>
        <w:tabs>
          <w:tab w:val="num" w:pos="5403"/>
        </w:tabs>
        <w:ind w:left="5403" w:hanging="360"/>
      </w:pPr>
      <w:rPr>
        <w:rFonts w:ascii="Courier New" w:hAnsi="Courier New" w:cs="Courier New" w:hint="default"/>
      </w:rPr>
    </w:lvl>
    <w:lvl w:ilvl="8" w:tplc="040C0005" w:tentative="1">
      <w:start w:val="1"/>
      <w:numFmt w:val="bullet"/>
      <w:lvlText w:val=""/>
      <w:lvlJc w:val="left"/>
      <w:pPr>
        <w:tabs>
          <w:tab w:val="num" w:pos="6123"/>
        </w:tabs>
        <w:ind w:left="6123" w:hanging="360"/>
      </w:pPr>
      <w:rPr>
        <w:rFonts w:ascii="Wingdings" w:hAnsi="Wingdings" w:hint="default"/>
      </w:rPr>
    </w:lvl>
  </w:abstractNum>
  <w:abstractNum w:abstractNumId="2">
    <w:nsid w:val="05345C8E"/>
    <w:multiLevelType w:val="hybridMultilevel"/>
    <w:tmpl w:val="0344B43C"/>
    <w:lvl w:ilvl="0" w:tplc="10EC71A6">
      <w:start w:val="1"/>
      <w:numFmt w:val="bullet"/>
      <w:lvlText w:val=""/>
      <w:lvlJc w:val="left"/>
      <w:pPr>
        <w:ind w:left="360" w:hanging="360"/>
      </w:pPr>
      <w:rPr>
        <w:rFonts w:ascii="Symbol" w:hAnsi="Symbol" w:hint="default"/>
        <w:b w:val="0"/>
        <w:i w:val="0"/>
        <w:color w:val="auto"/>
        <w:sz w:val="20"/>
      </w:rPr>
    </w:lvl>
    <w:lvl w:ilvl="1" w:tplc="7BB0A246">
      <w:numFmt w:val="bullet"/>
      <w:lvlText w:val="-"/>
      <w:lvlJc w:val="left"/>
      <w:pPr>
        <w:ind w:left="1080" w:hanging="360"/>
      </w:pPr>
      <w:rPr>
        <w:rFonts w:ascii="Arial" w:eastAsiaTheme="minorHAnsi" w:hAnsi="Arial" w:cs="Arial" w:hint="default"/>
      </w:rPr>
    </w:lvl>
    <w:lvl w:ilvl="2" w:tplc="040C0003">
      <w:start w:val="1"/>
      <w:numFmt w:val="bullet"/>
      <w:lvlText w:val="o"/>
      <w:lvlJc w:val="left"/>
      <w:pPr>
        <w:ind w:left="1800" w:hanging="360"/>
      </w:pPr>
      <w:rPr>
        <w:rFonts w:ascii="Courier New" w:hAnsi="Courier New" w:cs="Courier New"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
    <w:nsid w:val="093863EF"/>
    <w:multiLevelType w:val="hybridMultilevel"/>
    <w:tmpl w:val="49CC6922"/>
    <w:lvl w:ilvl="0" w:tplc="040C0001">
      <w:start w:val="1"/>
      <w:numFmt w:val="bullet"/>
      <w:lvlText w:val=""/>
      <w:lvlJc w:val="left"/>
      <w:pPr>
        <w:ind w:left="1776" w:hanging="360"/>
      </w:pPr>
      <w:rPr>
        <w:rFonts w:ascii="Symbol" w:hAnsi="Symbol" w:hint="default"/>
      </w:rPr>
    </w:lvl>
    <w:lvl w:ilvl="1" w:tplc="040C0003">
      <w:start w:val="1"/>
      <w:numFmt w:val="bullet"/>
      <w:lvlText w:val="o"/>
      <w:lvlJc w:val="left"/>
      <w:pPr>
        <w:ind w:left="2496" w:hanging="360"/>
      </w:pPr>
      <w:rPr>
        <w:rFonts w:ascii="Courier New" w:hAnsi="Courier New" w:cs="Courier New" w:hint="default"/>
      </w:rPr>
    </w:lvl>
    <w:lvl w:ilvl="2" w:tplc="040C0005" w:tentative="1">
      <w:start w:val="1"/>
      <w:numFmt w:val="bullet"/>
      <w:lvlText w:val=""/>
      <w:lvlJc w:val="left"/>
      <w:pPr>
        <w:ind w:left="3216" w:hanging="360"/>
      </w:pPr>
      <w:rPr>
        <w:rFonts w:ascii="Wingdings" w:hAnsi="Wingdings" w:hint="default"/>
      </w:rPr>
    </w:lvl>
    <w:lvl w:ilvl="3" w:tplc="040C0001" w:tentative="1">
      <w:start w:val="1"/>
      <w:numFmt w:val="bullet"/>
      <w:lvlText w:val=""/>
      <w:lvlJc w:val="left"/>
      <w:pPr>
        <w:ind w:left="3936" w:hanging="360"/>
      </w:pPr>
      <w:rPr>
        <w:rFonts w:ascii="Symbol" w:hAnsi="Symbol" w:hint="default"/>
      </w:rPr>
    </w:lvl>
    <w:lvl w:ilvl="4" w:tplc="040C0003" w:tentative="1">
      <w:start w:val="1"/>
      <w:numFmt w:val="bullet"/>
      <w:lvlText w:val="o"/>
      <w:lvlJc w:val="left"/>
      <w:pPr>
        <w:ind w:left="4656" w:hanging="360"/>
      </w:pPr>
      <w:rPr>
        <w:rFonts w:ascii="Courier New" w:hAnsi="Courier New" w:cs="Courier New" w:hint="default"/>
      </w:rPr>
    </w:lvl>
    <w:lvl w:ilvl="5" w:tplc="040C0005" w:tentative="1">
      <w:start w:val="1"/>
      <w:numFmt w:val="bullet"/>
      <w:lvlText w:val=""/>
      <w:lvlJc w:val="left"/>
      <w:pPr>
        <w:ind w:left="5376" w:hanging="360"/>
      </w:pPr>
      <w:rPr>
        <w:rFonts w:ascii="Wingdings" w:hAnsi="Wingdings" w:hint="default"/>
      </w:rPr>
    </w:lvl>
    <w:lvl w:ilvl="6" w:tplc="040C0001" w:tentative="1">
      <w:start w:val="1"/>
      <w:numFmt w:val="bullet"/>
      <w:lvlText w:val=""/>
      <w:lvlJc w:val="left"/>
      <w:pPr>
        <w:ind w:left="6096" w:hanging="360"/>
      </w:pPr>
      <w:rPr>
        <w:rFonts w:ascii="Symbol" w:hAnsi="Symbol" w:hint="default"/>
      </w:rPr>
    </w:lvl>
    <w:lvl w:ilvl="7" w:tplc="040C0003" w:tentative="1">
      <w:start w:val="1"/>
      <w:numFmt w:val="bullet"/>
      <w:lvlText w:val="o"/>
      <w:lvlJc w:val="left"/>
      <w:pPr>
        <w:ind w:left="6816" w:hanging="360"/>
      </w:pPr>
      <w:rPr>
        <w:rFonts w:ascii="Courier New" w:hAnsi="Courier New" w:cs="Courier New" w:hint="default"/>
      </w:rPr>
    </w:lvl>
    <w:lvl w:ilvl="8" w:tplc="040C0005" w:tentative="1">
      <w:start w:val="1"/>
      <w:numFmt w:val="bullet"/>
      <w:lvlText w:val=""/>
      <w:lvlJc w:val="left"/>
      <w:pPr>
        <w:ind w:left="7536" w:hanging="360"/>
      </w:pPr>
      <w:rPr>
        <w:rFonts w:ascii="Wingdings" w:hAnsi="Wingdings" w:hint="default"/>
      </w:rPr>
    </w:lvl>
  </w:abstractNum>
  <w:abstractNum w:abstractNumId="4">
    <w:nsid w:val="0B543A44"/>
    <w:multiLevelType w:val="hybridMultilevel"/>
    <w:tmpl w:val="13F04C12"/>
    <w:lvl w:ilvl="0" w:tplc="357657A4">
      <w:numFmt w:val="bullet"/>
      <w:lvlText w:val="-"/>
      <w:lvlJc w:val="left"/>
      <w:pPr>
        <w:ind w:left="36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nsid w:val="0B93459A"/>
    <w:multiLevelType w:val="hybridMultilevel"/>
    <w:tmpl w:val="D8F0F218"/>
    <w:lvl w:ilvl="0" w:tplc="040C0003">
      <w:start w:val="1"/>
      <w:numFmt w:val="bullet"/>
      <w:lvlText w:val="o"/>
      <w:lvlJc w:val="left"/>
      <w:pPr>
        <w:ind w:left="1068" w:hanging="360"/>
      </w:pPr>
      <w:rPr>
        <w:rFonts w:ascii="Courier New" w:hAnsi="Courier New" w:cs="Courier New"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6">
    <w:nsid w:val="0BEF6F3F"/>
    <w:multiLevelType w:val="hybridMultilevel"/>
    <w:tmpl w:val="26B0769C"/>
    <w:lvl w:ilvl="0" w:tplc="F6D6189C">
      <w:numFmt w:val="bullet"/>
      <w:lvlText w:val="-"/>
      <w:lvlJc w:val="left"/>
      <w:pPr>
        <w:ind w:left="708" w:hanging="360"/>
      </w:pPr>
      <w:rPr>
        <w:rFonts w:ascii="Arial Narrow" w:eastAsiaTheme="minorEastAsia" w:hAnsi="Arial Narrow" w:cs="Arial" w:hint="default"/>
      </w:rPr>
    </w:lvl>
    <w:lvl w:ilvl="1" w:tplc="F6D6189C">
      <w:numFmt w:val="bullet"/>
      <w:lvlText w:val="-"/>
      <w:lvlJc w:val="left"/>
      <w:pPr>
        <w:ind w:left="1428" w:hanging="360"/>
      </w:pPr>
      <w:rPr>
        <w:rFonts w:ascii="Arial Narrow" w:eastAsiaTheme="minorEastAsia" w:hAnsi="Arial Narrow" w:cs="Arial" w:hint="default"/>
      </w:rPr>
    </w:lvl>
    <w:lvl w:ilvl="2" w:tplc="04070005" w:tentative="1">
      <w:start w:val="1"/>
      <w:numFmt w:val="bullet"/>
      <w:lvlText w:val=""/>
      <w:lvlJc w:val="left"/>
      <w:pPr>
        <w:ind w:left="2148" w:hanging="360"/>
      </w:pPr>
      <w:rPr>
        <w:rFonts w:ascii="Wingdings" w:hAnsi="Wingdings" w:hint="default"/>
      </w:rPr>
    </w:lvl>
    <w:lvl w:ilvl="3" w:tplc="04070001" w:tentative="1">
      <w:start w:val="1"/>
      <w:numFmt w:val="bullet"/>
      <w:lvlText w:val=""/>
      <w:lvlJc w:val="left"/>
      <w:pPr>
        <w:ind w:left="2868" w:hanging="360"/>
      </w:pPr>
      <w:rPr>
        <w:rFonts w:ascii="Symbol" w:hAnsi="Symbol" w:hint="default"/>
      </w:rPr>
    </w:lvl>
    <w:lvl w:ilvl="4" w:tplc="04070003" w:tentative="1">
      <w:start w:val="1"/>
      <w:numFmt w:val="bullet"/>
      <w:lvlText w:val="o"/>
      <w:lvlJc w:val="left"/>
      <w:pPr>
        <w:ind w:left="3588" w:hanging="360"/>
      </w:pPr>
      <w:rPr>
        <w:rFonts w:ascii="Courier New" w:hAnsi="Courier New" w:cs="Courier New" w:hint="default"/>
      </w:rPr>
    </w:lvl>
    <w:lvl w:ilvl="5" w:tplc="04070005" w:tentative="1">
      <w:start w:val="1"/>
      <w:numFmt w:val="bullet"/>
      <w:lvlText w:val=""/>
      <w:lvlJc w:val="left"/>
      <w:pPr>
        <w:ind w:left="4308" w:hanging="360"/>
      </w:pPr>
      <w:rPr>
        <w:rFonts w:ascii="Wingdings" w:hAnsi="Wingdings" w:hint="default"/>
      </w:rPr>
    </w:lvl>
    <w:lvl w:ilvl="6" w:tplc="04070001" w:tentative="1">
      <w:start w:val="1"/>
      <w:numFmt w:val="bullet"/>
      <w:lvlText w:val=""/>
      <w:lvlJc w:val="left"/>
      <w:pPr>
        <w:ind w:left="5028" w:hanging="360"/>
      </w:pPr>
      <w:rPr>
        <w:rFonts w:ascii="Symbol" w:hAnsi="Symbol" w:hint="default"/>
      </w:rPr>
    </w:lvl>
    <w:lvl w:ilvl="7" w:tplc="04070003" w:tentative="1">
      <w:start w:val="1"/>
      <w:numFmt w:val="bullet"/>
      <w:lvlText w:val="o"/>
      <w:lvlJc w:val="left"/>
      <w:pPr>
        <w:ind w:left="5748" w:hanging="360"/>
      </w:pPr>
      <w:rPr>
        <w:rFonts w:ascii="Courier New" w:hAnsi="Courier New" w:cs="Courier New" w:hint="default"/>
      </w:rPr>
    </w:lvl>
    <w:lvl w:ilvl="8" w:tplc="04070005" w:tentative="1">
      <w:start w:val="1"/>
      <w:numFmt w:val="bullet"/>
      <w:lvlText w:val=""/>
      <w:lvlJc w:val="left"/>
      <w:pPr>
        <w:ind w:left="6468" w:hanging="360"/>
      </w:pPr>
      <w:rPr>
        <w:rFonts w:ascii="Wingdings" w:hAnsi="Wingdings" w:hint="default"/>
      </w:rPr>
    </w:lvl>
  </w:abstractNum>
  <w:abstractNum w:abstractNumId="7">
    <w:nsid w:val="0BFC70F1"/>
    <w:multiLevelType w:val="hybridMultilevel"/>
    <w:tmpl w:val="514E8BD4"/>
    <w:lvl w:ilvl="0" w:tplc="08090017">
      <w:start w:val="1"/>
      <w:numFmt w:val="lowerLetter"/>
      <w:lvlText w:val="%1)"/>
      <w:lvlJc w:val="left"/>
      <w:pPr>
        <w:tabs>
          <w:tab w:val="num" w:pos="360"/>
        </w:tabs>
        <w:ind w:left="360" w:hanging="360"/>
      </w:pPr>
      <w:rPr>
        <w:rFonts w:hint="default"/>
      </w:rPr>
    </w:lvl>
    <w:lvl w:ilvl="1" w:tplc="E0581830">
      <w:start w:val="1"/>
      <w:numFmt w:val="bullet"/>
      <w:lvlText w:val="o"/>
      <w:lvlJc w:val="left"/>
      <w:pPr>
        <w:tabs>
          <w:tab w:val="num" w:pos="1080"/>
        </w:tabs>
        <w:ind w:left="1080" w:hanging="360"/>
      </w:pPr>
      <w:rPr>
        <w:rFonts w:ascii="Courier New" w:hAnsi="Courier New" w:hint="default"/>
      </w:rPr>
    </w:lvl>
    <w:lvl w:ilvl="2" w:tplc="040C001B" w:tentative="1">
      <w:start w:val="1"/>
      <w:numFmt w:val="lowerRoman"/>
      <w:lvlText w:val="%3."/>
      <w:lvlJc w:val="right"/>
      <w:pPr>
        <w:tabs>
          <w:tab w:val="num" w:pos="1800"/>
        </w:tabs>
        <w:ind w:left="1800" w:hanging="180"/>
      </w:pPr>
      <w:rPr>
        <w:rFonts w:cs="Times New Roman"/>
      </w:rPr>
    </w:lvl>
    <w:lvl w:ilvl="3" w:tplc="040C000F" w:tentative="1">
      <w:start w:val="1"/>
      <w:numFmt w:val="decimal"/>
      <w:lvlText w:val="%4."/>
      <w:lvlJc w:val="left"/>
      <w:pPr>
        <w:tabs>
          <w:tab w:val="num" w:pos="2520"/>
        </w:tabs>
        <w:ind w:left="2520" w:hanging="360"/>
      </w:pPr>
      <w:rPr>
        <w:rFonts w:cs="Times New Roman"/>
      </w:rPr>
    </w:lvl>
    <w:lvl w:ilvl="4" w:tplc="040C0019" w:tentative="1">
      <w:start w:val="1"/>
      <w:numFmt w:val="lowerLetter"/>
      <w:lvlText w:val="%5."/>
      <w:lvlJc w:val="left"/>
      <w:pPr>
        <w:tabs>
          <w:tab w:val="num" w:pos="3240"/>
        </w:tabs>
        <w:ind w:left="3240" w:hanging="360"/>
      </w:pPr>
      <w:rPr>
        <w:rFonts w:cs="Times New Roman"/>
      </w:rPr>
    </w:lvl>
    <w:lvl w:ilvl="5" w:tplc="040C001B" w:tentative="1">
      <w:start w:val="1"/>
      <w:numFmt w:val="lowerRoman"/>
      <w:lvlText w:val="%6."/>
      <w:lvlJc w:val="right"/>
      <w:pPr>
        <w:tabs>
          <w:tab w:val="num" w:pos="3960"/>
        </w:tabs>
        <w:ind w:left="3960" w:hanging="180"/>
      </w:pPr>
      <w:rPr>
        <w:rFonts w:cs="Times New Roman"/>
      </w:rPr>
    </w:lvl>
    <w:lvl w:ilvl="6" w:tplc="040C000F" w:tentative="1">
      <w:start w:val="1"/>
      <w:numFmt w:val="decimal"/>
      <w:lvlText w:val="%7."/>
      <w:lvlJc w:val="left"/>
      <w:pPr>
        <w:tabs>
          <w:tab w:val="num" w:pos="4680"/>
        </w:tabs>
        <w:ind w:left="4680" w:hanging="360"/>
      </w:pPr>
      <w:rPr>
        <w:rFonts w:cs="Times New Roman"/>
      </w:rPr>
    </w:lvl>
    <w:lvl w:ilvl="7" w:tplc="040C0019" w:tentative="1">
      <w:start w:val="1"/>
      <w:numFmt w:val="lowerLetter"/>
      <w:lvlText w:val="%8."/>
      <w:lvlJc w:val="left"/>
      <w:pPr>
        <w:tabs>
          <w:tab w:val="num" w:pos="5400"/>
        </w:tabs>
        <w:ind w:left="5400" w:hanging="360"/>
      </w:pPr>
      <w:rPr>
        <w:rFonts w:cs="Times New Roman"/>
      </w:rPr>
    </w:lvl>
    <w:lvl w:ilvl="8" w:tplc="040C001B" w:tentative="1">
      <w:start w:val="1"/>
      <w:numFmt w:val="lowerRoman"/>
      <w:lvlText w:val="%9."/>
      <w:lvlJc w:val="right"/>
      <w:pPr>
        <w:tabs>
          <w:tab w:val="num" w:pos="6120"/>
        </w:tabs>
        <w:ind w:left="6120" w:hanging="180"/>
      </w:pPr>
      <w:rPr>
        <w:rFonts w:cs="Times New Roman"/>
      </w:rPr>
    </w:lvl>
  </w:abstractNum>
  <w:abstractNum w:abstractNumId="8">
    <w:nsid w:val="0EEA5264"/>
    <w:multiLevelType w:val="hybridMultilevel"/>
    <w:tmpl w:val="3F5049E8"/>
    <w:lvl w:ilvl="0" w:tplc="0809000B">
      <w:start w:val="1"/>
      <w:numFmt w:val="bullet"/>
      <w:lvlText w:val=""/>
      <w:lvlJc w:val="left"/>
      <w:pPr>
        <w:ind w:left="720" w:hanging="360"/>
      </w:pPr>
      <w:rPr>
        <w:rFonts w:ascii="Wingdings" w:hAnsi="Wingdings" w:hint="default"/>
      </w:rPr>
    </w:lvl>
    <w:lvl w:ilvl="1" w:tplc="080C0003">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9">
    <w:nsid w:val="0F6832F4"/>
    <w:multiLevelType w:val="hybridMultilevel"/>
    <w:tmpl w:val="338E5E86"/>
    <w:lvl w:ilvl="0" w:tplc="87FC58E2">
      <w:numFmt w:val="bullet"/>
      <w:lvlText w:val="-"/>
      <w:lvlJc w:val="left"/>
      <w:pPr>
        <w:ind w:left="360" w:hanging="360"/>
      </w:pPr>
      <w:rPr>
        <w:rFonts w:ascii="Arial Narrow" w:eastAsiaTheme="minorEastAsia" w:hAnsi="Arial Narrow"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nsid w:val="0F6A785C"/>
    <w:multiLevelType w:val="hybridMultilevel"/>
    <w:tmpl w:val="45E6D576"/>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tabs>
          <w:tab w:val="num" w:pos="1080"/>
        </w:tabs>
        <w:ind w:left="1080" w:hanging="360"/>
      </w:pPr>
      <w:rPr>
        <w:rFonts w:ascii="Courier New" w:hAnsi="Courier New" w:cs="Courier New" w:hint="default"/>
      </w:rPr>
    </w:lvl>
    <w:lvl w:ilvl="2" w:tplc="04070005">
      <w:start w:val="1"/>
      <w:numFmt w:val="bullet"/>
      <w:lvlText w:val=""/>
      <w:lvlJc w:val="left"/>
      <w:pPr>
        <w:tabs>
          <w:tab w:val="num" w:pos="1800"/>
        </w:tabs>
        <w:ind w:left="1800" w:hanging="360"/>
      </w:pPr>
      <w:rPr>
        <w:rFonts w:ascii="Wingdings" w:hAnsi="Wingdings" w:hint="default"/>
      </w:rPr>
    </w:lvl>
    <w:lvl w:ilvl="3" w:tplc="04070001">
      <w:start w:val="1"/>
      <w:numFmt w:val="bullet"/>
      <w:lvlText w:val=""/>
      <w:lvlJc w:val="left"/>
      <w:pPr>
        <w:tabs>
          <w:tab w:val="num" w:pos="2520"/>
        </w:tabs>
        <w:ind w:left="2520" w:hanging="360"/>
      </w:pPr>
      <w:rPr>
        <w:rFonts w:ascii="Symbol" w:hAnsi="Symbol" w:hint="default"/>
      </w:rPr>
    </w:lvl>
    <w:lvl w:ilvl="4" w:tplc="04070003">
      <w:start w:val="1"/>
      <w:numFmt w:val="bullet"/>
      <w:lvlText w:val="o"/>
      <w:lvlJc w:val="left"/>
      <w:pPr>
        <w:tabs>
          <w:tab w:val="num" w:pos="3240"/>
        </w:tabs>
        <w:ind w:left="3240" w:hanging="360"/>
      </w:pPr>
      <w:rPr>
        <w:rFonts w:ascii="Courier New" w:hAnsi="Courier New" w:cs="Courier New" w:hint="default"/>
      </w:rPr>
    </w:lvl>
    <w:lvl w:ilvl="5" w:tplc="04070005">
      <w:start w:val="1"/>
      <w:numFmt w:val="bullet"/>
      <w:lvlText w:val=""/>
      <w:lvlJc w:val="left"/>
      <w:pPr>
        <w:tabs>
          <w:tab w:val="num" w:pos="3960"/>
        </w:tabs>
        <w:ind w:left="3960" w:hanging="360"/>
      </w:pPr>
      <w:rPr>
        <w:rFonts w:ascii="Wingdings" w:hAnsi="Wingdings" w:hint="default"/>
      </w:rPr>
    </w:lvl>
    <w:lvl w:ilvl="6" w:tplc="04070001">
      <w:start w:val="1"/>
      <w:numFmt w:val="bullet"/>
      <w:lvlText w:val=""/>
      <w:lvlJc w:val="left"/>
      <w:pPr>
        <w:tabs>
          <w:tab w:val="num" w:pos="4680"/>
        </w:tabs>
        <w:ind w:left="4680" w:hanging="360"/>
      </w:pPr>
      <w:rPr>
        <w:rFonts w:ascii="Symbol" w:hAnsi="Symbol" w:hint="default"/>
      </w:rPr>
    </w:lvl>
    <w:lvl w:ilvl="7" w:tplc="04070003">
      <w:start w:val="1"/>
      <w:numFmt w:val="bullet"/>
      <w:lvlText w:val="o"/>
      <w:lvlJc w:val="left"/>
      <w:pPr>
        <w:tabs>
          <w:tab w:val="num" w:pos="5400"/>
        </w:tabs>
        <w:ind w:left="5400" w:hanging="360"/>
      </w:pPr>
      <w:rPr>
        <w:rFonts w:ascii="Courier New" w:hAnsi="Courier New" w:cs="Courier New" w:hint="default"/>
      </w:rPr>
    </w:lvl>
    <w:lvl w:ilvl="8" w:tplc="04070005">
      <w:start w:val="1"/>
      <w:numFmt w:val="bullet"/>
      <w:lvlText w:val=""/>
      <w:lvlJc w:val="left"/>
      <w:pPr>
        <w:tabs>
          <w:tab w:val="num" w:pos="6120"/>
        </w:tabs>
        <w:ind w:left="6120" w:hanging="360"/>
      </w:pPr>
      <w:rPr>
        <w:rFonts w:ascii="Wingdings" w:hAnsi="Wingdings" w:hint="default"/>
      </w:rPr>
    </w:lvl>
  </w:abstractNum>
  <w:abstractNum w:abstractNumId="11">
    <w:nsid w:val="1480225E"/>
    <w:multiLevelType w:val="hybridMultilevel"/>
    <w:tmpl w:val="468614EE"/>
    <w:lvl w:ilvl="0" w:tplc="08090003">
      <w:start w:val="1"/>
      <w:numFmt w:val="bullet"/>
      <w:lvlText w:val="o"/>
      <w:lvlJc w:val="left"/>
      <w:pPr>
        <w:ind w:left="720" w:hanging="360"/>
      </w:pPr>
      <w:rPr>
        <w:rFonts w:ascii="Courier New" w:hAnsi="Courier New"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2">
    <w:nsid w:val="1B4D1ADA"/>
    <w:multiLevelType w:val="hybridMultilevel"/>
    <w:tmpl w:val="041294D2"/>
    <w:lvl w:ilvl="0" w:tplc="10EC71A6">
      <w:start w:val="1"/>
      <w:numFmt w:val="bullet"/>
      <w:lvlText w:val=""/>
      <w:lvlJc w:val="left"/>
      <w:pPr>
        <w:ind w:left="720" w:hanging="360"/>
      </w:pPr>
      <w:rPr>
        <w:rFonts w:ascii="Symbol" w:hAnsi="Symbol" w:hint="default"/>
        <w:b w:val="0"/>
        <w:i w:val="0"/>
        <w:color w:val="auto"/>
        <w:sz w:val="20"/>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1B9970F5"/>
    <w:multiLevelType w:val="hybridMultilevel"/>
    <w:tmpl w:val="B2862C92"/>
    <w:lvl w:ilvl="0" w:tplc="7BB0A246">
      <w:numFmt w:val="bullet"/>
      <w:lvlText w:val="-"/>
      <w:lvlJc w:val="left"/>
      <w:pPr>
        <w:ind w:left="360" w:hanging="360"/>
      </w:pPr>
      <w:rPr>
        <w:rFonts w:ascii="Arial" w:eastAsiaTheme="minorHAnsi" w:hAnsi="Aria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4">
    <w:nsid w:val="1CCC7B15"/>
    <w:multiLevelType w:val="hybridMultilevel"/>
    <w:tmpl w:val="D45E9498"/>
    <w:lvl w:ilvl="0" w:tplc="7BB0A246">
      <w:numFmt w:val="bullet"/>
      <w:lvlText w:val="-"/>
      <w:lvlJc w:val="left"/>
      <w:pPr>
        <w:ind w:left="502" w:hanging="360"/>
      </w:pPr>
      <w:rPr>
        <w:rFonts w:ascii="Arial" w:eastAsiaTheme="minorHAnsi" w:hAnsi="Arial" w:cs="Arial" w:hint="default"/>
      </w:rPr>
    </w:lvl>
    <w:lvl w:ilvl="1" w:tplc="04070003" w:tentative="1">
      <w:start w:val="1"/>
      <w:numFmt w:val="bullet"/>
      <w:lvlText w:val="o"/>
      <w:lvlJc w:val="left"/>
      <w:pPr>
        <w:ind w:left="1222" w:hanging="360"/>
      </w:pPr>
      <w:rPr>
        <w:rFonts w:ascii="Courier New" w:hAnsi="Courier New" w:cs="Courier New" w:hint="default"/>
      </w:rPr>
    </w:lvl>
    <w:lvl w:ilvl="2" w:tplc="04070005" w:tentative="1">
      <w:start w:val="1"/>
      <w:numFmt w:val="bullet"/>
      <w:lvlText w:val=""/>
      <w:lvlJc w:val="left"/>
      <w:pPr>
        <w:ind w:left="1942" w:hanging="360"/>
      </w:pPr>
      <w:rPr>
        <w:rFonts w:ascii="Wingdings" w:hAnsi="Wingdings" w:hint="default"/>
      </w:rPr>
    </w:lvl>
    <w:lvl w:ilvl="3" w:tplc="04070001" w:tentative="1">
      <w:start w:val="1"/>
      <w:numFmt w:val="bullet"/>
      <w:lvlText w:val=""/>
      <w:lvlJc w:val="left"/>
      <w:pPr>
        <w:ind w:left="2662" w:hanging="360"/>
      </w:pPr>
      <w:rPr>
        <w:rFonts w:ascii="Symbol" w:hAnsi="Symbol" w:hint="default"/>
      </w:rPr>
    </w:lvl>
    <w:lvl w:ilvl="4" w:tplc="04070003" w:tentative="1">
      <w:start w:val="1"/>
      <w:numFmt w:val="bullet"/>
      <w:lvlText w:val="o"/>
      <w:lvlJc w:val="left"/>
      <w:pPr>
        <w:ind w:left="3382" w:hanging="360"/>
      </w:pPr>
      <w:rPr>
        <w:rFonts w:ascii="Courier New" w:hAnsi="Courier New" w:cs="Courier New" w:hint="default"/>
      </w:rPr>
    </w:lvl>
    <w:lvl w:ilvl="5" w:tplc="04070005" w:tentative="1">
      <w:start w:val="1"/>
      <w:numFmt w:val="bullet"/>
      <w:lvlText w:val=""/>
      <w:lvlJc w:val="left"/>
      <w:pPr>
        <w:ind w:left="4102" w:hanging="360"/>
      </w:pPr>
      <w:rPr>
        <w:rFonts w:ascii="Wingdings" w:hAnsi="Wingdings" w:hint="default"/>
      </w:rPr>
    </w:lvl>
    <w:lvl w:ilvl="6" w:tplc="04070001" w:tentative="1">
      <w:start w:val="1"/>
      <w:numFmt w:val="bullet"/>
      <w:lvlText w:val=""/>
      <w:lvlJc w:val="left"/>
      <w:pPr>
        <w:ind w:left="4822" w:hanging="360"/>
      </w:pPr>
      <w:rPr>
        <w:rFonts w:ascii="Symbol" w:hAnsi="Symbol" w:hint="default"/>
      </w:rPr>
    </w:lvl>
    <w:lvl w:ilvl="7" w:tplc="04070003" w:tentative="1">
      <w:start w:val="1"/>
      <w:numFmt w:val="bullet"/>
      <w:lvlText w:val="o"/>
      <w:lvlJc w:val="left"/>
      <w:pPr>
        <w:ind w:left="5542" w:hanging="360"/>
      </w:pPr>
      <w:rPr>
        <w:rFonts w:ascii="Courier New" w:hAnsi="Courier New" w:cs="Courier New" w:hint="default"/>
      </w:rPr>
    </w:lvl>
    <w:lvl w:ilvl="8" w:tplc="04070005" w:tentative="1">
      <w:start w:val="1"/>
      <w:numFmt w:val="bullet"/>
      <w:lvlText w:val=""/>
      <w:lvlJc w:val="left"/>
      <w:pPr>
        <w:ind w:left="6262" w:hanging="360"/>
      </w:pPr>
      <w:rPr>
        <w:rFonts w:ascii="Wingdings" w:hAnsi="Wingdings" w:hint="default"/>
      </w:rPr>
    </w:lvl>
  </w:abstractNum>
  <w:abstractNum w:abstractNumId="15">
    <w:nsid w:val="290A26EA"/>
    <w:multiLevelType w:val="hybridMultilevel"/>
    <w:tmpl w:val="60D07C50"/>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6">
    <w:nsid w:val="2BAD5078"/>
    <w:multiLevelType w:val="hybridMultilevel"/>
    <w:tmpl w:val="C6809358"/>
    <w:lvl w:ilvl="0" w:tplc="2E26D014">
      <w:start w:val="2"/>
      <w:numFmt w:val="bullet"/>
      <w:lvlText w:val="-"/>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31B248A2"/>
    <w:multiLevelType w:val="hybridMultilevel"/>
    <w:tmpl w:val="B76C5758"/>
    <w:lvl w:ilvl="0" w:tplc="11F8CA8A">
      <w:start w:val="1"/>
      <w:numFmt w:val="upperRoman"/>
      <w:lvlText w:val="%1)"/>
      <w:lvlJc w:val="left"/>
      <w:pPr>
        <w:ind w:left="1080" w:hanging="72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nsid w:val="31D208CE"/>
    <w:multiLevelType w:val="hybridMultilevel"/>
    <w:tmpl w:val="D6F02C34"/>
    <w:lvl w:ilvl="0" w:tplc="0809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9">
    <w:nsid w:val="32260A30"/>
    <w:multiLevelType w:val="hybridMultilevel"/>
    <w:tmpl w:val="93F23260"/>
    <w:lvl w:ilvl="0" w:tplc="F6D6189C">
      <w:numFmt w:val="bullet"/>
      <w:lvlText w:val="-"/>
      <w:lvlJc w:val="left"/>
      <w:pPr>
        <w:ind w:left="360" w:hanging="360"/>
      </w:pPr>
      <w:rPr>
        <w:rFonts w:ascii="Arial Narrow" w:eastAsiaTheme="minorEastAsia" w:hAnsi="Arial Narrow"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0">
    <w:nsid w:val="336D18C0"/>
    <w:multiLevelType w:val="hybridMultilevel"/>
    <w:tmpl w:val="5DE825B8"/>
    <w:lvl w:ilvl="0" w:tplc="2B92DF62">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
    <w:nsid w:val="34FD019F"/>
    <w:multiLevelType w:val="hybridMultilevel"/>
    <w:tmpl w:val="C6C4F3FC"/>
    <w:lvl w:ilvl="0" w:tplc="F6D6189C">
      <w:numFmt w:val="bullet"/>
      <w:lvlText w:val="-"/>
      <w:lvlJc w:val="left"/>
      <w:pPr>
        <w:ind w:left="780" w:hanging="360"/>
      </w:pPr>
      <w:rPr>
        <w:rFonts w:ascii="Arial Narrow" w:eastAsiaTheme="minorEastAsia" w:hAnsi="Arial Narrow" w:cs="Arial" w:hint="default"/>
      </w:rPr>
    </w:lvl>
    <w:lvl w:ilvl="1" w:tplc="04070003" w:tentative="1">
      <w:start w:val="1"/>
      <w:numFmt w:val="bullet"/>
      <w:lvlText w:val="o"/>
      <w:lvlJc w:val="left"/>
      <w:pPr>
        <w:ind w:left="1500" w:hanging="360"/>
      </w:pPr>
      <w:rPr>
        <w:rFonts w:ascii="Courier New" w:hAnsi="Courier New" w:cs="Courier New" w:hint="default"/>
      </w:rPr>
    </w:lvl>
    <w:lvl w:ilvl="2" w:tplc="04070005" w:tentative="1">
      <w:start w:val="1"/>
      <w:numFmt w:val="bullet"/>
      <w:lvlText w:val=""/>
      <w:lvlJc w:val="left"/>
      <w:pPr>
        <w:ind w:left="2220" w:hanging="360"/>
      </w:pPr>
      <w:rPr>
        <w:rFonts w:ascii="Wingdings" w:hAnsi="Wingdings" w:hint="default"/>
      </w:rPr>
    </w:lvl>
    <w:lvl w:ilvl="3" w:tplc="04070001" w:tentative="1">
      <w:start w:val="1"/>
      <w:numFmt w:val="bullet"/>
      <w:lvlText w:val=""/>
      <w:lvlJc w:val="left"/>
      <w:pPr>
        <w:ind w:left="2940" w:hanging="360"/>
      </w:pPr>
      <w:rPr>
        <w:rFonts w:ascii="Symbol" w:hAnsi="Symbol" w:hint="default"/>
      </w:rPr>
    </w:lvl>
    <w:lvl w:ilvl="4" w:tplc="04070003" w:tentative="1">
      <w:start w:val="1"/>
      <w:numFmt w:val="bullet"/>
      <w:lvlText w:val="o"/>
      <w:lvlJc w:val="left"/>
      <w:pPr>
        <w:ind w:left="3660" w:hanging="360"/>
      </w:pPr>
      <w:rPr>
        <w:rFonts w:ascii="Courier New" w:hAnsi="Courier New" w:cs="Courier New" w:hint="default"/>
      </w:rPr>
    </w:lvl>
    <w:lvl w:ilvl="5" w:tplc="04070005" w:tentative="1">
      <w:start w:val="1"/>
      <w:numFmt w:val="bullet"/>
      <w:lvlText w:val=""/>
      <w:lvlJc w:val="left"/>
      <w:pPr>
        <w:ind w:left="4380" w:hanging="360"/>
      </w:pPr>
      <w:rPr>
        <w:rFonts w:ascii="Wingdings" w:hAnsi="Wingdings" w:hint="default"/>
      </w:rPr>
    </w:lvl>
    <w:lvl w:ilvl="6" w:tplc="04070001" w:tentative="1">
      <w:start w:val="1"/>
      <w:numFmt w:val="bullet"/>
      <w:lvlText w:val=""/>
      <w:lvlJc w:val="left"/>
      <w:pPr>
        <w:ind w:left="5100" w:hanging="360"/>
      </w:pPr>
      <w:rPr>
        <w:rFonts w:ascii="Symbol" w:hAnsi="Symbol" w:hint="default"/>
      </w:rPr>
    </w:lvl>
    <w:lvl w:ilvl="7" w:tplc="04070003" w:tentative="1">
      <w:start w:val="1"/>
      <w:numFmt w:val="bullet"/>
      <w:lvlText w:val="o"/>
      <w:lvlJc w:val="left"/>
      <w:pPr>
        <w:ind w:left="5820" w:hanging="360"/>
      </w:pPr>
      <w:rPr>
        <w:rFonts w:ascii="Courier New" w:hAnsi="Courier New" w:cs="Courier New" w:hint="default"/>
      </w:rPr>
    </w:lvl>
    <w:lvl w:ilvl="8" w:tplc="04070005" w:tentative="1">
      <w:start w:val="1"/>
      <w:numFmt w:val="bullet"/>
      <w:lvlText w:val=""/>
      <w:lvlJc w:val="left"/>
      <w:pPr>
        <w:ind w:left="6540" w:hanging="360"/>
      </w:pPr>
      <w:rPr>
        <w:rFonts w:ascii="Wingdings" w:hAnsi="Wingdings" w:hint="default"/>
      </w:rPr>
    </w:lvl>
  </w:abstractNum>
  <w:abstractNum w:abstractNumId="22">
    <w:nsid w:val="36563A5D"/>
    <w:multiLevelType w:val="multilevel"/>
    <w:tmpl w:val="F5FE97EE"/>
    <w:lvl w:ilvl="0">
      <w:start w:val="1"/>
      <w:numFmt w:val="lowerLetter"/>
      <w:pStyle w:val="lista"/>
      <w:lvlText w:val="%1)"/>
      <w:lvlJc w:val="left"/>
      <w:pPr>
        <w:tabs>
          <w:tab w:val="num" w:pos="284"/>
        </w:tabs>
        <w:ind w:left="1418" w:hanging="284"/>
      </w:pPr>
      <w:rPr>
        <w:rFonts w:cs="Times New Roman" w:hint="default"/>
        <w:sz w:val="24"/>
      </w:rPr>
    </w:lvl>
    <w:lvl w:ilvl="1">
      <w:start w:val="1"/>
      <w:numFmt w:val="bullet"/>
      <w:lvlText w:val=""/>
      <w:lvlJc w:val="left"/>
      <w:pPr>
        <w:tabs>
          <w:tab w:val="num" w:pos="1701"/>
        </w:tabs>
        <w:ind w:left="1985" w:hanging="567"/>
      </w:pPr>
      <w:rPr>
        <w:rFonts w:ascii="Symbol" w:hAnsi="Symbol" w:hint="default"/>
      </w:rPr>
    </w:lvl>
    <w:lvl w:ilvl="2">
      <w:start w:val="1"/>
      <w:numFmt w:val="bullet"/>
      <w:lvlText w:val="−"/>
      <w:lvlJc w:val="left"/>
      <w:pPr>
        <w:tabs>
          <w:tab w:val="num" w:pos="1985"/>
        </w:tabs>
        <w:ind w:left="1985" w:hanging="284"/>
      </w:pPr>
      <w:rPr>
        <w:rFonts w:ascii="Times New Roman" w:hAnsi="Times New Roman" w:hint="default"/>
      </w:rPr>
    </w:lvl>
    <w:lvl w:ilvl="3">
      <w:start w:val="1"/>
      <w:numFmt w:val="bullet"/>
      <w:lvlText w:val="."/>
      <w:lvlJc w:val="left"/>
      <w:pPr>
        <w:tabs>
          <w:tab w:val="num" w:pos="2268"/>
        </w:tabs>
        <w:ind w:left="2268" w:hanging="283"/>
      </w:pPr>
      <w:rPr>
        <w:rFonts w:ascii="Times New Roman" w:hAnsi="Times New Roman"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
    <w:nsid w:val="36CB5185"/>
    <w:multiLevelType w:val="hybridMultilevel"/>
    <w:tmpl w:val="5A7CA17A"/>
    <w:lvl w:ilvl="0" w:tplc="EA5C884C">
      <w:start w:val="2"/>
      <w:numFmt w:val="bullet"/>
      <w:lvlText w:val="-"/>
      <w:lvlJc w:val="left"/>
      <w:pPr>
        <w:ind w:left="720" w:hanging="360"/>
      </w:pPr>
      <w:rPr>
        <w:rFont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nsid w:val="37C37A88"/>
    <w:multiLevelType w:val="hybridMultilevel"/>
    <w:tmpl w:val="0456C450"/>
    <w:lvl w:ilvl="0" w:tplc="EA5C884C">
      <w:start w:val="2"/>
      <w:numFmt w:val="bullet"/>
      <w:lvlText w:val="-"/>
      <w:lvlJc w:val="left"/>
      <w:pPr>
        <w:ind w:left="720" w:hanging="360"/>
      </w:pPr>
      <w:rPr>
        <w:rFont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nsid w:val="38A12871"/>
    <w:multiLevelType w:val="hybridMultilevel"/>
    <w:tmpl w:val="6BD682F0"/>
    <w:lvl w:ilvl="0" w:tplc="EA5C884C">
      <w:start w:val="2"/>
      <w:numFmt w:val="bullet"/>
      <w:lvlText w:val="-"/>
      <w:lvlJc w:val="left"/>
      <w:pPr>
        <w:ind w:left="360" w:hanging="360"/>
      </w:pPr>
      <w:rPr>
        <w:rFonts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6">
    <w:nsid w:val="38DD23ED"/>
    <w:multiLevelType w:val="hybridMultilevel"/>
    <w:tmpl w:val="1AB8557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39483860"/>
    <w:multiLevelType w:val="hybridMultilevel"/>
    <w:tmpl w:val="AAB0C738"/>
    <w:lvl w:ilvl="0" w:tplc="2E26D014">
      <w:start w:val="2"/>
      <w:numFmt w:val="bullet"/>
      <w:lvlText w:val="-"/>
      <w:lvlJc w:val="left"/>
      <w:pPr>
        <w:ind w:left="360" w:hanging="360"/>
      </w:pPr>
      <w:rPr>
        <w:rFont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8">
    <w:nsid w:val="39681C0F"/>
    <w:multiLevelType w:val="hybridMultilevel"/>
    <w:tmpl w:val="22C07134"/>
    <w:lvl w:ilvl="0" w:tplc="040C0003">
      <w:start w:val="1"/>
      <w:numFmt w:val="bullet"/>
      <w:lvlText w:val="o"/>
      <w:lvlJc w:val="left"/>
      <w:pPr>
        <w:ind w:left="1776" w:hanging="360"/>
      </w:pPr>
      <w:rPr>
        <w:rFonts w:ascii="Courier New" w:hAnsi="Courier New" w:cs="Courier New" w:hint="default"/>
      </w:rPr>
    </w:lvl>
    <w:lvl w:ilvl="1" w:tplc="040C0003">
      <w:start w:val="1"/>
      <w:numFmt w:val="bullet"/>
      <w:lvlText w:val="o"/>
      <w:lvlJc w:val="left"/>
      <w:pPr>
        <w:ind w:left="2496" w:hanging="360"/>
      </w:pPr>
      <w:rPr>
        <w:rFonts w:ascii="Courier New" w:hAnsi="Courier New" w:cs="Courier New" w:hint="default"/>
      </w:rPr>
    </w:lvl>
    <w:lvl w:ilvl="2" w:tplc="040C0005" w:tentative="1">
      <w:start w:val="1"/>
      <w:numFmt w:val="bullet"/>
      <w:lvlText w:val=""/>
      <w:lvlJc w:val="left"/>
      <w:pPr>
        <w:ind w:left="3216" w:hanging="360"/>
      </w:pPr>
      <w:rPr>
        <w:rFonts w:ascii="Wingdings" w:hAnsi="Wingdings" w:hint="default"/>
      </w:rPr>
    </w:lvl>
    <w:lvl w:ilvl="3" w:tplc="040C0001" w:tentative="1">
      <w:start w:val="1"/>
      <w:numFmt w:val="bullet"/>
      <w:lvlText w:val=""/>
      <w:lvlJc w:val="left"/>
      <w:pPr>
        <w:ind w:left="3936" w:hanging="360"/>
      </w:pPr>
      <w:rPr>
        <w:rFonts w:ascii="Symbol" w:hAnsi="Symbol" w:hint="default"/>
      </w:rPr>
    </w:lvl>
    <w:lvl w:ilvl="4" w:tplc="040C0003" w:tentative="1">
      <w:start w:val="1"/>
      <w:numFmt w:val="bullet"/>
      <w:lvlText w:val="o"/>
      <w:lvlJc w:val="left"/>
      <w:pPr>
        <w:ind w:left="4656" w:hanging="360"/>
      </w:pPr>
      <w:rPr>
        <w:rFonts w:ascii="Courier New" w:hAnsi="Courier New" w:cs="Courier New" w:hint="default"/>
      </w:rPr>
    </w:lvl>
    <w:lvl w:ilvl="5" w:tplc="040C0005" w:tentative="1">
      <w:start w:val="1"/>
      <w:numFmt w:val="bullet"/>
      <w:lvlText w:val=""/>
      <w:lvlJc w:val="left"/>
      <w:pPr>
        <w:ind w:left="5376" w:hanging="360"/>
      </w:pPr>
      <w:rPr>
        <w:rFonts w:ascii="Wingdings" w:hAnsi="Wingdings" w:hint="default"/>
      </w:rPr>
    </w:lvl>
    <w:lvl w:ilvl="6" w:tplc="040C0001" w:tentative="1">
      <w:start w:val="1"/>
      <w:numFmt w:val="bullet"/>
      <w:lvlText w:val=""/>
      <w:lvlJc w:val="left"/>
      <w:pPr>
        <w:ind w:left="6096" w:hanging="360"/>
      </w:pPr>
      <w:rPr>
        <w:rFonts w:ascii="Symbol" w:hAnsi="Symbol" w:hint="default"/>
      </w:rPr>
    </w:lvl>
    <w:lvl w:ilvl="7" w:tplc="040C0003" w:tentative="1">
      <w:start w:val="1"/>
      <w:numFmt w:val="bullet"/>
      <w:lvlText w:val="o"/>
      <w:lvlJc w:val="left"/>
      <w:pPr>
        <w:ind w:left="6816" w:hanging="360"/>
      </w:pPr>
      <w:rPr>
        <w:rFonts w:ascii="Courier New" w:hAnsi="Courier New" w:cs="Courier New" w:hint="default"/>
      </w:rPr>
    </w:lvl>
    <w:lvl w:ilvl="8" w:tplc="040C0005" w:tentative="1">
      <w:start w:val="1"/>
      <w:numFmt w:val="bullet"/>
      <w:lvlText w:val=""/>
      <w:lvlJc w:val="left"/>
      <w:pPr>
        <w:ind w:left="7536" w:hanging="360"/>
      </w:pPr>
      <w:rPr>
        <w:rFonts w:ascii="Wingdings" w:hAnsi="Wingdings" w:hint="default"/>
      </w:rPr>
    </w:lvl>
  </w:abstractNum>
  <w:abstractNum w:abstractNumId="29">
    <w:nsid w:val="3C427CD7"/>
    <w:multiLevelType w:val="hybridMultilevel"/>
    <w:tmpl w:val="2D3A5178"/>
    <w:lvl w:ilvl="0" w:tplc="08090003">
      <w:start w:val="1"/>
      <w:numFmt w:val="bullet"/>
      <w:lvlText w:val="o"/>
      <w:lvlJc w:val="left"/>
      <w:pPr>
        <w:ind w:left="720" w:hanging="360"/>
      </w:pPr>
      <w:rPr>
        <w:rFonts w:ascii="Courier New" w:hAnsi="Courier New"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
    <w:nsid w:val="3D467944"/>
    <w:multiLevelType w:val="hybridMultilevel"/>
    <w:tmpl w:val="099E5770"/>
    <w:lvl w:ilvl="0" w:tplc="7BB0A246">
      <w:numFmt w:val="bullet"/>
      <w:lvlText w:val="-"/>
      <w:lvlJc w:val="left"/>
      <w:pPr>
        <w:tabs>
          <w:tab w:val="num" w:pos="360"/>
        </w:tabs>
        <w:ind w:left="360" w:hanging="360"/>
      </w:pPr>
      <w:rPr>
        <w:rFonts w:ascii="Arial" w:eastAsiaTheme="minorHAnsi" w:hAnsi="Arial" w:cs="Aria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1">
    <w:nsid w:val="404A1382"/>
    <w:multiLevelType w:val="hybridMultilevel"/>
    <w:tmpl w:val="16645190"/>
    <w:lvl w:ilvl="0" w:tplc="75DAB716">
      <w:start w:val="1"/>
      <w:numFmt w:val="bullet"/>
      <w:lvlText w:val="o"/>
      <w:lvlJc w:val="left"/>
      <w:pPr>
        <w:ind w:left="720" w:hanging="360"/>
      </w:pPr>
      <w:rPr>
        <w:rFonts w:ascii="Courier New" w:hAnsi="Courier New" w:cs="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nsid w:val="40EE37B6"/>
    <w:multiLevelType w:val="hybridMultilevel"/>
    <w:tmpl w:val="EA4E596E"/>
    <w:lvl w:ilvl="0" w:tplc="F6D6189C">
      <w:numFmt w:val="bullet"/>
      <w:lvlText w:val="-"/>
      <w:lvlJc w:val="left"/>
      <w:pPr>
        <w:ind w:left="360" w:hanging="360"/>
      </w:pPr>
      <w:rPr>
        <w:rFonts w:ascii="Arial Narrow" w:eastAsiaTheme="minorEastAsia" w:hAnsi="Arial Narrow" w:cs="Aria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3">
    <w:nsid w:val="41D679B7"/>
    <w:multiLevelType w:val="hybridMultilevel"/>
    <w:tmpl w:val="89FCFF40"/>
    <w:lvl w:ilvl="0" w:tplc="75DAB716">
      <w:start w:val="1"/>
      <w:numFmt w:val="bullet"/>
      <w:lvlText w:val="o"/>
      <w:lvlJc w:val="left"/>
      <w:pPr>
        <w:ind w:left="720" w:hanging="360"/>
      </w:pPr>
      <w:rPr>
        <w:rFonts w:ascii="Courier New" w:hAnsi="Courier New" w:cs="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nsid w:val="43DD3612"/>
    <w:multiLevelType w:val="hybridMultilevel"/>
    <w:tmpl w:val="F26A80B4"/>
    <w:lvl w:ilvl="0" w:tplc="7BB0A246">
      <w:numFmt w:val="bullet"/>
      <w:lvlText w:val="-"/>
      <w:lvlJc w:val="left"/>
      <w:pPr>
        <w:ind w:left="644" w:hanging="360"/>
      </w:pPr>
      <w:rPr>
        <w:rFonts w:ascii="Arial" w:eastAsiaTheme="minorHAnsi" w:hAnsi="Arial" w:cs="Arial"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nsid w:val="46101ACA"/>
    <w:multiLevelType w:val="hybridMultilevel"/>
    <w:tmpl w:val="B9047EB2"/>
    <w:lvl w:ilvl="0" w:tplc="04070001">
      <w:start w:val="1"/>
      <w:numFmt w:val="bullet"/>
      <w:lvlText w:val=""/>
      <w:lvlJc w:val="left"/>
      <w:pPr>
        <w:tabs>
          <w:tab w:val="num" w:pos="2061"/>
        </w:tabs>
        <w:ind w:left="2061" w:hanging="360"/>
      </w:pPr>
      <w:rPr>
        <w:rFonts w:ascii="Symbol" w:hAnsi="Symbol" w:hint="default"/>
      </w:rPr>
    </w:lvl>
    <w:lvl w:ilvl="1" w:tplc="04070003">
      <w:start w:val="1"/>
      <w:numFmt w:val="bullet"/>
      <w:lvlText w:val="o"/>
      <w:lvlJc w:val="left"/>
      <w:pPr>
        <w:tabs>
          <w:tab w:val="num" w:pos="2781"/>
        </w:tabs>
        <w:ind w:left="2781" w:hanging="360"/>
      </w:pPr>
      <w:rPr>
        <w:rFonts w:ascii="Courier New" w:hAnsi="Courier New" w:cs="Times New Roman" w:hint="default"/>
      </w:rPr>
    </w:lvl>
    <w:lvl w:ilvl="2" w:tplc="04070005">
      <w:start w:val="1"/>
      <w:numFmt w:val="bullet"/>
      <w:lvlText w:val=""/>
      <w:lvlJc w:val="left"/>
      <w:pPr>
        <w:tabs>
          <w:tab w:val="num" w:pos="3501"/>
        </w:tabs>
        <w:ind w:left="3501" w:hanging="360"/>
      </w:pPr>
      <w:rPr>
        <w:rFonts w:ascii="Wingdings" w:hAnsi="Wingdings" w:hint="default"/>
      </w:rPr>
    </w:lvl>
    <w:lvl w:ilvl="3" w:tplc="04070001">
      <w:start w:val="1"/>
      <w:numFmt w:val="bullet"/>
      <w:lvlText w:val=""/>
      <w:lvlJc w:val="left"/>
      <w:pPr>
        <w:tabs>
          <w:tab w:val="num" w:pos="4221"/>
        </w:tabs>
        <w:ind w:left="4221" w:hanging="360"/>
      </w:pPr>
      <w:rPr>
        <w:rFonts w:ascii="Symbol" w:hAnsi="Symbol" w:hint="default"/>
      </w:rPr>
    </w:lvl>
    <w:lvl w:ilvl="4" w:tplc="04070003">
      <w:start w:val="1"/>
      <w:numFmt w:val="bullet"/>
      <w:lvlText w:val="o"/>
      <w:lvlJc w:val="left"/>
      <w:pPr>
        <w:tabs>
          <w:tab w:val="num" w:pos="4941"/>
        </w:tabs>
        <w:ind w:left="4941" w:hanging="360"/>
      </w:pPr>
      <w:rPr>
        <w:rFonts w:ascii="Courier New" w:hAnsi="Courier New" w:cs="Times New Roman" w:hint="default"/>
      </w:rPr>
    </w:lvl>
    <w:lvl w:ilvl="5" w:tplc="04070005">
      <w:start w:val="1"/>
      <w:numFmt w:val="bullet"/>
      <w:lvlText w:val=""/>
      <w:lvlJc w:val="left"/>
      <w:pPr>
        <w:tabs>
          <w:tab w:val="num" w:pos="5661"/>
        </w:tabs>
        <w:ind w:left="5661" w:hanging="360"/>
      </w:pPr>
      <w:rPr>
        <w:rFonts w:ascii="Wingdings" w:hAnsi="Wingdings" w:hint="default"/>
      </w:rPr>
    </w:lvl>
    <w:lvl w:ilvl="6" w:tplc="04070001">
      <w:start w:val="1"/>
      <w:numFmt w:val="bullet"/>
      <w:lvlText w:val=""/>
      <w:lvlJc w:val="left"/>
      <w:pPr>
        <w:tabs>
          <w:tab w:val="num" w:pos="6381"/>
        </w:tabs>
        <w:ind w:left="6381" w:hanging="360"/>
      </w:pPr>
      <w:rPr>
        <w:rFonts w:ascii="Symbol" w:hAnsi="Symbol" w:hint="default"/>
      </w:rPr>
    </w:lvl>
    <w:lvl w:ilvl="7" w:tplc="04070003">
      <w:start w:val="1"/>
      <w:numFmt w:val="bullet"/>
      <w:lvlText w:val="o"/>
      <w:lvlJc w:val="left"/>
      <w:pPr>
        <w:tabs>
          <w:tab w:val="num" w:pos="7101"/>
        </w:tabs>
        <w:ind w:left="7101" w:hanging="360"/>
      </w:pPr>
      <w:rPr>
        <w:rFonts w:ascii="Courier New" w:hAnsi="Courier New" w:cs="Times New Roman" w:hint="default"/>
      </w:rPr>
    </w:lvl>
    <w:lvl w:ilvl="8" w:tplc="04070005">
      <w:start w:val="1"/>
      <w:numFmt w:val="bullet"/>
      <w:lvlText w:val=""/>
      <w:lvlJc w:val="left"/>
      <w:pPr>
        <w:tabs>
          <w:tab w:val="num" w:pos="7821"/>
        </w:tabs>
        <w:ind w:left="7821" w:hanging="360"/>
      </w:pPr>
      <w:rPr>
        <w:rFonts w:ascii="Wingdings" w:hAnsi="Wingdings" w:hint="default"/>
      </w:rPr>
    </w:lvl>
  </w:abstractNum>
  <w:abstractNum w:abstractNumId="36">
    <w:nsid w:val="478F0D8D"/>
    <w:multiLevelType w:val="hybridMultilevel"/>
    <w:tmpl w:val="9744990E"/>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nsid w:val="4B5379E2"/>
    <w:multiLevelType w:val="multilevel"/>
    <w:tmpl w:val="F9D03FA4"/>
    <w:lvl w:ilvl="0">
      <w:start w:val="1"/>
      <w:numFmt w:val="decimal"/>
      <w:lvlText w:val="%1."/>
      <w:lvlJc w:val="left"/>
      <w:pPr>
        <w:tabs>
          <w:tab w:val="num" w:pos="360"/>
        </w:tabs>
        <w:ind w:left="360" w:hanging="360"/>
      </w:pPr>
    </w:lvl>
    <w:lvl w:ilvl="1">
      <w:start w:val="1"/>
      <w:numFmt w:val="decimal"/>
      <w:lvlText w:val="%1.%2."/>
      <w:lvlJc w:val="left"/>
      <w:pPr>
        <w:tabs>
          <w:tab w:val="num" w:pos="574"/>
        </w:tabs>
        <w:ind w:left="574" w:hanging="432"/>
      </w:pPr>
      <w:rPr>
        <w:b/>
        <w:color w:val="auto"/>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8">
    <w:nsid w:val="4F483B0C"/>
    <w:multiLevelType w:val="hybridMultilevel"/>
    <w:tmpl w:val="E7E0411C"/>
    <w:lvl w:ilvl="0" w:tplc="87FC58E2">
      <w:numFmt w:val="bullet"/>
      <w:lvlText w:val="-"/>
      <w:lvlJc w:val="left"/>
      <w:pPr>
        <w:ind w:left="360" w:hanging="360"/>
      </w:pPr>
      <w:rPr>
        <w:rFonts w:ascii="Arial Narrow" w:eastAsiaTheme="minorEastAsia" w:hAnsi="Arial Narrow"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9">
    <w:nsid w:val="4F6F1217"/>
    <w:multiLevelType w:val="hybridMultilevel"/>
    <w:tmpl w:val="419A3D52"/>
    <w:lvl w:ilvl="0" w:tplc="04070001">
      <w:start w:val="1"/>
      <w:numFmt w:val="bullet"/>
      <w:lvlText w:val=""/>
      <w:lvlJc w:val="left"/>
      <w:pPr>
        <w:tabs>
          <w:tab w:val="num" w:pos="432"/>
        </w:tabs>
        <w:ind w:left="432" w:hanging="360"/>
      </w:pPr>
      <w:rPr>
        <w:rFonts w:ascii="Symbol" w:hAnsi="Symbol" w:hint="default"/>
      </w:rPr>
    </w:lvl>
    <w:lvl w:ilvl="1" w:tplc="04070003" w:tentative="1">
      <w:start w:val="1"/>
      <w:numFmt w:val="bullet"/>
      <w:lvlText w:val="o"/>
      <w:lvlJc w:val="left"/>
      <w:pPr>
        <w:tabs>
          <w:tab w:val="num" w:pos="1152"/>
        </w:tabs>
        <w:ind w:left="1152" w:hanging="360"/>
      </w:pPr>
      <w:rPr>
        <w:rFonts w:ascii="Courier New" w:hAnsi="Courier New" w:cs="Courier New" w:hint="default"/>
      </w:rPr>
    </w:lvl>
    <w:lvl w:ilvl="2" w:tplc="04070005" w:tentative="1">
      <w:start w:val="1"/>
      <w:numFmt w:val="bullet"/>
      <w:lvlText w:val=""/>
      <w:lvlJc w:val="left"/>
      <w:pPr>
        <w:tabs>
          <w:tab w:val="num" w:pos="1872"/>
        </w:tabs>
        <w:ind w:left="1872" w:hanging="360"/>
      </w:pPr>
      <w:rPr>
        <w:rFonts w:ascii="Wingdings" w:hAnsi="Wingdings" w:hint="default"/>
      </w:rPr>
    </w:lvl>
    <w:lvl w:ilvl="3" w:tplc="04070001" w:tentative="1">
      <w:start w:val="1"/>
      <w:numFmt w:val="bullet"/>
      <w:lvlText w:val=""/>
      <w:lvlJc w:val="left"/>
      <w:pPr>
        <w:tabs>
          <w:tab w:val="num" w:pos="2592"/>
        </w:tabs>
        <w:ind w:left="2592" w:hanging="360"/>
      </w:pPr>
      <w:rPr>
        <w:rFonts w:ascii="Symbol" w:hAnsi="Symbol" w:hint="default"/>
      </w:rPr>
    </w:lvl>
    <w:lvl w:ilvl="4" w:tplc="04070003" w:tentative="1">
      <w:start w:val="1"/>
      <w:numFmt w:val="bullet"/>
      <w:lvlText w:val="o"/>
      <w:lvlJc w:val="left"/>
      <w:pPr>
        <w:tabs>
          <w:tab w:val="num" w:pos="3312"/>
        </w:tabs>
        <w:ind w:left="3312" w:hanging="360"/>
      </w:pPr>
      <w:rPr>
        <w:rFonts w:ascii="Courier New" w:hAnsi="Courier New" w:cs="Courier New" w:hint="default"/>
      </w:rPr>
    </w:lvl>
    <w:lvl w:ilvl="5" w:tplc="04070005" w:tentative="1">
      <w:start w:val="1"/>
      <w:numFmt w:val="bullet"/>
      <w:lvlText w:val=""/>
      <w:lvlJc w:val="left"/>
      <w:pPr>
        <w:tabs>
          <w:tab w:val="num" w:pos="4032"/>
        </w:tabs>
        <w:ind w:left="4032" w:hanging="360"/>
      </w:pPr>
      <w:rPr>
        <w:rFonts w:ascii="Wingdings" w:hAnsi="Wingdings" w:hint="default"/>
      </w:rPr>
    </w:lvl>
    <w:lvl w:ilvl="6" w:tplc="04070001" w:tentative="1">
      <w:start w:val="1"/>
      <w:numFmt w:val="bullet"/>
      <w:lvlText w:val=""/>
      <w:lvlJc w:val="left"/>
      <w:pPr>
        <w:tabs>
          <w:tab w:val="num" w:pos="4752"/>
        </w:tabs>
        <w:ind w:left="4752" w:hanging="360"/>
      </w:pPr>
      <w:rPr>
        <w:rFonts w:ascii="Symbol" w:hAnsi="Symbol" w:hint="default"/>
      </w:rPr>
    </w:lvl>
    <w:lvl w:ilvl="7" w:tplc="04070003" w:tentative="1">
      <w:start w:val="1"/>
      <w:numFmt w:val="bullet"/>
      <w:lvlText w:val="o"/>
      <w:lvlJc w:val="left"/>
      <w:pPr>
        <w:tabs>
          <w:tab w:val="num" w:pos="5472"/>
        </w:tabs>
        <w:ind w:left="5472" w:hanging="360"/>
      </w:pPr>
      <w:rPr>
        <w:rFonts w:ascii="Courier New" w:hAnsi="Courier New" w:cs="Courier New" w:hint="default"/>
      </w:rPr>
    </w:lvl>
    <w:lvl w:ilvl="8" w:tplc="04070005" w:tentative="1">
      <w:start w:val="1"/>
      <w:numFmt w:val="bullet"/>
      <w:lvlText w:val=""/>
      <w:lvlJc w:val="left"/>
      <w:pPr>
        <w:tabs>
          <w:tab w:val="num" w:pos="6192"/>
        </w:tabs>
        <w:ind w:left="6192" w:hanging="360"/>
      </w:pPr>
      <w:rPr>
        <w:rFonts w:ascii="Wingdings" w:hAnsi="Wingdings" w:hint="default"/>
      </w:rPr>
    </w:lvl>
  </w:abstractNum>
  <w:abstractNum w:abstractNumId="40">
    <w:nsid w:val="50A1047C"/>
    <w:multiLevelType w:val="hybridMultilevel"/>
    <w:tmpl w:val="632E3DA0"/>
    <w:lvl w:ilvl="0" w:tplc="883AA02A">
      <w:numFmt w:val="bullet"/>
      <w:lvlText w:val="-"/>
      <w:lvlJc w:val="left"/>
      <w:pPr>
        <w:ind w:left="360" w:hanging="360"/>
      </w:pPr>
      <w:rPr>
        <w:rFonts w:ascii="Arial" w:eastAsia="Times New Roman" w:hAnsi="Arial" w:cs="Aria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1">
    <w:nsid w:val="51A30E09"/>
    <w:multiLevelType w:val="hybridMultilevel"/>
    <w:tmpl w:val="3104E486"/>
    <w:lvl w:ilvl="0" w:tplc="10EC71A6">
      <w:start w:val="1"/>
      <w:numFmt w:val="bullet"/>
      <w:pStyle w:val="PuceBleue"/>
      <w:lvlText w:val=""/>
      <w:lvlJc w:val="left"/>
      <w:pPr>
        <w:ind w:left="900" w:hanging="360"/>
      </w:pPr>
      <w:rPr>
        <w:rFonts w:ascii="Symbol" w:hAnsi="Symbol" w:hint="default"/>
        <w:b w:val="0"/>
        <w:i w:val="0"/>
        <w:color w:val="auto"/>
        <w:sz w:val="20"/>
      </w:rPr>
    </w:lvl>
    <w:lvl w:ilvl="1" w:tplc="040C0003">
      <w:start w:val="1"/>
      <w:numFmt w:val="bullet"/>
      <w:lvlText w:val="o"/>
      <w:lvlJc w:val="left"/>
      <w:pPr>
        <w:ind w:left="1620" w:hanging="360"/>
      </w:pPr>
      <w:rPr>
        <w:rFonts w:ascii="Courier New" w:hAnsi="Courier New" w:cs="Courier New" w:hint="default"/>
      </w:rPr>
    </w:lvl>
    <w:lvl w:ilvl="2" w:tplc="040C0005" w:tentative="1">
      <w:start w:val="1"/>
      <w:numFmt w:val="bullet"/>
      <w:lvlText w:val=""/>
      <w:lvlJc w:val="left"/>
      <w:pPr>
        <w:ind w:left="2340" w:hanging="360"/>
      </w:pPr>
      <w:rPr>
        <w:rFonts w:ascii="Wingdings" w:hAnsi="Wingdings" w:hint="default"/>
      </w:rPr>
    </w:lvl>
    <w:lvl w:ilvl="3" w:tplc="040C0001" w:tentative="1">
      <w:start w:val="1"/>
      <w:numFmt w:val="bullet"/>
      <w:lvlText w:val=""/>
      <w:lvlJc w:val="left"/>
      <w:pPr>
        <w:ind w:left="3060" w:hanging="360"/>
      </w:pPr>
      <w:rPr>
        <w:rFonts w:ascii="Symbol" w:hAnsi="Symbol" w:hint="default"/>
      </w:rPr>
    </w:lvl>
    <w:lvl w:ilvl="4" w:tplc="040C0003" w:tentative="1">
      <w:start w:val="1"/>
      <w:numFmt w:val="bullet"/>
      <w:lvlText w:val="o"/>
      <w:lvlJc w:val="left"/>
      <w:pPr>
        <w:ind w:left="3780" w:hanging="360"/>
      </w:pPr>
      <w:rPr>
        <w:rFonts w:ascii="Courier New" w:hAnsi="Courier New" w:cs="Courier New" w:hint="default"/>
      </w:rPr>
    </w:lvl>
    <w:lvl w:ilvl="5" w:tplc="040C0005" w:tentative="1">
      <w:start w:val="1"/>
      <w:numFmt w:val="bullet"/>
      <w:lvlText w:val=""/>
      <w:lvlJc w:val="left"/>
      <w:pPr>
        <w:ind w:left="4500" w:hanging="360"/>
      </w:pPr>
      <w:rPr>
        <w:rFonts w:ascii="Wingdings" w:hAnsi="Wingdings" w:hint="default"/>
      </w:rPr>
    </w:lvl>
    <w:lvl w:ilvl="6" w:tplc="040C0001" w:tentative="1">
      <w:start w:val="1"/>
      <w:numFmt w:val="bullet"/>
      <w:lvlText w:val=""/>
      <w:lvlJc w:val="left"/>
      <w:pPr>
        <w:ind w:left="5220" w:hanging="360"/>
      </w:pPr>
      <w:rPr>
        <w:rFonts w:ascii="Symbol" w:hAnsi="Symbol" w:hint="default"/>
      </w:rPr>
    </w:lvl>
    <w:lvl w:ilvl="7" w:tplc="040C0003" w:tentative="1">
      <w:start w:val="1"/>
      <w:numFmt w:val="bullet"/>
      <w:lvlText w:val="o"/>
      <w:lvlJc w:val="left"/>
      <w:pPr>
        <w:ind w:left="5940" w:hanging="360"/>
      </w:pPr>
      <w:rPr>
        <w:rFonts w:ascii="Courier New" w:hAnsi="Courier New" w:cs="Courier New" w:hint="default"/>
      </w:rPr>
    </w:lvl>
    <w:lvl w:ilvl="8" w:tplc="040C0005" w:tentative="1">
      <w:start w:val="1"/>
      <w:numFmt w:val="bullet"/>
      <w:lvlText w:val=""/>
      <w:lvlJc w:val="left"/>
      <w:pPr>
        <w:ind w:left="6660" w:hanging="360"/>
      </w:pPr>
      <w:rPr>
        <w:rFonts w:ascii="Wingdings" w:hAnsi="Wingdings" w:hint="default"/>
      </w:rPr>
    </w:lvl>
  </w:abstractNum>
  <w:abstractNum w:abstractNumId="42">
    <w:nsid w:val="54A50AF4"/>
    <w:multiLevelType w:val="hybridMultilevel"/>
    <w:tmpl w:val="3ABE08F6"/>
    <w:lvl w:ilvl="0" w:tplc="2E26D014">
      <w:start w:val="2"/>
      <w:numFmt w:val="bullet"/>
      <w:lvlText w:val="-"/>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nsid w:val="561B02FF"/>
    <w:multiLevelType w:val="hybridMultilevel"/>
    <w:tmpl w:val="3878D1C4"/>
    <w:lvl w:ilvl="0" w:tplc="75DAB716">
      <w:start w:val="1"/>
      <w:numFmt w:val="bullet"/>
      <w:lvlText w:val="o"/>
      <w:lvlJc w:val="left"/>
      <w:pPr>
        <w:ind w:left="720" w:hanging="360"/>
      </w:pPr>
      <w:rPr>
        <w:rFonts w:ascii="Courier New" w:hAnsi="Courier New" w:cs="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nsid w:val="57CE4491"/>
    <w:multiLevelType w:val="multilevel"/>
    <w:tmpl w:val="436E3708"/>
    <w:styleLink w:val="Aufzhlungszeichen1"/>
    <w:lvl w:ilvl="0">
      <w:start w:val="1"/>
      <w:numFmt w:val="bullet"/>
      <w:lvlText w:val=""/>
      <w:lvlJc w:val="left"/>
      <w:pPr>
        <w:tabs>
          <w:tab w:val="num" w:pos="1418"/>
        </w:tabs>
        <w:ind w:left="1418" w:hanging="284"/>
      </w:pPr>
      <w:rPr>
        <w:rFonts w:ascii="Symbol" w:hAnsi="Symbol" w:hint="default"/>
        <w:sz w:val="24"/>
      </w:rPr>
    </w:lvl>
    <w:lvl w:ilvl="1">
      <w:start w:val="1"/>
      <w:numFmt w:val="bullet"/>
      <w:lvlText w:val="−"/>
      <w:lvlJc w:val="left"/>
      <w:pPr>
        <w:tabs>
          <w:tab w:val="num" w:pos="1701"/>
        </w:tabs>
        <w:ind w:left="1701" w:hanging="283"/>
      </w:pPr>
      <w:rPr>
        <w:rFonts w:ascii="Times New Roman" w:hAnsi="Times New Roman" w:hint="default"/>
      </w:rPr>
    </w:lvl>
    <w:lvl w:ilvl="2">
      <w:start w:val="1"/>
      <w:numFmt w:val="bullet"/>
      <w:lvlText w:val="."/>
      <w:lvlJc w:val="left"/>
      <w:pPr>
        <w:tabs>
          <w:tab w:val="num" w:pos="1985"/>
        </w:tabs>
        <w:ind w:left="1985" w:hanging="284"/>
      </w:pPr>
      <w:rPr>
        <w:rFonts w:ascii="Times New Roman" w:hAnsi="Times New Roman"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5">
    <w:nsid w:val="584770BA"/>
    <w:multiLevelType w:val="hybridMultilevel"/>
    <w:tmpl w:val="B40A7DFA"/>
    <w:lvl w:ilvl="0" w:tplc="0809000B">
      <w:start w:val="1"/>
      <w:numFmt w:val="bullet"/>
      <w:lvlText w:val=""/>
      <w:lvlJc w:val="left"/>
      <w:pPr>
        <w:ind w:left="720" w:hanging="360"/>
      </w:pPr>
      <w:rPr>
        <w:rFonts w:ascii="Wingdings" w:hAnsi="Wingdings" w:hint="default"/>
      </w:rPr>
    </w:lvl>
    <w:lvl w:ilvl="1" w:tplc="080C0003">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6">
    <w:nsid w:val="59974D1B"/>
    <w:multiLevelType w:val="hybridMultilevel"/>
    <w:tmpl w:val="905E0490"/>
    <w:lvl w:ilvl="0" w:tplc="F6D6189C">
      <w:numFmt w:val="bullet"/>
      <w:lvlText w:val="-"/>
      <w:lvlJc w:val="left"/>
      <w:pPr>
        <w:ind w:left="720" w:hanging="360"/>
      </w:pPr>
      <w:rPr>
        <w:rFonts w:ascii="Arial Narrow" w:eastAsiaTheme="minorEastAsia" w:hAnsi="Arial Narrow" w:cs="Arial" w:hint="default"/>
      </w:rPr>
    </w:lvl>
    <w:lvl w:ilvl="1" w:tplc="F6D6189C">
      <w:numFmt w:val="bullet"/>
      <w:lvlText w:val="-"/>
      <w:lvlJc w:val="left"/>
      <w:pPr>
        <w:ind w:left="1440" w:hanging="360"/>
      </w:pPr>
      <w:rPr>
        <w:rFonts w:ascii="Arial Narrow" w:eastAsiaTheme="minorEastAsia" w:hAnsi="Arial Narrow"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nsid w:val="5B290904"/>
    <w:multiLevelType w:val="hybridMultilevel"/>
    <w:tmpl w:val="1ECAA1E4"/>
    <w:lvl w:ilvl="0" w:tplc="04070001">
      <w:start w:val="1"/>
      <w:numFmt w:val="bullet"/>
      <w:lvlText w:val=""/>
      <w:lvlJc w:val="left"/>
      <w:pPr>
        <w:tabs>
          <w:tab w:val="num" w:pos="360"/>
        </w:tabs>
        <w:ind w:left="360" w:hanging="360"/>
      </w:pPr>
      <w:rPr>
        <w:rFonts w:ascii="Symbol" w:hAnsi="Symbol" w:hint="default"/>
      </w:rPr>
    </w:lvl>
    <w:lvl w:ilvl="1" w:tplc="1AACC010">
      <w:start w:val="1"/>
      <w:numFmt w:val="bullet"/>
      <w:lvlText w:val=""/>
      <w:lvlJc w:val="left"/>
      <w:pPr>
        <w:tabs>
          <w:tab w:val="num" w:pos="1080"/>
        </w:tabs>
        <w:ind w:left="1080" w:hanging="360"/>
      </w:pPr>
      <w:rPr>
        <w:rFonts w:ascii="Wingdings" w:hAnsi="Wingdings" w:hint="default"/>
      </w:rPr>
    </w:lvl>
    <w:lvl w:ilvl="2" w:tplc="04070005">
      <w:start w:val="1"/>
      <w:numFmt w:val="bullet"/>
      <w:lvlText w:val=""/>
      <w:lvlJc w:val="left"/>
      <w:pPr>
        <w:tabs>
          <w:tab w:val="num" w:pos="1800"/>
        </w:tabs>
        <w:ind w:left="1800" w:hanging="360"/>
      </w:pPr>
      <w:rPr>
        <w:rFonts w:ascii="Wingdings" w:hAnsi="Wingdings" w:hint="default"/>
      </w:rPr>
    </w:lvl>
    <w:lvl w:ilvl="3" w:tplc="04070001">
      <w:start w:val="1"/>
      <w:numFmt w:val="bullet"/>
      <w:lvlText w:val=""/>
      <w:lvlJc w:val="left"/>
      <w:pPr>
        <w:tabs>
          <w:tab w:val="num" w:pos="2520"/>
        </w:tabs>
        <w:ind w:left="2520" w:hanging="360"/>
      </w:pPr>
      <w:rPr>
        <w:rFonts w:ascii="Symbol" w:hAnsi="Symbol" w:hint="default"/>
      </w:rPr>
    </w:lvl>
    <w:lvl w:ilvl="4" w:tplc="04070003">
      <w:start w:val="1"/>
      <w:numFmt w:val="bullet"/>
      <w:lvlText w:val="o"/>
      <w:lvlJc w:val="left"/>
      <w:pPr>
        <w:tabs>
          <w:tab w:val="num" w:pos="3240"/>
        </w:tabs>
        <w:ind w:left="3240" w:hanging="360"/>
      </w:pPr>
      <w:rPr>
        <w:rFonts w:ascii="Courier New" w:hAnsi="Courier New" w:cs="Courier New" w:hint="default"/>
      </w:rPr>
    </w:lvl>
    <w:lvl w:ilvl="5" w:tplc="04070005">
      <w:start w:val="1"/>
      <w:numFmt w:val="bullet"/>
      <w:lvlText w:val=""/>
      <w:lvlJc w:val="left"/>
      <w:pPr>
        <w:tabs>
          <w:tab w:val="num" w:pos="3960"/>
        </w:tabs>
        <w:ind w:left="3960" w:hanging="360"/>
      </w:pPr>
      <w:rPr>
        <w:rFonts w:ascii="Wingdings" w:hAnsi="Wingdings" w:hint="default"/>
      </w:rPr>
    </w:lvl>
    <w:lvl w:ilvl="6" w:tplc="04070001">
      <w:start w:val="1"/>
      <w:numFmt w:val="bullet"/>
      <w:lvlText w:val=""/>
      <w:lvlJc w:val="left"/>
      <w:pPr>
        <w:tabs>
          <w:tab w:val="num" w:pos="4680"/>
        </w:tabs>
        <w:ind w:left="4680" w:hanging="360"/>
      </w:pPr>
      <w:rPr>
        <w:rFonts w:ascii="Symbol" w:hAnsi="Symbol" w:hint="default"/>
      </w:rPr>
    </w:lvl>
    <w:lvl w:ilvl="7" w:tplc="04070003">
      <w:start w:val="1"/>
      <w:numFmt w:val="bullet"/>
      <w:lvlText w:val="o"/>
      <w:lvlJc w:val="left"/>
      <w:pPr>
        <w:tabs>
          <w:tab w:val="num" w:pos="5400"/>
        </w:tabs>
        <w:ind w:left="5400" w:hanging="360"/>
      </w:pPr>
      <w:rPr>
        <w:rFonts w:ascii="Courier New" w:hAnsi="Courier New" w:cs="Courier New" w:hint="default"/>
      </w:rPr>
    </w:lvl>
    <w:lvl w:ilvl="8" w:tplc="04070005">
      <w:start w:val="1"/>
      <w:numFmt w:val="bullet"/>
      <w:lvlText w:val=""/>
      <w:lvlJc w:val="left"/>
      <w:pPr>
        <w:tabs>
          <w:tab w:val="num" w:pos="6120"/>
        </w:tabs>
        <w:ind w:left="6120" w:hanging="360"/>
      </w:pPr>
      <w:rPr>
        <w:rFonts w:ascii="Wingdings" w:hAnsi="Wingdings" w:hint="default"/>
      </w:rPr>
    </w:lvl>
  </w:abstractNum>
  <w:abstractNum w:abstractNumId="48">
    <w:nsid w:val="5B3D70CA"/>
    <w:multiLevelType w:val="hybridMultilevel"/>
    <w:tmpl w:val="9D6A7232"/>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tabs>
          <w:tab w:val="num" w:pos="1080"/>
        </w:tabs>
        <w:ind w:left="1080" w:hanging="360"/>
      </w:pPr>
      <w:rPr>
        <w:rFonts w:ascii="Courier New" w:hAnsi="Courier New" w:cs="Courier New" w:hint="default"/>
      </w:rPr>
    </w:lvl>
    <w:lvl w:ilvl="2" w:tplc="04070005">
      <w:start w:val="1"/>
      <w:numFmt w:val="bullet"/>
      <w:lvlText w:val=""/>
      <w:lvlJc w:val="left"/>
      <w:pPr>
        <w:tabs>
          <w:tab w:val="num" w:pos="1800"/>
        </w:tabs>
        <w:ind w:left="1800" w:hanging="360"/>
      </w:pPr>
      <w:rPr>
        <w:rFonts w:ascii="Wingdings" w:hAnsi="Wingdings" w:hint="default"/>
      </w:rPr>
    </w:lvl>
    <w:lvl w:ilvl="3" w:tplc="04070001">
      <w:start w:val="1"/>
      <w:numFmt w:val="bullet"/>
      <w:lvlText w:val=""/>
      <w:lvlJc w:val="left"/>
      <w:pPr>
        <w:tabs>
          <w:tab w:val="num" w:pos="2520"/>
        </w:tabs>
        <w:ind w:left="2520" w:hanging="360"/>
      </w:pPr>
      <w:rPr>
        <w:rFonts w:ascii="Symbol" w:hAnsi="Symbol" w:hint="default"/>
      </w:rPr>
    </w:lvl>
    <w:lvl w:ilvl="4" w:tplc="04070003">
      <w:start w:val="1"/>
      <w:numFmt w:val="bullet"/>
      <w:lvlText w:val="o"/>
      <w:lvlJc w:val="left"/>
      <w:pPr>
        <w:tabs>
          <w:tab w:val="num" w:pos="3240"/>
        </w:tabs>
        <w:ind w:left="3240" w:hanging="360"/>
      </w:pPr>
      <w:rPr>
        <w:rFonts w:ascii="Courier New" w:hAnsi="Courier New" w:cs="Courier New" w:hint="default"/>
      </w:rPr>
    </w:lvl>
    <w:lvl w:ilvl="5" w:tplc="04070005">
      <w:start w:val="1"/>
      <w:numFmt w:val="bullet"/>
      <w:lvlText w:val=""/>
      <w:lvlJc w:val="left"/>
      <w:pPr>
        <w:tabs>
          <w:tab w:val="num" w:pos="3960"/>
        </w:tabs>
        <w:ind w:left="3960" w:hanging="360"/>
      </w:pPr>
      <w:rPr>
        <w:rFonts w:ascii="Wingdings" w:hAnsi="Wingdings" w:hint="default"/>
      </w:rPr>
    </w:lvl>
    <w:lvl w:ilvl="6" w:tplc="04070001">
      <w:start w:val="1"/>
      <w:numFmt w:val="bullet"/>
      <w:lvlText w:val=""/>
      <w:lvlJc w:val="left"/>
      <w:pPr>
        <w:tabs>
          <w:tab w:val="num" w:pos="4680"/>
        </w:tabs>
        <w:ind w:left="4680" w:hanging="360"/>
      </w:pPr>
      <w:rPr>
        <w:rFonts w:ascii="Symbol" w:hAnsi="Symbol" w:hint="default"/>
      </w:rPr>
    </w:lvl>
    <w:lvl w:ilvl="7" w:tplc="04070003">
      <w:start w:val="1"/>
      <w:numFmt w:val="bullet"/>
      <w:lvlText w:val="o"/>
      <w:lvlJc w:val="left"/>
      <w:pPr>
        <w:tabs>
          <w:tab w:val="num" w:pos="5400"/>
        </w:tabs>
        <w:ind w:left="5400" w:hanging="360"/>
      </w:pPr>
      <w:rPr>
        <w:rFonts w:ascii="Courier New" w:hAnsi="Courier New" w:cs="Courier New" w:hint="default"/>
      </w:rPr>
    </w:lvl>
    <w:lvl w:ilvl="8" w:tplc="04070005">
      <w:start w:val="1"/>
      <w:numFmt w:val="bullet"/>
      <w:lvlText w:val=""/>
      <w:lvlJc w:val="left"/>
      <w:pPr>
        <w:tabs>
          <w:tab w:val="num" w:pos="6120"/>
        </w:tabs>
        <w:ind w:left="6120" w:hanging="360"/>
      </w:pPr>
      <w:rPr>
        <w:rFonts w:ascii="Wingdings" w:hAnsi="Wingdings" w:hint="default"/>
      </w:rPr>
    </w:lvl>
  </w:abstractNum>
  <w:abstractNum w:abstractNumId="49">
    <w:nsid w:val="5BF34E62"/>
    <w:multiLevelType w:val="hybridMultilevel"/>
    <w:tmpl w:val="9DAA2A30"/>
    <w:lvl w:ilvl="0" w:tplc="EA5C884C">
      <w:start w:val="2"/>
      <w:numFmt w:val="bullet"/>
      <w:lvlText w:val="-"/>
      <w:lvlJc w:val="left"/>
      <w:pPr>
        <w:tabs>
          <w:tab w:val="num" w:pos="720"/>
        </w:tabs>
        <w:ind w:left="720" w:hanging="360"/>
      </w:pPr>
      <w:rPr>
        <w:rFonts w:hint="default"/>
      </w:rPr>
    </w:lvl>
    <w:lvl w:ilvl="1" w:tplc="75DAB716">
      <w:start w:val="1"/>
      <w:numFmt w:val="bullet"/>
      <w:lvlText w:val="o"/>
      <w:lvlJc w:val="left"/>
      <w:pPr>
        <w:ind w:left="1800" w:hanging="360"/>
      </w:pPr>
      <w:rPr>
        <w:rFonts w:ascii="Courier New" w:hAnsi="Courier New" w:cs="Courier New" w:hint="default"/>
      </w:rPr>
    </w:lvl>
    <w:lvl w:ilvl="2" w:tplc="3B2A0C50" w:tentative="1">
      <w:start w:val="1"/>
      <w:numFmt w:val="bullet"/>
      <w:lvlText w:val=""/>
      <w:lvlJc w:val="left"/>
      <w:pPr>
        <w:ind w:left="2520" w:hanging="360"/>
      </w:pPr>
      <w:rPr>
        <w:rFonts w:ascii="Wingdings" w:hAnsi="Wingdings" w:hint="default"/>
      </w:rPr>
    </w:lvl>
    <w:lvl w:ilvl="3" w:tplc="B1C69670" w:tentative="1">
      <w:start w:val="1"/>
      <w:numFmt w:val="bullet"/>
      <w:lvlText w:val=""/>
      <w:lvlJc w:val="left"/>
      <w:pPr>
        <w:ind w:left="3240" w:hanging="360"/>
      </w:pPr>
      <w:rPr>
        <w:rFonts w:ascii="Symbol" w:hAnsi="Symbol" w:hint="default"/>
      </w:rPr>
    </w:lvl>
    <w:lvl w:ilvl="4" w:tplc="E6726670" w:tentative="1">
      <w:start w:val="1"/>
      <w:numFmt w:val="bullet"/>
      <w:lvlText w:val="o"/>
      <w:lvlJc w:val="left"/>
      <w:pPr>
        <w:ind w:left="3960" w:hanging="360"/>
      </w:pPr>
      <w:rPr>
        <w:rFonts w:ascii="Courier New" w:hAnsi="Courier New" w:cs="Courier New" w:hint="default"/>
      </w:rPr>
    </w:lvl>
    <w:lvl w:ilvl="5" w:tplc="5FCC8DC4" w:tentative="1">
      <w:start w:val="1"/>
      <w:numFmt w:val="bullet"/>
      <w:lvlText w:val=""/>
      <w:lvlJc w:val="left"/>
      <w:pPr>
        <w:ind w:left="4680" w:hanging="360"/>
      </w:pPr>
      <w:rPr>
        <w:rFonts w:ascii="Wingdings" w:hAnsi="Wingdings" w:hint="default"/>
      </w:rPr>
    </w:lvl>
    <w:lvl w:ilvl="6" w:tplc="1488FA7E" w:tentative="1">
      <w:start w:val="1"/>
      <w:numFmt w:val="bullet"/>
      <w:lvlText w:val=""/>
      <w:lvlJc w:val="left"/>
      <w:pPr>
        <w:ind w:left="5400" w:hanging="360"/>
      </w:pPr>
      <w:rPr>
        <w:rFonts w:ascii="Symbol" w:hAnsi="Symbol" w:hint="default"/>
      </w:rPr>
    </w:lvl>
    <w:lvl w:ilvl="7" w:tplc="45764CAA" w:tentative="1">
      <w:start w:val="1"/>
      <w:numFmt w:val="bullet"/>
      <w:lvlText w:val="o"/>
      <w:lvlJc w:val="left"/>
      <w:pPr>
        <w:ind w:left="6120" w:hanging="360"/>
      </w:pPr>
      <w:rPr>
        <w:rFonts w:ascii="Courier New" w:hAnsi="Courier New" w:cs="Courier New" w:hint="default"/>
      </w:rPr>
    </w:lvl>
    <w:lvl w:ilvl="8" w:tplc="8ABE3704" w:tentative="1">
      <w:start w:val="1"/>
      <w:numFmt w:val="bullet"/>
      <w:lvlText w:val=""/>
      <w:lvlJc w:val="left"/>
      <w:pPr>
        <w:ind w:left="6840" w:hanging="360"/>
      </w:pPr>
      <w:rPr>
        <w:rFonts w:ascii="Wingdings" w:hAnsi="Wingdings" w:hint="default"/>
      </w:rPr>
    </w:lvl>
  </w:abstractNum>
  <w:abstractNum w:abstractNumId="50">
    <w:nsid w:val="5BF8015F"/>
    <w:multiLevelType w:val="hybridMultilevel"/>
    <w:tmpl w:val="AFCA4932"/>
    <w:lvl w:ilvl="0" w:tplc="8DFC72CE">
      <w:start w:val="51"/>
      <w:numFmt w:val="bullet"/>
      <w:lvlText w:val="-"/>
      <w:lvlJc w:val="left"/>
      <w:pPr>
        <w:ind w:left="720" w:hanging="360"/>
      </w:pPr>
      <w:rPr>
        <w:rFonts w:ascii="Arial Narrow" w:eastAsia="SimSun" w:hAnsi="Arial Narrow" w:cs="Tahom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nsid w:val="5D95670A"/>
    <w:multiLevelType w:val="hybridMultilevel"/>
    <w:tmpl w:val="7F6A8F08"/>
    <w:lvl w:ilvl="0" w:tplc="040C0003">
      <w:start w:val="1"/>
      <w:numFmt w:val="bullet"/>
      <w:lvlText w:val="o"/>
      <w:lvlJc w:val="left"/>
      <w:pPr>
        <w:ind w:left="1429" w:hanging="360"/>
      </w:pPr>
      <w:rPr>
        <w:rFonts w:ascii="Courier New" w:hAnsi="Courier New" w:cs="Courier New"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52">
    <w:nsid w:val="61E83FFB"/>
    <w:multiLevelType w:val="hybridMultilevel"/>
    <w:tmpl w:val="977E5C20"/>
    <w:lvl w:ilvl="0" w:tplc="040C0007">
      <w:start w:val="1"/>
      <w:numFmt w:val="bullet"/>
      <w:lvlText w:val=""/>
      <w:lvlPicBulletId w:val="0"/>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nsid w:val="623A2280"/>
    <w:multiLevelType w:val="hybridMultilevel"/>
    <w:tmpl w:val="A6905264"/>
    <w:lvl w:ilvl="0" w:tplc="EA5C884C">
      <w:start w:val="2"/>
      <w:numFmt w:val="bullet"/>
      <w:lvlText w:val="-"/>
      <w:lvlJc w:val="left"/>
      <w:pPr>
        <w:ind w:left="720" w:hanging="360"/>
      </w:pPr>
      <w:rPr>
        <w:rFont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4">
    <w:nsid w:val="62AD5D99"/>
    <w:multiLevelType w:val="hybridMultilevel"/>
    <w:tmpl w:val="0B40F3A4"/>
    <w:lvl w:ilvl="0" w:tplc="F6D6189C">
      <w:numFmt w:val="bullet"/>
      <w:lvlText w:val="-"/>
      <w:lvlJc w:val="left"/>
      <w:pPr>
        <w:ind w:left="360" w:hanging="360"/>
      </w:pPr>
      <w:rPr>
        <w:rFonts w:ascii="Arial Narrow" w:eastAsiaTheme="minorEastAsia" w:hAnsi="Arial Narrow"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5">
    <w:nsid w:val="62C44465"/>
    <w:multiLevelType w:val="hybridMultilevel"/>
    <w:tmpl w:val="C3865EA2"/>
    <w:lvl w:ilvl="0" w:tplc="080C0001">
      <w:start w:val="1"/>
      <w:numFmt w:val="bullet"/>
      <w:lvlText w:val=""/>
      <w:lvlJc w:val="left"/>
      <w:pPr>
        <w:ind w:left="720" w:hanging="360"/>
      </w:pPr>
      <w:rPr>
        <w:rFonts w:ascii="Symbol" w:hAnsi="Symbol" w:hint="default"/>
      </w:rPr>
    </w:lvl>
    <w:lvl w:ilvl="1" w:tplc="2B92DF62">
      <w:start w:val="1"/>
      <w:numFmt w:val="bullet"/>
      <w:lvlText w:val=""/>
      <w:lvlJc w:val="left"/>
      <w:pPr>
        <w:ind w:left="1440" w:hanging="360"/>
      </w:pPr>
      <w:rPr>
        <w:rFonts w:ascii="Symbol" w:hAnsi="Symbol"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56">
    <w:nsid w:val="668E2129"/>
    <w:multiLevelType w:val="hybridMultilevel"/>
    <w:tmpl w:val="CA70BFB0"/>
    <w:lvl w:ilvl="0" w:tplc="7BB0A246">
      <w:numFmt w:val="bullet"/>
      <w:lvlText w:val="-"/>
      <w:lvlJc w:val="left"/>
      <w:pPr>
        <w:ind w:left="1004" w:hanging="360"/>
      </w:pPr>
      <w:rPr>
        <w:rFonts w:ascii="Arial" w:eastAsiaTheme="minorHAnsi" w:hAnsi="Arial" w:cs="Aria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57">
    <w:nsid w:val="66DD7860"/>
    <w:multiLevelType w:val="hybridMultilevel"/>
    <w:tmpl w:val="963E510A"/>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tabs>
          <w:tab w:val="num" w:pos="1080"/>
        </w:tabs>
        <w:ind w:left="1080" w:hanging="360"/>
      </w:pPr>
      <w:rPr>
        <w:rFonts w:ascii="Courier New" w:hAnsi="Courier New" w:cs="Courier New" w:hint="default"/>
      </w:rPr>
    </w:lvl>
    <w:lvl w:ilvl="2" w:tplc="04070005">
      <w:start w:val="1"/>
      <w:numFmt w:val="bullet"/>
      <w:lvlText w:val=""/>
      <w:lvlJc w:val="left"/>
      <w:pPr>
        <w:tabs>
          <w:tab w:val="num" w:pos="1800"/>
        </w:tabs>
        <w:ind w:left="1800" w:hanging="360"/>
      </w:pPr>
      <w:rPr>
        <w:rFonts w:ascii="Wingdings" w:hAnsi="Wingdings" w:hint="default"/>
      </w:rPr>
    </w:lvl>
    <w:lvl w:ilvl="3" w:tplc="04070001">
      <w:start w:val="1"/>
      <w:numFmt w:val="bullet"/>
      <w:lvlText w:val=""/>
      <w:lvlJc w:val="left"/>
      <w:pPr>
        <w:tabs>
          <w:tab w:val="num" w:pos="2520"/>
        </w:tabs>
        <w:ind w:left="2520" w:hanging="360"/>
      </w:pPr>
      <w:rPr>
        <w:rFonts w:ascii="Symbol" w:hAnsi="Symbol" w:hint="default"/>
      </w:rPr>
    </w:lvl>
    <w:lvl w:ilvl="4" w:tplc="04070003">
      <w:start w:val="1"/>
      <w:numFmt w:val="bullet"/>
      <w:lvlText w:val="o"/>
      <w:lvlJc w:val="left"/>
      <w:pPr>
        <w:tabs>
          <w:tab w:val="num" w:pos="3240"/>
        </w:tabs>
        <w:ind w:left="3240" w:hanging="360"/>
      </w:pPr>
      <w:rPr>
        <w:rFonts w:ascii="Courier New" w:hAnsi="Courier New" w:cs="Courier New" w:hint="default"/>
      </w:rPr>
    </w:lvl>
    <w:lvl w:ilvl="5" w:tplc="04070005">
      <w:start w:val="1"/>
      <w:numFmt w:val="bullet"/>
      <w:lvlText w:val=""/>
      <w:lvlJc w:val="left"/>
      <w:pPr>
        <w:tabs>
          <w:tab w:val="num" w:pos="3960"/>
        </w:tabs>
        <w:ind w:left="3960" w:hanging="360"/>
      </w:pPr>
      <w:rPr>
        <w:rFonts w:ascii="Wingdings" w:hAnsi="Wingdings" w:hint="default"/>
      </w:rPr>
    </w:lvl>
    <w:lvl w:ilvl="6" w:tplc="04070001">
      <w:start w:val="1"/>
      <w:numFmt w:val="bullet"/>
      <w:lvlText w:val=""/>
      <w:lvlJc w:val="left"/>
      <w:pPr>
        <w:tabs>
          <w:tab w:val="num" w:pos="4680"/>
        </w:tabs>
        <w:ind w:left="4680" w:hanging="360"/>
      </w:pPr>
      <w:rPr>
        <w:rFonts w:ascii="Symbol" w:hAnsi="Symbol" w:hint="default"/>
      </w:rPr>
    </w:lvl>
    <w:lvl w:ilvl="7" w:tplc="04070003">
      <w:start w:val="1"/>
      <w:numFmt w:val="bullet"/>
      <w:lvlText w:val="o"/>
      <w:lvlJc w:val="left"/>
      <w:pPr>
        <w:tabs>
          <w:tab w:val="num" w:pos="5400"/>
        </w:tabs>
        <w:ind w:left="5400" w:hanging="360"/>
      </w:pPr>
      <w:rPr>
        <w:rFonts w:ascii="Courier New" w:hAnsi="Courier New" w:cs="Courier New" w:hint="default"/>
      </w:rPr>
    </w:lvl>
    <w:lvl w:ilvl="8" w:tplc="04070005">
      <w:start w:val="1"/>
      <w:numFmt w:val="bullet"/>
      <w:lvlText w:val=""/>
      <w:lvlJc w:val="left"/>
      <w:pPr>
        <w:tabs>
          <w:tab w:val="num" w:pos="6120"/>
        </w:tabs>
        <w:ind w:left="6120" w:hanging="360"/>
      </w:pPr>
      <w:rPr>
        <w:rFonts w:ascii="Wingdings" w:hAnsi="Wingdings" w:hint="default"/>
      </w:rPr>
    </w:lvl>
  </w:abstractNum>
  <w:abstractNum w:abstractNumId="58">
    <w:nsid w:val="695C4DAD"/>
    <w:multiLevelType w:val="hybridMultilevel"/>
    <w:tmpl w:val="73AE73DE"/>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59">
    <w:nsid w:val="6C816BE2"/>
    <w:multiLevelType w:val="hybridMultilevel"/>
    <w:tmpl w:val="1706C62C"/>
    <w:lvl w:ilvl="0" w:tplc="04070001">
      <w:start w:val="1"/>
      <w:numFmt w:val="bullet"/>
      <w:lvlText w:val="o"/>
      <w:lvlJc w:val="left"/>
      <w:pPr>
        <w:tabs>
          <w:tab w:val="num" w:pos="360"/>
        </w:tabs>
        <w:ind w:left="360" w:hanging="360"/>
      </w:pPr>
      <w:rPr>
        <w:rFonts w:ascii="Courier New" w:hAnsi="Courier New" w:cs="Courier New" w:hint="default"/>
      </w:rPr>
    </w:lvl>
    <w:lvl w:ilvl="1" w:tplc="04070019">
      <w:start w:val="1"/>
      <w:numFmt w:val="bullet"/>
      <w:lvlText w:val="o"/>
      <w:lvlJc w:val="left"/>
      <w:pPr>
        <w:tabs>
          <w:tab w:val="num" w:pos="1080"/>
        </w:tabs>
        <w:ind w:left="1080" w:hanging="360"/>
      </w:pPr>
      <w:rPr>
        <w:rFonts w:ascii="Courier New" w:hAnsi="Courier New" w:cs="Courier New" w:hint="default"/>
      </w:rPr>
    </w:lvl>
    <w:lvl w:ilvl="2" w:tplc="0407001B">
      <w:start w:val="1"/>
      <w:numFmt w:val="bullet"/>
      <w:lvlText w:val="o"/>
      <w:lvlJc w:val="left"/>
      <w:pPr>
        <w:tabs>
          <w:tab w:val="num" w:pos="1800"/>
        </w:tabs>
        <w:ind w:left="1800" w:hanging="360"/>
      </w:pPr>
      <w:rPr>
        <w:rFonts w:ascii="Courier New" w:hAnsi="Courier New" w:cs="Courier New" w:hint="default"/>
      </w:rPr>
    </w:lvl>
    <w:lvl w:ilvl="3" w:tplc="0407000F" w:tentative="1">
      <w:start w:val="1"/>
      <w:numFmt w:val="bullet"/>
      <w:lvlText w:val=""/>
      <w:lvlJc w:val="left"/>
      <w:pPr>
        <w:tabs>
          <w:tab w:val="num" w:pos="2520"/>
        </w:tabs>
        <w:ind w:left="2520" w:hanging="360"/>
      </w:pPr>
      <w:rPr>
        <w:rFonts w:ascii="Symbol" w:hAnsi="Symbol" w:hint="default"/>
      </w:rPr>
    </w:lvl>
    <w:lvl w:ilvl="4" w:tplc="04070019" w:tentative="1">
      <w:start w:val="1"/>
      <w:numFmt w:val="bullet"/>
      <w:lvlText w:val="o"/>
      <w:lvlJc w:val="left"/>
      <w:pPr>
        <w:tabs>
          <w:tab w:val="num" w:pos="3240"/>
        </w:tabs>
        <w:ind w:left="3240" w:hanging="360"/>
      </w:pPr>
      <w:rPr>
        <w:rFonts w:ascii="Courier New" w:hAnsi="Courier New" w:cs="Courier New" w:hint="default"/>
      </w:rPr>
    </w:lvl>
    <w:lvl w:ilvl="5" w:tplc="0407001B" w:tentative="1">
      <w:start w:val="1"/>
      <w:numFmt w:val="bullet"/>
      <w:lvlText w:val=""/>
      <w:lvlJc w:val="left"/>
      <w:pPr>
        <w:tabs>
          <w:tab w:val="num" w:pos="3960"/>
        </w:tabs>
        <w:ind w:left="3960" w:hanging="360"/>
      </w:pPr>
      <w:rPr>
        <w:rFonts w:ascii="Wingdings" w:hAnsi="Wingdings" w:hint="default"/>
      </w:rPr>
    </w:lvl>
    <w:lvl w:ilvl="6" w:tplc="0407000F" w:tentative="1">
      <w:start w:val="1"/>
      <w:numFmt w:val="bullet"/>
      <w:lvlText w:val=""/>
      <w:lvlJc w:val="left"/>
      <w:pPr>
        <w:tabs>
          <w:tab w:val="num" w:pos="4680"/>
        </w:tabs>
        <w:ind w:left="4680" w:hanging="360"/>
      </w:pPr>
      <w:rPr>
        <w:rFonts w:ascii="Symbol" w:hAnsi="Symbol" w:hint="default"/>
      </w:rPr>
    </w:lvl>
    <w:lvl w:ilvl="7" w:tplc="04070019" w:tentative="1">
      <w:start w:val="1"/>
      <w:numFmt w:val="bullet"/>
      <w:lvlText w:val="o"/>
      <w:lvlJc w:val="left"/>
      <w:pPr>
        <w:tabs>
          <w:tab w:val="num" w:pos="5400"/>
        </w:tabs>
        <w:ind w:left="5400" w:hanging="360"/>
      </w:pPr>
      <w:rPr>
        <w:rFonts w:ascii="Courier New" w:hAnsi="Courier New" w:cs="Courier New" w:hint="default"/>
      </w:rPr>
    </w:lvl>
    <w:lvl w:ilvl="8" w:tplc="0407001B" w:tentative="1">
      <w:start w:val="1"/>
      <w:numFmt w:val="bullet"/>
      <w:lvlText w:val=""/>
      <w:lvlJc w:val="left"/>
      <w:pPr>
        <w:tabs>
          <w:tab w:val="num" w:pos="6120"/>
        </w:tabs>
        <w:ind w:left="6120" w:hanging="360"/>
      </w:pPr>
      <w:rPr>
        <w:rFonts w:ascii="Wingdings" w:hAnsi="Wingdings" w:hint="default"/>
      </w:rPr>
    </w:lvl>
  </w:abstractNum>
  <w:abstractNum w:abstractNumId="60">
    <w:nsid w:val="7374736B"/>
    <w:multiLevelType w:val="hybridMultilevel"/>
    <w:tmpl w:val="E5B62B0A"/>
    <w:lvl w:ilvl="0" w:tplc="F6D6189C">
      <w:numFmt w:val="bullet"/>
      <w:lvlText w:val="-"/>
      <w:lvlJc w:val="left"/>
      <w:pPr>
        <w:ind w:left="360" w:hanging="360"/>
      </w:pPr>
      <w:rPr>
        <w:rFonts w:ascii="Arial Narrow" w:eastAsiaTheme="minorEastAsia" w:hAnsi="Arial Narrow" w:cs="Arial" w:hint="default"/>
      </w:rPr>
    </w:lvl>
    <w:lvl w:ilvl="1" w:tplc="F6D6189C">
      <w:numFmt w:val="bullet"/>
      <w:lvlText w:val="-"/>
      <w:lvlJc w:val="left"/>
      <w:pPr>
        <w:ind w:left="1080" w:hanging="360"/>
      </w:pPr>
      <w:rPr>
        <w:rFonts w:ascii="Arial Narrow" w:eastAsiaTheme="minorEastAsia" w:hAnsi="Arial Narrow" w:cs="Arial"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61">
    <w:nsid w:val="738A3A6D"/>
    <w:multiLevelType w:val="hybridMultilevel"/>
    <w:tmpl w:val="EA5EAFEA"/>
    <w:lvl w:ilvl="0" w:tplc="7BB0A246">
      <w:numFmt w:val="bullet"/>
      <w:lvlText w:val="-"/>
      <w:lvlJc w:val="left"/>
      <w:pPr>
        <w:ind w:left="644" w:hanging="360"/>
      </w:pPr>
      <w:rPr>
        <w:rFonts w:ascii="Arial" w:eastAsiaTheme="minorHAnsi" w:hAnsi="Arial" w:cs="Arial"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62">
    <w:nsid w:val="73DB6FA7"/>
    <w:multiLevelType w:val="hybridMultilevel"/>
    <w:tmpl w:val="D8AE49D4"/>
    <w:lvl w:ilvl="0" w:tplc="04070001">
      <w:start w:val="1"/>
      <w:numFmt w:val="bullet"/>
      <w:lvlText w:val=""/>
      <w:lvlJc w:val="left"/>
      <w:pPr>
        <w:ind w:left="644" w:hanging="360"/>
      </w:pPr>
      <w:rPr>
        <w:rFonts w:ascii="Symbol" w:hAnsi="Symbol"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63">
    <w:nsid w:val="74122644"/>
    <w:multiLevelType w:val="hybridMultilevel"/>
    <w:tmpl w:val="D414C078"/>
    <w:lvl w:ilvl="0" w:tplc="F6D6189C">
      <w:numFmt w:val="bullet"/>
      <w:lvlText w:val="-"/>
      <w:lvlJc w:val="left"/>
      <w:pPr>
        <w:ind w:left="360" w:hanging="360"/>
      </w:pPr>
      <w:rPr>
        <w:rFonts w:ascii="Arial Narrow" w:eastAsiaTheme="minorEastAsia" w:hAnsi="Arial Narrow"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64">
    <w:nsid w:val="7E1F4344"/>
    <w:multiLevelType w:val="hybridMultilevel"/>
    <w:tmpl w:val="0AB2AC20"/>
    <w:lvl w:ilvl="0" w:tplc="82A8C654">
      <w:start w:val="1"/>
      <w:numFmt w:val="upp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5">
    <w:nsid w:val="7E6D785D"/>
    <w:multiLevelType w:val="hybridMultilevel"/>
    <w:tmpl w:val="D7685D16"/>
    <w:lvl w:ilvl="0" w:tplc="7BB0A246">
      <w:numFmt w:val="bullet"/>
      <w:lvlText w:val="-"/>
      <w:lvlJc w:val="left"/>
      <w:pPr>
        <w:ind w:left="1004" w:hanging="360"/>
      </w:pPr>
      <w:rPr>
        <w:rFonts w:ascii="Arial" w:eastAsiaTheme="minorHAnsi" w:hAnsi="Arial" w:cs="Aria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66">
    <w:nsid w:val="7EB42688"/>
    <w:multiLevelType w:val="hybridMultilevel"/>
    <w:tmpl w:val="B3A8E77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num w:numId="1">
    <w:abstractNumId w:val="15"/>
  </w:num>
  <w:num w:numId="2">
    <w:abstractNumId w:val="1"/>
  </w:num>
  <w:num w:numId="3">
    <w:abstractNumId w:val="36"/>
  </w:num>
  <w:num w:numId="4">
    <w:abstractNumId w:val="42"/>
  </w:num>
  <w:num w:numId="5">
    <w:abstractNumId w:val="16"/>
  </w:num>
  <w:num w:numId="6">
    <w:abstractNumId w:val="49"/>
  </w:num>
  <w:num w:numId="7">
    <w:abstractNumId w:val="4"/>
  </w:num>
  <w:num w:numId="8">
    <w:abstractNumId w:val="41"/>
  </w:num>
  <w:num w:numId="9">
    <w:abstractNumId w:val="2"/>
  </w:num>
  <w:num w:numId="10">
    <w:abstractNumId w:val="5"/>
  </w:num>
  <w:num w:numId="11">
    <w:abstractNumId w:val="12"/>
  </w:num>
  <w:num w:numId="12">
    <w:abstractNumId w:val="59"/>
  </w:num>
  <w:num w:numId="13">
    <w:abstractNumId w:val="39"/>
  </w:num>
  <w:num w:numId="14">
    <w:abstractNumId w:val="22"/>
  </w:num>
  <w:num w:numId="15">
    <w:abstractNumId w:val="44"/>
  </w:num>
  <w:num w:numId="16">
    <w:abstractNumId w:val="7"/>
  </w:num>
  <w:num w:numId="17">
    <w:abstractNumId w:val="37"/>
  </w:num>
  <w:num w:numId="18">
    <w:abstractNumId w:val="0"/>
  </w:num>
  <w:num w:numId="19">
    <w:abstractNumId w:val="11"/>
  </w:num>
  <w:num w:numId="20">
    <w:abstractNumId w:val="29"/>
  </w:num>
  <w:num w:numId="21">
    <w:abstractNumId w:val="58"/>
  </w:num>
  <w:num w:numId="22">
    <w:abstractNumId w:val="20"/>
  </w:num>
  <w:num w:numId="23">
    <w:abstractNumId w:val="66"/>
  </w:num>
  <w:num w:numId="24">
    <w:abstractNumId w:val="45"/>
  </w:num>
  <w:num w:numId="25">
    <w:abstractNumId w:val="8"/>
  </w:num>
  <w:num w:numId="26">
    <w:abstractNumId w:val="18"/>
  </w:num>
  <w:num w:numId="27">
    <w:abstractNumId w:val="55"/>
  </w:num>
  <w:num w:numId="28">
    <w:abstractNumId w:val="26"/>
  </w:num>
  <w:num w:numId="29">
    <w:abstractNumId w:val="47"/>
  </w:num>
  <w:num w:numId="30">
    <w:abstractNumId w:val="10"/>
  </w:num>
  <w:num w:numId="31">
    <w:abstractNumId w:val="57"/>
  </w:num>
  <w:num w:numId="32">
    <w:abstractNumId w:val="48"/>
  </w:num>
  <w:num w:numId="33">
    <w:abstractNumId w:val="35"/>
  </w:num>
  <w:num w:numId="34">
    <w:abstractNumId w:val="34"/>
  </w:num>
  <w:num w:numId="35">
    <w:abstractNumId w:val="61"/>
  </w:num>
  <w:num w:numId="36">
    <w:abstractNumId w:val="14"/>
  </w:num>
  <w:num w:numId="37">
    <w:abstractNumId w:val="62"/>
  </w:num>
  <w:num w:numId="38">
    <w:abstractNumId w:val="27"/>
  </w:num>
  <w:num w:numId="39">
    <w:abstractNumId w:val="52"/>
  </w:num>
  <w:num w:numId="40">
    <w:abstractNumId w:val="40"/>
  </w:num>
  <w:num w:numId="41">
    <w:abstractNumId w:val="3"/>
  </w:num>
  <w:num w:numId="42">
    <w:abstractNumId w:val="28"/>
  </w:num>
  <w:num w:numId="43">
    <w:abstractNumId w:val="51"/>
  </w:num>
  <w:num w:numId="44">
    <w:abstractNumId w:val="9"/>
  </w:num>
  <w:num w:numId="45">
    <w:abstractNumId w:val="19"/>
  </w:num>
  <w:num w:numId="46">
    <w:abstractNumId w:val="60"/>
  </w:num>
  <w:num w:numId="47">
    <w:abstractNumId w:val="46"/>
  </w:num>
  <w:num w:numId="48">
    <w:abstractNumId w:val="6"/>
  </w:num>
  <w:num w:numId="49">
    <w:abstractNumId w:val="64"/>
  </w:num>
  <w:num w:numId="50">
    <w:abstractNumId w:val="21"/>
  </w:num>
  <w:num w:numId="51">
    <w:abstractNumId w:val="54"/>
  </w:num>
  <w:num w:numId="52">
    <w:abstractNumId w:val="63"/>
  </w:num>
  <w:num w:numId="53">
    <w:abstractNumId w:val="32"/>
  </w:num>
  <w:num w:numId="54">
    <w:abstractNumId w:val="38"/>
  </w:num>
  <w:num w:numId="55">
    <w:abstractNumId w:val="56"/>
  </w:num>
  <w:num w:numId="56">
    <w:abstractNumId w:val="30"/>
  </w:num>
  <w:num w:numId="57">
    <w:abstractNumId w:val="65"/>
  </w:num>
  <w:num w:numId="58">
    <w:abstractNumId w:val="50"/>
  </w:num>
  <w:num w:numId="59">
    <w:abstractNumId w:val="53"/>
  </w:num>
  <w:num w:numId="60">
    <w:abstractNumId w:val="24"/>
  </w:num>
  <w:num w:numId="61">
    <w:abstractNumId w:val="31"/>
  </w:num>
  <w:num w:numId="62">
    <w:abstractNumId w:val="43"/>
  </w:num>
  <w:num w:numId="63">
    <w:abstractNumId w:val="23"/>
  </w:num>
  <w:num w:numId="64">
    <w:abstractNumId w:val="33"/>
  </w:num>
  <w:num w:numId="65">
    <w:abstractNumId w:val="25"/>
  </w:num>
  <w:num w:numId="66">
    <w:abstractNumId w:val="13"/>
  </w:num>
  <w:num w:numId="67">
    <w:abstractNumId w:val="17"/>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4"/>
  <w:displayBackgroundShape/>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LW_DocType" w:val="NORMAL"/>
  </w:docVars>
  <w:rsids>
    <w:rsidRoot w:val="00282133"/>
    <w:rsid w:val="00001367"/>
    <w:rsid w:val="000015E7"/>
    <w:rsid w:val="00001DE7"/>
    <w:rsid w:val="0000277D"/>
    <w:rsid w:val="00004A3A"/>
    <w:rsid w:val="00005E2B"/>
    <w:rsid w:val="00005F68"/>
    <w:rsid w:val="00006599"/>
    <w:rsid w:val="000065AE"/>
    <w:rsid w:val="00006D54"/>
    <w:rsid w:val="0000708A"/>
    <w:rsid w:val="00007AA0"/>
    <w:rsid w:val="00010F83"/>
    <w:rsid w:val="00011761"/>
    <w:rsid w:val="000119E7"/>
    <w:rsid w:val="00011B62"/>
    <w:rsid w:val="000122F2"/>
    <w:rsid w:val="0001260C"/>
    <w:rsid w:val="00012DA4"/>
    <w:rsid w:val="000130F4"/>
    <w:rsid w:val="00014E0D"/>
    <w:rsid w:val="000154CC"/>
    <w:rsid w:val="000155D7"/>
    <w:rsid w:val="0001591E"/>
    <w:rsid w:val="00016510"/>
    <w:rsid w:val="0001658D"/>
    <w:rsid w:val="00016C0E"/>
    <w:rsid w:val="00017D06"/>
    <w:rsid w:val="00017F84"/>
    <w:rsid w:val="00017FF4"/>
    <w:rsid w:val="00020C5E"/>
    <w:rsid w:val="00022E97"/>
    <w:rsid w:val="00024DAE"/>
    <w:rsid w:val="00026ABE"/>
    <w:rsid w:val="00026EFA"/>
    <w:rsid w:val="0002771B"/>
    <w:rsid w:val="0003180E"/>
    <w:rsid w:val="000328DD"/>
    <w:rsid w:val="000329B1"/>
    <w:rsid w:val="00032A80"/>
    <w:rsid w:val="00032EEE"/>
    <w:rsid w:val="00034472"/>
    <w:rsid w:val="00034EB8"/>
    <w:rsid w:val="00037641"/>
    <w:rsid w:val="00037AB1"/>
    <w:rsid w:val="00037BF4"/>
    <w:rsid w:val="00040115"/>
    <w:rsid w:val="00040A3F"/>
    <w:rsid w:val="00041443"/>
    <w:rsid w:val="000421CC"/>
    <w:rsid w:val="000433B7"/>
    <w:rsid w:val="00043D90"/>
    <w:rsid w:val="00044012"/>
    <w:rsid w:val="00045683"/>
    <w:rsid w:val="0004596C"/>
    <w:rsid w:val="00046110"/>
    <w:rsid w:val="0004622C"/>
    <w:rsid w:val="0004699F"/>
    <w:rsid w:val="00046A4E"/>
    <w:rsid w:val="00047073"/>
    <w:rsid w:val="00050115"/>
    <w:rsid w:val="0005051B"/>
    <w:rsid w:val="00050554"/>
    <w:rsid w:val="00050E1D"/>
    <w:rsid w:val="000519EF"/>
    <w:rsid w:val="000521D0"/>
    <w:rsid w:val="00054295"/>
    <w:rsid w:val="00055230"/>
    <w:rsid w:val="0005580F"/>
    <w:rsid w:val="000558C1"/>
    <w:rsid w:val="00055CD2"/>
    <w:rsid w:val="0005605B"/>
    <w:rsid w:val="0005683F"/>
    <w:rsid w:val="00056E1D"/>
    <w:rsid w:val="00057CC9"/>
    <w:rsid w:val="000618BD"/>
    <w:rsid w:val="00062FD3"/>
    <w:rsid w:val="00063B01"/>
    <w:rsid w:val="00063B50"/>
    <w:rsid w:val="00063E3B"/>
    <w:rsid w:val="00063EE2"/>
    <w:rsid w:val="00064904"/>
    <w:rsid w:val="00066AB5"/>
    <w:rsid w:val="00066B1E"/>
    <w:rsid w:val="00066EF7"/>
    <w:rsid w:val="00067524"/>
    <w:rsid w:val="00067666"/>
    <w:rsid w:val="00070302"/>
    <w:rsid w:val="0007046F"/>
    <w:rsid w:val="00070585"/>
    <w:rsid w:val="000706C3"/>
    <w:rsid w:val="000707BD"/>
    <w:rsid w:val="000720D7"/>
    <w:rsid w:val="00072876"/>
    <w:rsid w:val="0007303E"/>
    <w:rsid w:val="00073055"/>
    <w:rsid w:val="00073701"/>
    <w:rsid w:val="00073A25"/>
    <w:rsid w:val="00073A5E"/>
    <w:rsid w:val="00074104"/>
    <w:rsid w:val="00074B63"/>
    <w:rsid w:val="00074BCA"/>
    <w:rsid w:val="000750D4"/>
    <w:rsid w:val="00076169"/>
    <w:rsid w:val="000765DC"/>
    <w:rsid w:val="00076F1D"/>
    <w:rsid w:val="00077886"/>
    <w:rsid w:val="00077A6A"/>
    <w:rsid w:val="000806D2"/>
    <w:rsid w:val="00080B69"/>
    <w:rsid w:val="00081492"/>
    <w:rsid w:val="00081F47"/>
    <w:rsid w:val="0008289F"/>
    <w:rsid w:val="00082A91"/>
    <w:rsid w:val="00083636"/>
    <w:rsid w:val="000841F3"/>
    <w:rsid w:val="00084AED"/>
    <w:rsid w:val="00084F43"/>
    <w:rsid w:val="00087628"/>
    <w:rsid w:val="000905B9"/>
    <w:rsid w:val="000915DA"/>
    <w:rsid w:val="00091B92"/>
    <w:rsid w:val="00092C2B"/>
    <w:rsid w:val="0009363D"/>
    <w:rsid w:val="00093DEC"/>
    <w:rsid w:val="00094153"/>
    <w:rsid w:val="00094841"/>
    <w:rsid w:val="000970C0"/>
    <w:rsid w:val="000973EE"/>
    <w:rsid w:val="000A0063"/>
    <w:rsid w:val="000A02E6"/>
    <w:rsid w:val="000A0B84"/>
    <w:rsid w:val="000A0BF3"/>
    <w:rsid w:val="000A0E3F"/>
    <w:rsid w:val="000A137C"/>
    <w:rsid w:val="000A1E0C"/>
    <w:rsid w:val="000A2FB8"/>
    <w:rsid w:val="000A38B4"/>
    <w:rsid w:val="000A4107"/>
    <w:rsid w:val="000A43C0"/>
    <w:rsid w:val="000A4BA1"/>
    <w:rsid w:val="000A4ED7"/>
    <w:rsid w:val="000A7075"/>
    <w:rsid w:val="000A7287"/>
    <w:rsid w:val="000A73AD"/>
    <w:rsid w:val="000B1A6D"/>
    <w:rsid w:val="000B2017"/>
    <w:rsid w:val="000B2680"/>
    <w:rsid w:val="000B2A2B"/>
    <w:rsid w:val="000B3421"/>
    <w:rsid w:val="000B52A7"/>
    <w:rsid w:val="000B5949"/>
    <w:rsid w:val="000B5A1F"/>
    <w:rsid w:val="000B6037"/>
    <w:rsid w:val="000B7C42"/>
    <w:rsid w:val="000C0E3F"/>
    <w:rsid w:val="000C1962"/>
    <w:rsid w:val="000C2055"/>
    <w:rsid w:val="000C2AC7"/>
    <w:rsid w:val="000C31FB"/>
    <w:rsid w:val="000C3800"/>
    <w:rsid w:val="000C3A34"/>
    <w:rsid w:val="000C4A62"/>
    <w:rsid w:val="000C5060"/>
    <w:rsid w:val="000C5466"/>
    <w:rsid w:val="000C5FA5"/>
    <w:rsid w:val="000C73ED"/>
    <w:rsid w:val="000C75B2"/>
    <w:rsid w:val="000C782C"/>
    <w:rsid w:val="000C7CAB"/>
    <w:rsid w:val="000C7CB4"/>
    <w:rsid w:val="000D112E"/>
    <w:rsid w:val="000D14DA"/>
    <w:rsid w:val="000D1886"/>
    <w:rsid w:val="000D1ED3"/>
    <w:rsid w:val="000D2A9F"/>
    <w:rsid w:val="000D2BBE"/>
    <w:rsid w:val="000D3959"/>
    <w:rsid w:val="000D3AD9"/>
    <w:rsid w:val="000D458E"/>
    <w:rsid w:val="000D5C53"/>
    <w:rsid w:val="000D5FE0"/>
    <w:rsid w:val="000D6B3C"/>
    <w:rsid w:val="000D7BE3"/>
    <w:rsid w:val="000E0811"/>
    <w:rsid w:val="000E24C7"/>
    <w:rsid w:val="000E2FB5"/>
    <w:rsid w:val="000E36CB"/>
    <w:rsid w:val="000E3EC4"/>
    <w:rsid w:val="000E4A4E"/>
    <w:rsid w:val="000E4BD6"/>
    <w:rsid w:val="000E57C8"/>
    <w:rsid w:val="000E5A3F"/>
    <w:rsid w:val="000E5DDC"/>
    <w:rsid w:val="000F006E"/>
    <w:rsid w:val="000F25C2"/>
    <w:rsid w:val="000F2E4E"/>
    <w:rsid w:val="000F3646"/>
    <w:rsid w:val="000F4E85"/>
    <w:rsid w:val="000F59D6"/>
    <w:rsid w:val="000F5DAB"/>
    <w:rsid w:val="000F68BC"/>
    <w:rsid w:val="000F6C94"/>
    <w:rsid w:val="000F71F6"/>
    <w:rsid w:val="000F75E7"/>
    <w:rsid w:val="000F7CBA"/>
    <w:rsid w:val="001003FC"/>
    <w:rsid w:val="0010137B"/>
    <w:rsid w:val="001029D3"/>
    <w:rsid w:val="00102E69"/>
    <w:rsid w:val="0010414A"/>
    <w:rsid w:val="00104530"/>
    <w:rsid w:val="00105F75"/>
    <w:rsid w:val="0010620A"/>
    <w:rsid w:val="001063BA"/>
    <w:rsid w:val="001065D1"/>
    <w:rsid w:val="00107C5D"/>
    <w:rsid w:val="0011023B"/>
    <w:rsid w:val="001107F3"/>
    <w:rsid w:val="00111198"/>
    <w:rsid w:val="001114F3"/>
    <w:rsid w:val="00111505"/>
    <w:rsid w:val="001117C6"/>
    <w:rsid w:val="00111DA2"/>
    <w:rsid w:val="0011256F"/>
    <w:rsid w:val="0011274B"/>
    <w:rsid w:val="00112E06"/>
    <w:rsid w:val="0011339B"/>
    <w:rsid w:val="001133E9"/>
    <w:rsid w:val="001134BA"/>
    <w:rsid w:val="00113B16"/>
    <w:rsid w:val="0011495C"/>
    <w:rsid w:val="00115529"/>
    <w:rsid w:val="00115835"/>
    <w:rsid w:val="00115915"/>
    <w:rsid w:val="00116344"/>
    <w:rsid w:val="00116BD2"/>
    <w:rsid w:val="00120350"/>
    <w:rsid w:val="00120C34"/>
    <w:rsid w:val="00121703"/>
    <w:rsid w:val="00121BF0"/>
    <w:rsid w:val="001223B5"/>
    <w:rsid w:val="00124516"/>
    <w:rsid w:val="001254ED"/>
    <w:rsid w:val="00126BFC"/>
    <w:rsid w:val="00130003"/>
    <w:rsid w:val="001304B7"/>
    <w:rsid w:val="001308AE"/>
    <w:rsid w:val="00131386"/>
    <w:rsid w:val="00136306"/>
    <w:rsid w:val="001372E0"/>
    <w:rsid w:val="00137522"/>
    <w:rsid w:val="001418BB"/>
    <w:rsid w:val="0014328E"/>
    <w:rsid w:val="001445C5"/>
    <w:rsid w:val="0014464A"/>
    <w:rsid w:val="001462CE"/>
    <w:rsid w:val="00146549"/>
    <w:rsid w:val="001474C2"/>
    <w:rsid w:val="0015006F"/>
    <w:rsid w:val="0015044F"/>
    <w:rsid w:val="0015046B"/>
    <w:rsid w:val="00151251"/>
    <w:rsid w:val="0015192F"/>
    <w:rsid w:val="00151A00"/>
    <w:rsid w:val="001526D9"/>
    <w:rsid w:val="00152F0C"/>
    <w:rsid w:val="00153037"/>
    <w:rsid w:val="00153352"/>
    <w:rsid w:val="00153433"/>
    <w:rsid w:val="00154143"/>
    <w:rsid w:val="00155412"/>
    <w:rsid w:val="0015629B"/>
    <w:rsid w:val="00156615"/>
    <w:rsid w:val="00156D83"/>
    <w:rsid w:val="00157CD0"/>
    <w:rsid w:val="001601A2"/>
    <w:rsid w:val="00160287"/>
    <w:rsid w:val="00160319"/>
    <w:rsid w:val="00160878"/>
    <w:rsid w:val="00160925"/>
    <w:rsid w:val="00161134"/>
    <w:rsid w:val="00161181"/>
    <w:rsid w:val="00161643"/>
    <w:rsid w:val="001623E0"/>
    <w:rsid w:val="001624B2"/>
    <w:rsid w:val="00162A60"/>
    <w:rsid w:val="00163A4B"/>
    <w:rsid w:val="00163B06"/>
    <w:rsid w:val="00163C65"/>
    <w:rsid w:val="0016408C"/>
    <w:rsid w:val="001645DA"/>
    <w:rsid w:val="001649A9"/>
    <w:rsid w:val="00164A0A"/>
    <w:rsid w:val="00164AB7"/>
    <w:rsid w:val="0016518C"/>
    <w:rsid w:val="00165DC8"/>
    <w:rsid w:val="00166077"/>
    <w:rsid w:val="001665BE"/>
    <w:rsid w:val="001666DD"/>
    <w:rsid w:val="00166920"/>
    <w:rsid w:val="00167215"/>
    <w:rsid w:val="001713F9"/>
    <w:rsid w:val="00172EAC"/>
    <w:rsid w:val="0017325D"/>
    <w:rsid w:val="0017630A"/>
    <w:rsid w:val="00176321"/>
    <w:rsid w:val="0017764A"/>
    <w:rsid w:val="001802F3"/>
    <w:rsid w:val="0018095C"/>
    <w:rsid w:val="001812B2"/>
    <w:rsid w:val="001813A9"/>
    <w:rsid w:val="001818C1"/>
    <w:rsid w:val="00182A4D"/>
    <w:rsid w:val="00182FDC"/>
    <w:rsid w:val="001834CB"/>
    <w:rsid w:val="001838C5"/>
    <w:rsid w:val="00183933"/>
    <w:rsid w:val="00185618"/>
    <w:rsid w:val="001859E3"/>
    <w:rsid w:val="00185A53"/>
    <w:rsid w:val="00187218"/>
    <w:rsid w:val="001873EF"/>
    <w:rsid w:val="00190D21"/>
    <w:rsid w:val="001913B9"/>
    <w:rsid w:val="00191E84"/>
    <w:rsid w:val="00192AB2"/>
    <w:rsid w:val="00193315"/>
    <w:rsid w:val="0019363E"/>
    <w:rsid w:val="00193F86"/>
    <w:rsid w:val="001940CB"/>
    <w:rsid w:val="00196BE5"/>
    <w:rsid w:val="00197388"/>
    <w:rsid w:val="00197ADA"/>
    <w:rsid w:val="00197F3F"/>
    <w:rsid w:val="001A09F5"/>
    <w:rsid w:val="001A0A21"/>
    <w:rsid w:val="001A139F"/>
    <w:rsid w:val="001A230D"/>
    <w:rsid w:val="001A274C"/>
    <w:rsid w:val="001A5AAF"/>
    <w:rsid w:val="001A6080"/>
    <w:rsid w:val="001A63C6"/>
    <w:rsid w:val="001A6907"/>
    <w:rsid w:val="001A741C"/>
    <w:rsid w:val="001B148E"/>
    <w:rsid w:val="001B17B9"/>
    <w:rsid w:val="001B21DD"/>
    <w:rsid w:val="001B29B0"/>
    <w:rsid w:val="001B2F69"/>
    <w:rsid w:val="001B4019"/>
    <w:rsid w:val="001B410B"/>
    <w:rsid w:val="001B4B51"/>
    <w:rsid w:val="001B580F"/>
    <w:rsid w:val="001B613E"/>
    <w:rsid w:val="001B7424"/>
    <w:rsid w:val="001B7E75"/>
    <w:rsid w:val="001B7FE3"/>
    <w:rsid w:val="001C04CA"/>
    <w:rsid w:val="001C1A78"/>
    <w:rsid w:val="001C1C1C"/>
    <w:rsid w:val="001C2032"/>
    <w:rsid w:val="001C26F5"/>
    <w:rsid w:val="001C283E"/>
    <w:rsid w:val="001C2B27"/>
    <w:rsid w:val="001C2C57"/>
    <w:rsid w:val="001C2F6E"/>
    <w:rsid w:val="001C32E3"/>
    <w:rsid w:val="001C40A7"/>
    <w:rsid w:val="001C565E"/>
    <w:rsid w:val="001C59B7"/>
    <w:rsid w:val="001C5A24"/>
    <w:rsid w:val="001C5BB3"/>
    <w:rsid w:val="001C6B25"/>
    <w:rsid w:val="001C6BAA"/>
    <w:rsid w:val="001C6D3A"/>
    <w:rsid w:val="001C72B8"/>
    <w:rsid w:val="001C7CE3"/>
    <w:rsid w:val="001C7E14"/>
    <w:rsid w:val="001D0C63"/>
    <w:rsid w:val="001D0CEA"/>
    <w:rsid w:val="001D14E8"/>
    <w:rsid w:val="001D19CD"/>
    <w:rsid w:val="001D2337"/>
    <w:rsid w:val="001D48D8"/>
    <w:rsid w:val="001D4916"/>
    <w:rsid w:val="001D4FDA"/>
    <w:rsid w:val="001D5458"/>
    <w:rsid w:val="001D5713"/>
    <w:rsid w:val="001D5CEE"/>
    <w:rsid w:val="001D5FD1"/>
    <w:rsid w:val="001D6047"/>
    <w:rsid w:val="001D6BD5"/>
    <w:rsid w:val="001E0A2F"/>
    <w:rsid w:val="001E1D60"/>
    <w:rsid w:val="001E1F37"/>
    <w:rsid w:val="001E2C98"/>
    <w:rsid w:val="001E2F57"/>
    <w:rsid w:val="001E3C78"/>
    <w:rsid w:val="001E62BA"/>
    <w:rsid w:val="001E653B"/>
    <w:rsid w:val="001E76EC"/>
    <w:rsid w:val="001E7886"/>
    <w:rsid w:val="001F06A7"/>
    <w:rsid w:val="001F071F"/>
    <w:rsid w:val="001F3267"/>
    <w:rsid w:val="001F4559"/>
    <w:rsid w:val="001F5608"/>
    <w:rsid w:val="001F5BEF"/>
    <w:rsid w:val="00203E20"/>
    <w:rsid w:val="00204839"/>
    <w:rsid w:val="0020552F"/>
    <w:rsid w:val="00205A4E"/>
    <w:rsid w:val="00206431"/>
    <w:rsid w:val="00207DB0"/>
    <w:rsid w:val="002110AF"/>
    <w:rsid w:val="00211ED2"/>
    <w:rsid w:val="00212E3E"/>
    <w:rsid w:val="00213104"/>
    <w:rsid w:val="00214510"/>
    <w:rsid w:val="002147C4"/>
    <w:rsid w:val="002148E2"/>
    <w:rsid w:val="00214DFC"/>
    <w:rsid w:val="002205E1"/>
    <w:rsid w:val="002206FD"/>
    <w:rsid w:val="00220CC5"/>
    <w:rsid w:val="00222CAF"/>
    <w:rsid w:val="002242D4"/>
    <w:rsid w:val="00226897"/>
    <w:rsid w:val="002279E1"/>
    <w:rsid w:val="00231D78"/>
    <w:rsid w:val="00232052"/>
    <w:rsid w:val="00235023"/>
    <w:rsid w:val="002359B3"/>
    <w:rsid w:val="00235B88"/>
    <w:rsid w:val="00236034"/>
    <w:rsid w:val="0023625F"/>
    <w:rsid w:val="0024102A"/>
    <w:rsid w:val="002435D8"/>
    <w:rsid w:val="0024395F"/>
    <w:rsid w:val="00244772"/>
    <w:rsid w:val="00244B39"/>
    <w:rsid w:val="00246439"/>
    <w:rsid w:val="00246971"/>
    <w:rsid w:val="00246D18"/>
    <w:rsid w:val="00246D24"/>
    <w:rsid w:val="002500D2"/>
    <w:rsid w:val="00250E6D"/>
    <w:rsid w:val="00251096"/>
    <w:rsid w:val="00251D58"/>
    <w:rsid w:val="00251D72"/>
    <w:rsid w:val="00252184"/>
    <w:rsid w:val="00252863"/>
    <w:rsid w:val="00252E68"/>
    <w:rsid w:val="0025315F"/>
    <w:rsid w:val="00253722"/>
    <w:rsid w:val="00253B1C"/>
    <w:rsid w:val="00253C1C"/>
    <w:rsid w:val="002542B4"/>
    <w:rsid w:val="00254565"/>
    <w:rsid w:val="00255458"/>
    <w:rsid w:val="00255833"/>
    <w:rsid w:val="00257601"/>
    <w:rsid w:val="0025762B"/>
    <w:rsid w:val="00257BD7"/>
    <w:rsid w:val="00261588"/>
    <w:rsid w:val="00261BF0"/>
    <w:rsid w:val="00262273"/>
    <w:rsid w:val="002629F5"/>
    <w:rsid w:val="00263D98"/>
    <w:rsid w:val="00264FC1"/>
    <w:rsid w:val="0026502F"/>
    <w:rsid w:val="002668B2"/>
    <w:rsid w:val="00266ECA"/>
    <w:rsid w:val="002675F6"/>
    <w:rsid w:val="00270110"/>
    <w:rsid w:val="00270335"/>
    <w:rsid w:val="00271905"/>
    <w:rsid w:val="002720ED"/>
    <w:rsid w:val="0027344A"/>
    <w:rsid w:val="0027450D"/>
    <w:rsid w:val="0027470C"/>
    <w:rsid w:val="00274C05"/>
    <w:rsid w:val="002756AD"/>
    <w:rsid w:val="00276394"/>
    <w:rsid w:val="00276A8C"/>
    <w:rsid w:val="002778F0"/>
    <w:rsid w:val="00277E5D"/>
    <w:rsid w:val="00280C8E"/>
    <w:rsid w:val="00280F57"/>
    <w:rsid w:val="0028119F"/>
    <w:rsid w:val="002816C9"/>
    <w:rsid w:val="00282133"/>
    <w:rsid w:val="00282639"/>
    <w:rsid w:val="00282681"/>
    <w:rsid w:val="002827ED"/>
    <w:rsid w:val="00282A26"/>
    <w:rsid w:val="0028371C"/>
    <w:rsid w:val="00283A17"/>
    <w:rsid w:val="00284256"/>
    <w:rsid w:val="00284405"/>
    <w:rsid w:val="00286035"/>
    <w:rsid w:val="002866DD"/>
    <w:rsid w:val="00287657"/>
    <w:rsid w:val="00287EE3"/>
    <w:rsid w:val="0029035D"/>
    <w:rsid w:val="00291431"/>
    <w:rsid w:val="0029144F"/>
    <w:rsid w:val="002919BC"/>
    <w:rsid w:val="002935E2"/>
    <w:rsid w:val="002939E9"/>
    <w:rsid w:val="002940D1"/>
    <w:rsid w:val="00294FA9"/>
    <w:rsid w:val="002957B2"/>
    <w:rsid w:val="002959A0"/>
    <w:rsid w:val="00296439"/>
    <w:rsid w:val="002965D1"/>
    <w:rsid w:val="002975CF"/>
    <w:rsid w:val="002A1A6D"/>
    <w:rsid w:val="002A2CDF"/>
    <w:rsid w:val="002A4F59"/>
    <w:rsid w:val="002A526A"/>
    <w:rsid w:val="002A53D1"/>
    <w:rsid w:val="002A5771"/>
    <w:rsid w:val="002A6DEE"/>
    <w:rsid w:val="002A70A2"/>
    <w:rsid w:val="002A7B01"/>
    <w:rsid w:val="002B01A9"/>
    <w:rsid w:val="002B03B8"/>
    <w:rsid w:val="002B06CA"/>
    <w:rsid w:val="002B08CB"/>
    <w:rsid w:val="002B1453"/>
    <w:rsid w:val="002B192A"/>
    <w:rsid w:val="002B2A97"/>
    <w:rsid w:val="002B2DE3"/>
    <w:rsid w:val="002B4209"/>
    <w:rsid w:val="002B424F"/>
    <w:rsid w:val="002B47F6"/>
    <w:rsid w:val="002B517B"/>
    <w:rsid w:val="002B5D7A"/>
    <w:rsid w:val="002B5DCF"/>
    <w:rsid w:val="002B68EC"/>
    <w:rsid w:val="002C015B"/>
    <w:rsid w:val="002C04A4"/>
    <w:rsid w:val="002C1E53"/>
    <w:rsid w:val="002C2362"/>
    <w:rsid w:val="002C2416"/>
    <w:rsid w:val="002C26DF"/>
    <w:rsid w:val="002C28FB"/>
    <w:rsid w:val="002C3803"/>
    <w:rsid w:val="002C3F67"/>
    <w:rsid w:val="002C431D"/>
    <w:rsid w:val="002C540B"/>
    <w:rsid w:val="002C61CA"/>
    <w:rsid w:val="002C641F"/>
    <w:rsid w:val="002D234C"/>
    <w:rsid w:val="002D2705"/>
    <w:rsid w:val="002D3861"/>
    <w:rsid w:val="002D39B0"/>
    <w:rsid w:val="002D5567"/>
    <w:rsid w:val="002D5FA5"/>
    <w:rsid w:val="002D61B2"/>
    <w:rsid w:val="002D7142"/>
    <w:rsid w:val="002D7AA4"/>
    <w:rsid w:val="002D7BCC"/>
    <w:rsid w:val="002E03F1"/>
    <w:rsid w:val="002E09B6"/>
    <w:rsid w:val="002E0FEB"/>
    <w:rsid w:val="002E20C9"/>
    <w:rsid w:val="002E23EF"/>
    <w:rsid w:val="002E24C7"/>
    <w:rsid w:val="002E313D"/>
    <w:rsid w:val="002E3337"/>
    <w:rsid w:val="002E3C57"/>
    <w:rsid w:val="002E4E04"/>
    <w:rsid w:val="002E54BF"/>
    <w:rsid w:val="002E7F72"/>
    <w:rsid w:val="002F1690"/>
    <w:rsid w:val="002F2403"/>
    <w:rsid w:val="002F2D80"/>
    <w:rsid w:val="002F3A98"/>
    <w:rsid w:val="002F4FCA"/>
    <w:rsid w:val="002F5B06"/>
    <w:rsid w:val="002F797D"/>
    <w:rsid w:val="003005B0"/>
    <w:rsid w:val="003007EA"/>
    <w:rsid w:val="00301CBC"/>
    <w:rsid w:val="00303616"/>
    <w:rsid w:val="00303639"/>
    <w:rsid w:val="00304D54"/>
    <w:rsid w:val="00306001"/>
    <w:rsid w:val="00306D5F"/>
    <w:rsid w:val="00306D7B"/>
    <w:rsid w:val="00306E7E"/>
    <w:rsid w:val="0030717C"/>
    <w:rsid w:val="0030795F"/>
    <w:rsid w:val="0031093D"/>
    <w:rsid w:val="00310A86"/>
    <w:rsid w:val="00311493"/>
    <w:rsid w:val="00311B7C"/>
    <w:rsid w:val="003124BB"/>
    <w:rsid w:val="00315494"/>
    <w:rsid w:val="0031553F"/>
    <w:rsid w:val="00315A6F"/>
    <w:rsid w:val="00315B44"/>
    <w:rsid w:val="00315B52"/>
    <w:rsid w:val="00316918"/>
    <w:rsid w:val="0031696A"/>
    <w:rsid w:val="00317BCA"/>
    <w:rsid w:val="00317DDC"/>
    <w:rsid w:val="00320A22"/>
    <w:rsid w:val="00320C52"/>
    <w:rsid w:val="003217FA"/>
    <w:rsid w:val="003225A4"/>
    <w:rsid w:val="00322ADB"/>
    <w:rsid w:val="003240E6"/>
    <w:rsid w:val="003265C1"/>
    <w:rsid w:val="00330E27"/>
    <w:rsid w:val="00330EC2"/>
    <w:rsid w:val="00330F63"/>
    <w:rsid w:val="003313D0"/>
    <w:rsid w:val="00331D2D"/>
    <w:rsid w:val="00332263"/>
    <w:rsid w:val="003325BC"/>
    <w:rsid w:val="003328CB"/>
    <w:rsid w:val="0033302F"/>
    <w:rsid w:val="00333BBD"/>
    <w:rsid w:val="0033430F"/>
    <w:rsid w:val="00334960"/>
    <w:rsid w:val="003351D1"/>
    <w:rsid w:val="003358BC"/>
    <w:rsid w:val="00336AB6"/>
    <w:rsid w:val="00336F70"/>
    <w:rsid w:val="003371DC"/>
    <w:rsid w:val="00337E2D"/>
    <w:rsid w:val="00341976"/>
    <w:rsid w:val="003428D2"/>
    <w:rsid w:val="00342FF8"/>
    <w:rsid w:val="003437B4"/>
    <w:rsid w:val="0034381D"/>
    <w:rsid w:val="00343981"/>
    <w:rsid w:val="00344837"/>
    <w:rsid w:val="0034569C"/>
    <w:rsid w:val="00351482"/>
    <w:rsid w:val="0035180E"/>
    <w:rsid w:val="00351CF4"/>
    <w:rsid w:val="00351E41"/>
    <w:rsid w:val="00351F33"/>
    <w:rsid w:val="003522EA"/>
    <w:rsid w:val="00352B03"/>
    <w:rsid w:val="00355A56"/>
    <w:rsid w:val="0035619B"/>
    <w:rsid w:val="00356695"/>
    <w:rsid w:val="00357042"/>
    <w:rsid w:val="0035744E"/>
    <w:rsid w:val="003579FA"/>
    <w:rsid w:val="003603F7"/>
    <w:rsid w:val="0036041A"/>
    <w:rsid w:val="003605BE"/>
    <w:rsid w:val="00360F3C"/>
    <w:rsid w:val="0036127D"/>
    <w:rsid w:val="00361526"/>
    <w:rsid w:val="00361C34"/>
    <w:rsid w:val="00361C9B"/>
    <w:rsid w:val="003622F4"/>
    <w:rsid w:val="00362603"/>
    <w:rsid w:val="003627B7"/>
    <w:rsid w:val="00363042"/>
    <w:rsid w:val="00364271"/>
    <w:rsid w:val="0036520B"/>
    <w:rsid w:val="003652E3"/>
    <w:rsid w:val="0036572D"/>
    <w:rsid w:val="0036597F"/>
    <w:rsid w:val="00365E54"/>
    <w:rsid w:val="00366704"/>
    <w:rsid w:val="00366BC3"/>
    <w:rsid w:val="003670D1"/>
    <w:rsid w:val="00367207"/>
    <w:rsid w:val="00367954"/>
    <w:rsid w:val="003700DA"/>
    <w:rsid w:val="003708B9"/>
    <w:rsid w:val="003715FC"/>
    <w:rsid w:val="00371AF4"/>
    <w:rsid w:val="00372199"/>
    <w:rsid w:val="00372FEB"/>
    <w:rsid w:val="00374082"/>
    <w:rsid w:val="003742A4"/>
    <w:rsid w:val="0037467A"/>
    <w:rsid w:val="00375BA9"/>
    <w:rsid w:val="0037682D"/>
    <w:rsid w:val="00380064"/>
    <w:rsid w:val="0038007D"/>
    <w:rsid w:val="00380218"/>
    <w:rsid w:val="0038103A"/>
    <w:rsid w:val="003812D0"/>
    <w:rsid w:val="003832FC"/>
    <w:rsid w:val="00383519"/>
    <w:rsid w:val="0038440B"/>
    <w:rsid w:val="00384969"/>
    <w:rsid w:val="003861EB"/>
    <w:rsid w:val="00387415"/>
    <w:rsid w:val="00387F24"/>
    <w:rsid w:val="0039037C"/>
    <w:rsid w:val="00391022"/>
    <w:rsid w:val="00392085"/>
    <w:rsid w:val="00392106"/>
    <w:rsid w:val="00392A4B"/>
    <w:rsid w:val="0039313F"/>
    <w:rsid w:val="00393CA8"/>
    <w:rsid w:val="00394523"/>
    <w:rsid w:val="003947B4"/>
    <w:rsid w:val="00394A18"/>
    <w:rsid w:val="003953C1"/>
    <w:rsid w:val="00396389"/>
    <w:rsid w:val="00396950"/>
    <w:rsid w:val="00396E51"/>
    <w:rsid w:val="0039727D"/>
    <w:rsid w:val="0039733D"/>
    <w:rsid w:val="003976A2"/>
    <w:rsid w:val="00397824"/>
    <w:rsid w:val="003A1F7E"/>
    <w:rsid w:val="003A1FD1"/>
    <w:rsid w:val="003A32AF"/>
    <w:rsid w:val="003A4B50"/>
    <w:rsid w:val="003B087C"/>
    <w:rsid w:val="003B161C"/>
    <w:rsid w:val="003B23FE"/>
    <w:rsid w:val="003B2DF4"/>
    <w:rsid w:val="003B2E2E"/>
    <w:rsid w:val="003B43CE"/>
    <w:rsid w:val="003B492B"/>
    <w:rsid w:val="003B557A"/>
    <w:rsid w:val="003B56DA"/>
    <w:rsid w:val="003B571C"/>
    <w:rsid w:val="003C0881"/>
    <w:rsid w:val="003C1640"/>
    <w:rsid w:val="003C18E8"/>
    <w:rsid w:val="003C1930"/>
    <w:rsid w:val="003C1D9F"/>
    <w:rsid w:val="003C2335"/>
    <w:rsid w:val="003C3613"/>
    <w:rsid w:val="003C3998"/>
    <w:rsid w:val="003C4381"/>
    <w:rsid w:val="003C4669"/>
    <w:rsid w:val="003C512A"/>
    <w:rsid w:val="003C5F49"/>
    <w:rsid w:val="003C6885"/>
    <w:rsid w:val="003C6A71"/>
    <w:rsid w:val="003C6CDB"/>
    <w:rsid w:val="003C7E97"/>
    <w:rsid w:val="003D0460"/>
    <w:rsid w:val="003D0A38"/>
    <w:rsid w:val="003D2230"/>
    <w:rsid w:val="003D2353"/>
    <w:rsid w:val="003D2566"/>
    <w:rsid w:val="003D48D8"/>
    <w:rsid w:val="003D5288"/>
    <w:rsid w:val="003D53D4"/>
    <w:rsid w:val="003D7BD8"/>
    <w:rsid w:val="003D7E4E"/>
    <w:rsid w:val="003E13CD"/>
    <w:rsid w:val="003E19E5"/>
    <w:rsid w:val="003E1DBA"/>
    <w:rsid w:val="003E3913"/>
    <w:rsid w:val="003E39F9"/>
    <w:rsid w:val="003E470F"/>
    <w:rsid w:val="003E4F1D"/>
    <w:rsid w:val="003E546D"/>
    <w:rsid w:val="003E659E"/>
    <w:rsid w:val="003F0707"/>
    <w:rsid w:val="003F0782"/>
    <w:rsid w:val="003F2A57"/>
    <w:rsid w:val="003F5C90"/>
    <w:rsid w:val="003F6F0B"/>
    <w:rsid w:val="003F6F21"/>
    <w:rsid w:val="003F7DAB"/>
    <w:rsid w:val="003F7ECE"/>
    <w:rsid w:val="00400386"/>
    <w:rsid w:val="004009D4"/>
    <w:rsid w:val="00400B34"/>
    <w:rsid w:val="00400B99"/>
    <w:rsid w:val="00401B4F"/>
    <w:rsid w:val="00401B9D"/>
    <w:rsid w:val="00402332"/>
    <w:rsid w:val="0040306E"/>
    <w:rsid w:val="004039D0"/>
    <w:rsid w:val="004042AF"/>
    <w:rsid w:val="00405931"/>
    <w:rsid w:val="00405965"/>
    <w:rsid w:val="00405C9E"/>
    <w:rsid w:val="00406157"/>
    <w:rsid w:val="0040648D"/>
    <w:rsid w:val="004064E4"/>
    <w:rsid w:val="0040662D"/>
    <w:rsid w:val="0040682A"/>
    <w:rsid w:val="0040797F"/>
    <w:rsid w:val="00410B4B"/>
    <w:rsid w:val="00411B68"/>
    <w:rsid w:val="0041200E"/>
    <w:rsid w:val="004131CA"/>
    <w:rsid w:val="004131DC"/>
    <w:rsid w:val="00413304"/>
    <w:rsid w:val="004143D2"/>
    <w:rsid w:val="00415DCF"/>
    <w:rsid w:val="004160D2"/>
    <w:rsid w:val="00416A7A"/>
    <w:rsid w:val="004172F4"/>
    <w:rsid w:val="00420061"/>
    <w:rsid w:val="00420852"/>
    <w:rsid w:val="00420C6F"/>
    <w:rsid w:val="00420E98"/>
    <w:rsid w:val="004211F0"/>
    <w:rsid w:val="00421297"/>
    <w:rsid w:val="0042171A"/>
    <w:rsid w:val="00421917"/>
    <w:rsid w:val="00421A9F"/>
    <w:rsid w:val="00421CF6"/>
    <w:rsid w:val="00421D5A"/>
    <w:rsid w:val="004221E4"/>
    <w:rsid w:val="004232AF"/>
    <w:rsid w:val="00424A4F"/>
    <w:rsid w:val="00425C30"/>
    <w:rsid w:val="004267E7"/>
    <w:rsid w:val="00426B4B"/>
    <w:rsid w:val="004272E0"/>
    <w:rsid w:val="00431E0D"/>
    <w:rsid w:val="00432180"/>
    <w:rsid w:val="004324C9"/>
    <w:rsid w:val="00432FCF"/>
    <w:rsid w:val="0043485F"/>
    <w:rsid w:val="004370C6"/>
    <w:rsid w:val="00437305"/>
    <w:rsid w:val="0043742A"/>
    <w:rsid w:val="00437D8A"/>
    <w:rsid w:val="00440E5F"/>
    <w:rsid w:val="004414D3"/>
    <w:rsid w:val="00441586"/>
    <w:rsid w:val="00441CB0"/>
    <w:rsid w:val="00441FF4"/>
    <w:rsid w:val="00443893"/>
    <w:rsid w:val="00443CD0"/>
    <w:rsid w:val="00443D76"/>
    <w:rsid w:val="00444159"/>
    <w:rsid w:val="00444AA2"/>
    <w:rsid w:val="00444F36"/>
    <w:rsid w:val="00445A50"/>
    <w:rsid w:val="00446E2C"/>
    <w:rsid w:val="0044732E"/>
    <w:rsid w:val="00447AEA"/>
    <w:rsid w:val="00447F74"/>
    <w:rsid w:val="00450C83"/>
    <w:rsid w:val="00451723"/>
    <w:rsid w:val="00451D37"/>
    <w:rsid w:val="00453958"/>
    <w:rsid w:val="004543DD"/>
    <w:rsid w:val="0045491E"/>
    <w:rsid w:val="00455004"/>
    <w:rsid w:val="00455A1B"/>
    <w:rsid w:val="00455DA7"/>
    <w:rsid w:val="004563C1"/>
    <w:rsid w:val="00457A24"/>
    <w:rsid w:val="00460C39"/>
    <w:rsid w:val="00461E0C"/>
    <w:rsid w:val="00462776"/>
    <w:rsid w:val="00462D89"/>
    <w:rsid w:val="0046366C"/>
    <w:rsid w:val="004638CB"/>
    <w:rsid w:val="00463C89"/>
    <w:rsid w:val="004642ED"/>
    <w:rsid w:val="00466E63"/>
    <w:rsid w:val="00470028"/>
    <w:rsid w:val="00471F25"/>
    <w:rsid w:val="00471F84"/>
    <w:rsid w:val="00472682"/>
    <w:rsid w:val="00472F61"/>
    <w:rsid w:val="00472F7B"/>
    <w:rsid w:val="004734CB"/>
    <w:rsid w:val="004737B2"/>
    <w:rsid w:val="00473BCE"/>
    <w:rsid w:val="00476C2A"/>
    <w:rsid w:val="004770BE"/>
    <w:rsid w:val="004770FC"/>
    <w:rsid w:val="004779D6"/>
    <w:rsid w:val="004779E1"/>
    <w:rsid w:val="00477BA9"/>
    <w:rsid w:val="00480823"/>
    <w:rsid w:val="004809AF"/>
    <w:rsid w:val="00480D11"/>
    <w:rsid w:val="00481060"/>
    <w:rsid w:val="00482F76"/>
    <w:rsid w:val="00483C2A"/>
    <w:rsid w:val="00486E89"/>
    <w:rsid w:val="00487834"/>
    <w:rsid w:val="00487DAB"/>
    <w:rsid w:val="004902E4"/>
    <w:rsid w:val="004925C8"/>
    <w:rsid w:val="00492C53"/>
    <w:rsid w:val="00493187"/>
    <w:rsid w:val="004949BD"/>
    <w:rsid w:val="00495286"/>
    <w:rsid w:val="0049564F"/>
    <w:rsid w:val="004967A3"/>
    <w:rsid w:val="00497F71"/>
    <w:rsid w:val="004A0697"/>
    <w:rsid w:val="004A103D"/>
    <w:rsid w:val="004A1B30"/>
    <w:rsid w:val="004A2B3A"/>
    <w:rsid w:val="004A5052"/>
    <w:rsid w:val="004A5153"/>
    <w:rsid w:val="004A56FE"/>
    <w:rsid w:val="004A57C4"/>
    <w:rsid w:val="004A5A8E"/>
    <w:rsid w:val="004A76B2"/>
    <w:rsid w:val="004A7DBF"/>
    <w:rsid w:val="004B03B6"/>
    <w:rsid w:val="004B0787"/>
    <w:rsid w:val="004B0AA3"/>
    <w:rsid w:val="004B11BA"/>
    <w:rsid w:val="004B3056"/>
    <w:rsid w:val="004B40D7"/>
    <w:rsid w:val="004B4A70"/>
    <w:rsid w:val="004B58D4"/>
    <w:rsid w:val="004B664A"/>
    <w:rsid w:val="004B723A"/>
    <w:rsid w:val="004B77DC"/>
    <w:rsid w:val="004B796C"/>
    <w:rsid w:val="004B7C5F"/>
    <w:rsid w:val="004C0D7C"/>
    <w:rsid w:val="004C0ED7"/>
    <w:rsid w:val="004C0FE8"/>
    <w:rsid w:val="004C1217"/>
    <w:rsid w:val="004C16ED"/>
    <w:rsid w:val="004C3A76"/>
    <w:rsid w:val="004C3B46"/>
    <w:rsid w:val="004C4381"/>
    <w:rsid w:val="004C4A1B"/>
    <w:rsid w:val="004C6166"/>
    <w:rsid w:val="004C7749"/>
    <w:rsid w:val="004D1440"/>
    <w:rsid w:val="004D214B"/>
    <w:rsid w:val="004D23F1"/>
    <w:rsid w:val="004D29E7"/>
    <w:rsid w:val="004D3F1A"/>
    <w:rsid w:val="004D4C57"/>
    <w:rsid w:val="004D51CA"/>
    <w:rsid w:val="004D64FF"/>
    <w:rsid w:val="004D67D2"/>
    <w:rsid w:val="004D6823"/>
    <w:rsid w:val="004D6D48"/>
    <w:rsid w:val="004D7182"/>
    <w:rsid w:val="004E05DD"/>
    <w:rsid w:val="004E0B6B"/>
    <w:rsid w:val="004E353D"/>
    <w:rsid w:val="004E3AE4"/>
    <w:rsid w:val="004E3D08"/>
    <w:rsid w:val="004E3DB8"/>
    <w:rsid w:val="004E41DA"/>
    <w:rsid w:val="004E438F"/>
    <w:rsid w:val="004E4B0D"/>
    <w:rsid w:val="004E5386"/>
    <w:rsid w:val="004E5582"/>
    <w:rsid w:val="004E590F"/>
    <w:rsid w:val="004E5C1D"/>
    <w:rsid w:val="004E5E2C"/>
    <w:rsid w:val="004E7148"/>
    <w:rsid w:val="004F01EB"/>
    <w:rsid w:val="004F0FA9"/>
    <w:rsid w:val="004F1749"/>
    <w:rsid w:val="004F1AB6"/>
    <w:rsid w:val="004F1FFC"/>
    <w:rsid w:val="004F3225"/>
    <w:rsid w:val="004F36D8"/>
    <w:rsid w:val="004F3E77"/>
    <w:rsid w:val="004F4BCD"/>
    <w:rsid w:val="004F52B4"/>
    <w:rsid w:val="004F5EEF"/>
    <w:rsid w:val="004F5FDA"/>
    <w:rsid w:val="004F6088"/>
    <w:rsid w:val="004F6528"/>
    <w:rsid w:val="004F6F19"/>
    <w:rsid w:val="004F7879"/>
    <w:rsid w:val="00500D2D"/>
    <w:rsid w:val="00501150"/>
    <w:rsid w:val="00501263"/>
    <w:rsid w:val="00501D25"/>
    <w:rsid w:val="00503160"/>
    <w:rsid w:val="00503E47"/>
    <w:rsid w:val="00503FFF"/>
    <w:rsid w:val="00504E9E"/>
    <w:rsid w:val="00505F8F"/>
    <w:rsid w:val="00506AB7"/>
    <w:rsid w:val="00507023"/>
    <w:rsid w:val="00507F64"/>
    <w:rsid w:val="00510530"/>
    <w:rsid w:val="0051160F"/>
    <w:rsid w:val="00511B77"/>
    <w:rsid w:val="005138D1"/>
    <w:rsid w:val="00514D53"/>
    <w:rsid w:val="005155BB"/>
    <w:rsid w:val="0051678C"/>
    <w:rsid w:val="00517B6C"/>
    <w:rsid w:val="00520523"/>
    <w:rsid w:val="00520615"/>
    <w:rsid w:val="00520D78"/>
    <w:rsid w:val="0052107E"/>
    <w:rsid w:val="0052249E"/>
    <w:rsid w:val="0052260C"/>
    <w:rsid w:val="00522766"/>
    <w:rsid w:val="005239BE"/>
    <w:rsid w:val="00523A08"/>
    <w:rsid w:val="00523A86"/>
    <w:rsid w:val="005242D2"/>
    <w:rsid w:val="0052432D"/>
    <w:rsid w:val="00524698"/>
    <w:rsid w:val="00525222"/>
    <w:rsid w:val="00525960"/>
    <w:rsid w:val="00525C5D"/>
    <w:rsid w:val="005260C9"/>
    <w:rsid w:val="00527C24"/>
    <w:rsid w:val="00527C51"/>
    <w:rsid w:val="00530B09"/>
    <w:rsid w:val="005315CF"/>
    <w:rsid w:val="00531735"/>
    <w:rsid w:val="005343FD"/>
    <w:rsid w:val="00534A88"/>
    <w:rsid w:val="00537391"/>
    <w:rsid w:val="0054046F"/>
    <w:rsid w:val="00541BDE"/>
    <w:rsid w:val="00543EA5"/>
    <w:rsid w:val="0054559C"/>
    <w:rsid w:val="00545AFE"/>
    <w:rsid w:val="00547551"/>
    <w:rsid w:val="005478ED"/>
    <w:rsid w:val="0055198A"/>
    <w:rsid w:val="00551CEF"/>
    <w:rsid w:val="00551E52"/>
    <w:rsid w:val="00552755"/>
    <w:rsid w:val="0055446E"/>
    <w:rsid w:val="00554C29"/>
    <w:rsid w:val="00554E12"/>
    <w:rsid w:val="005550B7"/>
    <w:rsid w:val="00555EFC"/>
    <w:rsid w:val="005568ED"/>
    <w:rsid w:val="00557099"/>
    <w:rsid w:val="0055798B"/>
    <w:rsid w:val="00561014"/>
    <w:rsid w:val="005618F9"/>
    <w:rsid w:val="0056291E"/>
    <w:rsid w:val="00563E26"/>
    <w:rsid w:val="00565B40"/>
    <w:rsid w:val="00566463"/>
    <w:rsid w:val="005666FB"/>
    <w:rsid w:val="00566C2D"/>
    <w:rsid w:val="0056703D"/>
    <w:rsid w:val="00567CF2"/>
    <w:rsid w:val="00570495"/>
    <w:rsid w:val="00570C4C"/>
    <w:rsid w:val="0057113E"/>
    <w:rsid w:val="00571423"/>
    <w:rsid w:val="00571542"/>
    <w:rsid w:val="005719EA"/>
    <w:rsid w:val="00572A93"/>
    <w:rsid w:val="005732E9"/>
    <w:rsid w:val="00573A2E"/>
    <w:rsid w:val="00573BDB"/>
    <w:rsid w:val="0057459F"/>
    <w:rsid w:val="00576749"/>
    <w:rsid w:val="00585019"/>
    <w:rsid w:val="00585149"/>
    <w:rsid w:val="00585370"/>
    <w:rsid w:val="00586657"/>
    <w:rsid w:val="00587488"/>
    <w:rsid w:val="0059077E"/>
    <w:rsid w:val="005914F5"/>
    <w:rsid w:val="00591E4E"/>
    <w:rsid w:val="00592452"/>
    <w:rsid w:val="00594208"/>
    <w:rsid w:val="005945B7"/>
    <w:rsid w:val="005951D5"/>
    <w:rsid w:val="0059666C"/>
    <w:rsid w:val="005973AC"/>
    <w:rsid w:val="005A086C"/>
    <w:rsid w:val="005A1099"/>
    <w:rsid w:val="005A1605"/>
    <w:rsid w:val="005A1A96"/>
    <w:rsid w:val="005A30DC"/>
    <w:rsid w:val="005A3962"/>
    <w:rsid w:val="005A3B55"/>
    <w:rsid w:val="005A6577"/>
    <w:rsid w:val="005A68E1"/>
    <w:rsid w:val="005A79CF"/>
    <w:rsid w:val="005A7E50"/>
    <w:rsid w:val="005B04DC"/>
    <w:rsid w:val="005B0CAF"/>
    <w:rsid w:val="005B10B5"/>
    <w:rsid w:val="005B26BE"/>
    <w:rsid w:val="005B294D"/>
    <w:rsid w:val="005B3515"/>
    <w:rsid w:val="005B48C8"/>
    <w:rsid w:val="005B7329"/>
    <w:rsid w:val="005B7538"/>
    <w:rsid w:val="005B7590"/>
    <w:rsid w:val="005B7F27"/>
    <w:rsid w:val="005C1957"/>
    <w:rsid w:val="005C2670"/>
    <w:rsid w:val="005C7268"/>
    <w:rsid w:val="005C7E56"/>
    <w:rsid w:val="005D028E"/>
    <w:rsid w:val="005D063D"/>
    <w:rsid w:val="005D0A7F"/>
    <w:rsid w:val="005D1AFE"/>
    <w:rsid w:val="005D2AB9"/>
    <w:rsid w:val="005D32B9"/>
    <w:rsid w:val="005D3860"/>
    <w:rsid w:val="005D3FE6"/>
    <w:rsid w:val="005D44EE"/>
    <w:rsid w:val="005D567E"/>
    <w:rsid w:val="005D6786"/>
    <w:rsid w:val="005D7492"/>
    <w:rsid w:val="005E041E"/>
    <w:rsid w:val="005E089E"/>
    <w:rsid w:val="005E18F1"/>
    <w:rsid w:val="005E3203"/>
    <w:rsid w:val="005E3260"/>
    <w:rsid w:val="005E3CE1"/>
    <w:rsid w:val="005E4145"/>
    <w:rsid w:val="005E4B3B"/>
    <w:rsid w:val="005E4C08"/>
    <w:rsid w:val="005E63A6"/>
    <w:rsid w:val="005E6402"/>
    <w:rsid w:val="005E6983"/>
    <w:rsid w:val="005E6A21"/>
    <w:rsid w:val="005E773E"/>
    <w:rsid w:val="005F019A"/>
    <w:rsid w:val="005F0316"/>
    <w:rsid w:val="005F1F06"/>
    <w:rsid w:val="005F36B6"/>
    <w:rsid w:val="005F3D7D"/>
    <w:rsid w:val="005F3DC5"/>
    <w:rsid w:val="005F414B"/>
    <w:rsid w:val="005F4F49"/>
    <w:rsid w:val="005F5F4E"/>
    <w:rsid w:val="005F6A8E"/>
    <w:rsid w:val="005F7336"/>
    <w:rsid w:val="005F7436"/>
    <w:rsid w:val="005F7471"/>
    <w:rsid w:val="00600CC2"/>
    <w:rsid w:val="00600E08"/>
    <w:rsid w:val="00600F8D"/>
    <w:rsid w:val="00601EA5"/>
    <w:rsid w:val="00602361"/>
    <w:rsid w:val="00602900"/>
    <w:rsid w:val="00602DFB"/>
    <w:rsid w:val="00603729"/>
    <w:rsid w:val="006038F6"/>
    <w:rsid w:val="00603FC4"/>
    <w:rsid w:val="006041B0"/>
    <w:rsid w:val="00605247"/>
    <w:rsid w:val="00605387"/>
    <w:rsid w:val="0060551C"/>
    <w:rsid w:val="00605A65"/>
    <w:rsid w:val="00605CB5"/>
    <w:rsid w:val="00605CCC"/>
    <w:rsid w:val="006069B2"/>
    <w:rsid w:val="0060791B"/>
    <w:rsid w:val="00610233"/>
    <w:rsid w:val="006112EA"/>
    <w:rsid w:val="006121FB"/>
    <w:rsid w:val="006130EB"/>
    <w:rsid w:val="006146E7"/>
    <w:rsid w:val="00614D69"/>
    <w:rsid w:val="00615305"/>
    <w:rsid w:val="00615465"/>
    <w:rsid w:val="00615D39"/>
    <w:rsid w:val="0061615A"/>
    <w:rsid w:val="00616C33"/>
    <w:rsid w:val="00616CAE"/>
    <w:rsid w:val="00616F07"/>
    <w:rsid w:val="0061708E"/>
    <w:rsid w:val="0062016F"/>
    <w:rsid w:val="00620A2A"/>
    <w:rsid w:val="006213B2"/>
    <w:rsid w:val="00622418"/>
    <w:rsid w:val="0062284C"/>
    <w:rsid w:val="00622DDD"/>
    <w:rsid w:val="00623F8F"/>
    <w:rsid w:val="00624EEA"/>
    <w:rsid w:val="00625F3B"/>
    <w:rsid w:val="006261BB"/>
    <w:rsid w:val="00626F58"/>
    <w:rsid w:val="006279F4"/>
    <w:rsid w:val="00627C20"/>
    <w:rsid w:val="0063003E"/>
    <w:rsid w:val="0063291D"/>
    <w:rsid w:val="006332FD"/>
    <w:rsid w:val="0063406E"/>
    <w:rsid w:val="0063427F"/>
    <w:rsid w:val="00634365"/>
    <w:rsid w:val="00634680"/>
    <w:rsid w:val="0063484E"/>
    <w:rsid w:val="0063490D"/>
    <w:rsid w:val="0063727B"/>
    <w:rsid w:val="0063758C"/>
    <w:rsid w:val="00637933"/>
    <w:rsid w:val="006402FC"/>
    <w:rsid w:val="006410FC"/>
    <w:rsid w:val="00642D43"/>
    <w:rsid w:val="00642E0B"/>
    <w:rsid w:val="00642FC3"/>
    <w:rsid w:val="0064347D"/>
    <w:rsid w:val="00643D65"/>
    <w:rsid w:val="00644EEF"/>
    <w:rsid w:val="00645246"/>
    <w:rsid w:val="00646133"/>
    <w:rsid w:val="00646B4A"/>
    <w:rsid w:val="0065032D"/>
    <w:rsid w:val="00650452"/>
    <w:rsid w:val="00650720"/>
    <w:rsid w:val="00650C71"/>
    <w:rsid w:val="00650E98"/>
    <w:rsid w:val="00651F48"/>
    <w:rsid w:val="00652FEF"/>
    <w:rsid w:val="0065473F"/>
    <w:rsid w:val="006549AE"/>
    <w:rsid w:val="00656778"/>
    <w:rsid w:val="006575CA"/>
    <w:rsid w:val="0066011E"/>
    <w:rsid w:val="006605AA"/>
    <w:rsid w:val="00660A51"/>
    <w:rsid w:val="00661831"/>
    <w:rsid w:val="006620C2"/>
    <w:rsid w:val="00662E15"/>
    <w:rsid w:val="006646C0"/>
    <w:rsid w:val="00666A65"/>
    <w:rsid w:val="006679F1"/>
    <w:rsid w:val="00670066"/>
    <w:rsid w:val="006702F0"/>
    <w:rsid w:val="0067049D"/>
    <w:rsid w:val="00670618"/>
    <w:rsid w:val="0067061F"/>
    <w:rsid w:val="00670C65"/>
    <w:rsid w:val="0067178E"/>
    <w:rsid w:val="00672415"/>
    <w:rsid w:val="0067277F"/>
    <w:rsid w:val="00673516"/>
    <w:rsid w:val="00673CB7"/>
    <w:rsid w:val="00674CA1"/>
    <w:rsid w:val="00675490"/>
    <w:rsid w:val="006755D0"/>
    <w:rsid w:val="00675F06"/>
    <w:rsid w:val="0067783E"/>
    <w:rsid w:val="00682D8E"/>
    <w:rsid w:val="006831D4"/>
    <w:rsid w:val="0068338B"/>
    <w:rsid w:val="00683F7E"/>
    <w:rsid w:val="00684BF4"/>
    <w:rsid w:val="006850AA"/>
    <w:rsid w:val="00685EF9"/>
    <w:rsid w:val="0068662F"/>
    <w:rsid w:val="0068731F"/>
    <w:rsid w:val="00687F80"/>
    <w:rsid w:val="006902E9"/>
    <w:rsid w:val="006929E1"/>
    <w:rsid w:val="00692FA0"/>
    <w:rsid w:val="00693A7B"/>
    <w:rsid w:val="00693FB2"/>
    <w:rsid w:val="00694053"/>
    <w:rsid w:val="0069483B"/>
    <w:rsid w:val="00696965"/>
    <w:rsid w:val="00696AD8"/>
    <w:rsid w:val="006972F1"/>
    <w:rsid w:val="006975A4"/>
    <w:rsid w:val="006A0EF2"/>
    <w:rsid w:val="006A1082"/>
    <w:rsid w:val="006A21C3"/>
    <w:rsid w:val="006A2316"/>
    <w:rsid w:val="006A2767"/>
    <w:rsid w:val="006A289B"/>
    <w:rsid w:val="006A391F"/>
    <w:rsid w:val="006A3CF8"/>
    <w:rsid w:val="006A3E45"/>
    <w:rsid w:val="006A58DA"/>
    <w:rsid w:val="006A6A62"/>
    <w:rsid w:val="006A6C0A"/>
    <w:rsid w:val="006A6DFD"/>
    <w:rsid w:val="006A774D"/>
    <w:rsid w:val="006A7985"/>
    <w:rsid w:val="006A7CAD"/>
    <w:rsid w:val="006B0328"/>
    <w:rsid w:val="006B124B"/>
    <w:rsid w:val="006B13A4"/>
    <w:rsid w:val="006B34D8"/>
    <w:rsid w:val="006B447E"/>
    <w:rsid w:val="006B4E38"/>
    <w:rsid w:val="006B5661"/>
    <w:rsid w:val="006B7180"/>
    <w:rsid w:val="006B769C"/>
    <w:rsid w:val="006B7EC1"/>
    <w:rsid w:val="006C0AB4"/>
    <w:rsid w:val="006C147B"/>
    <w:rsid w:val="006C1931"/>
    <w:rsid w:val="006C1AD3"/>
    <w:rsid w:val="006C288F"/>
    <w:rsid w:val="006C3E35"/>
    <w:rsid w:val="006C4191"/>
    <w:rsid w:val="006C4934"/>
    <w:rsid w:val="006C4C1C"/>
    <w:rsid w:val="006C690C"/>
    <w:rsid w:val="006C6ECD"/>
    <w:rsid w:val="006C7870"/>
    <w:rsid w:val="006D097B"/>
    <w:rsid w:val="006D12A2"/>
    <w:rsid w:val="006D1B6A"/>
    <w:rsid w:val="006D1C02"/>
    <w:rsid w:val="006D34E1"/>
    <w:rsid w:val="006D3BC0"/>
    <w:rsid w:val="006D3ED2"/>
    <w:rsid w:val="006D55D8"/>
    <w:rsid w:val="006D7D0B"/>
    <w:rsid w:val="006E18BF"/>
    <w:rsid w:val="006E2D40"/>
    <w:rsid w:val="006E2E7E"/>
    <w:rsid w:val="006E4109"/>
    <w:rsid w:val="006E523F"/>
    <w:rsid w:val="006E5FDF"/>
    <w:rsid w:val="006E6D21"/>
    <w:rsid w:val="006E71C7"/>
    <w:rsid w:val="006E7BCD"/>
    <w:rsid w:val="006F0B7B"/>
    <w:rsid w:val="006F2410"/>
    <w:rsid w:val="006F2B67"/>
    <w:rsid w:val="006F3DDE"/>
    <w:rsid w:val="006F3E1C"/>
    <w:rsid w:val="006F4674"/>
    <w:rsid w:val="006F46D7"/>
    <w:rsid w:val="006F49CC"/>
    <w:rsid w:val="006F4B93"/>
    <w:rsid w:val="006F5123"/>
    <w:rsid w:val="006F529F"/>
    <w:rsid w:val="006F54AC"/>
    <w:rsid w:val="006F589A"/>
    <w:rsid w:val="006F7E8E"/>
    <w:rsid w:val="00701FBE"/>
    <w:rsid w:val="007023BC"/>
    <w:rsid w:val="0070245A"/>
    <w:rsid w:val="007025E7"/>
    <w:rsid w:val="0070308E"/>
    <w:rsid w:val="00704AC8"/>
    <w:rsid w:val="00705AAC"/>
    <w:rsid w:val="0070647B"/>
    <w:rsid w:val="00706CD2"/>
    <w:rsid w:val="007079F1"/>
    <w:rsid w:val="0071133E"/>
    <w:rsid w:val="007118D0"/>
    <w:rsid w:val="00711F10"/>
    <w:rsid w:val="00712487"/>
    <w:rsid w:val="00712C98"/>
    <w:rsid w:val="007134C6"/>
    <w:rsid w:val="00713FCC"/>
    <w:rsid w:val="00715A3F"/>
    <w:rsid w:val="0071608C"/>
    <w:rsid w:val="0071625F"/>
    <w:rsid w:val="007207AA"/>
    <w:rsid w:val="00720EE1"/>
    <w:rsid w:val="007218D5"/>
    <w:rsid w:val="00721CDB"/>
    <w:rsid w:val="007223C7"/>
    <w:rsid w:val="00722F6F"/>
    <w:rsid w:val="007236AB"/>
    <w:rsid w:val="00723CBA"/>
    <w:rsid w:val="00725B56"/>
    <w:rsid w:val="00725FD2"/>
    <w:rsid w:val="007261EF"/>
    <w:rsid w:val="007267A6"/>
    <w:rsid w:val="007310BC"/>
    <w:rsid w:val="00731585"/>
    <w:rsid w:val="00732855"/>
    <w:rsid w:val="0073339A"/>
    <w:rsid w:val="00733CD9"/>
    <w:rsid w:val="00733E78"/>
    <w:rsid w:val="00734921"/>
    <w:rsid w:val="007354D7"/>
    <w:rsid w:val="0073571F"/>
    <w:rsid w:val="0073585E"/>
    <w:rsid w:val="00736FE4"/>
    <w:rsid w:val="007379F1"/>
    <w:rsid w:val="00740EB4"/>
    <w:rsid w:val="007412FD"/>
    <w:rsid w:val="00742133"/>
    <w:rsid w:val="00745554"/>
    <w:rsid w:val="00745DE5"/>
    <w:rsid w:val="007468AB"/>
    <w:rsid w:val="00746F48"/>
    <w:rsid w:val="00747551"/>
    <w:rsid w:val="00747B23"/>
    <w:rsid w:val="00750EDF"/>
    <w:rsid w:val="00751A9C"/>
    <w:rsid w:val="007521BC"/>
    <w:rsid w:val="0075352B"/>
    <w:rsid w:val="007535E1"/>
    <w:rsid w:val="00753644"/>
    <w:rsid w:val="00753B42"/>
    <w:rsid w:val="007547E1"/>
    <w:rsid w:val="00754C98"/>
    <w:rsid w:val="007553D6"/>
    <w:rsid w:val="00755666"/>
    <w:rsid w:val="007559D8"/>
    <w:rsid w:val="00755C8B"/>
    <w:rsid w:val="00755D58"/>
    <w:rsid w:val="00756176"/>
    <w:rsid w:val="007564F5"/>
    <w:rsid w:val="00756958"/>
    <w:rsid w:val="00756B9B"/>
    <w:rsid w:val="00757831"/>
    <w:rsid w:val="00757962"/>
    <w:rsid w:val="0076138D"/>
    <w:rsid w:val="00763A94"/>
    <w:rsid w:val="00764788"/>
    <w:rsid w:val="00766231"/>
    <w:rsid w:val="00766315"/>
    <w:rsid w:val="0076631A"/>
    <w:rsid w:val="00766BB4"/>
    <w:rsid w:val="00766CE4"/>
    <w:rsid w:val="00767C25"/>
    <w:rsid w:val="00770D7E"/>
    <w:rsid w:val="00770DD7"/>
    <w:rsid w:val="007726B5"/>
    <w:rsid w:val="00772CD7"/>
    <w:rsid w:val="007755EF"/>
    <w:rsid w:val="00776661"/>
    <w:rsid w:val="007771DC"/>
    <w:rsid w:val="00777423"/>
    <w:rsid w:val="00777C3F"/>
    <w:rsid w:val="00780DBB"/>
    <w:rsid w:val="00780ECA"/>
    <w:rsid w:val="00780F45"/>
    <w:rsid w:val="00781FC8"/>
    <w:rsid w:val="00783489"/>
    <w:rsid w:val="0078394C"/>
    <w:rsid w:val="0078414D"/>
    <w:rsid w:val="00784CD3"/>
    <w:rsid w:val="00787FED"/>
    <w:rsid w:val="007902D1"/>
    <w:rsid w:val="0079058D"/>
    <w:rsid w:val="007908A3"/>
    <w:rsid w:val="00791877"/>
    <w:rsid w:val="00792986"/>
    <w:rsid w:val="00792E8E"/>
    <w:rsid w:val="00793424"/>
    <w:rsid w:val="007946AD"/>
    <w:rsid w:val="00794AC5"/>
    <w:rsid w:val="007964E4"/>
    <w:rsid w:val="00796724"/>
    <w:rsid w:val="00796EA7"/>
    <w:rsid w:val="0079730F"/>
    <w:rsid w:val="00797A1E"/>
    <w:rsid w:val="00797DBE"/>
    <w:rsid w:val="007A153D"/>
    <w:rsid w:val="007A1728"/>
    <w:rsid w:val="007A18F4"/>
    <w:rsid w:val="007A2317"/>
    <w:rsid w:val="007A3008"/>
    <w:rsid w:val="007A315C"/>
    <w:rsid w:val="007A38C2"/>
    <w:rsid w:val="007A3D44"/>
    <w:rsid w:val="007A4717"/>
    <w:rsid w:val="007A5169"/>
    <w:rsid w:val="007A5887"/>
    <w:rsid w:val="007A5D53"/>
    <w:rsid w:val="007A651C"/>
    <w:rsid w:val="007A6709"/>
    <w:rsid w:val="007B027C"/>
    <w:rsid w:val="007B05D3"/>
    <w:rsid w:val="007B0732"/>
    <w:rsid w:val="007B1360"/>
    <w:rsid w:val="007B2458"/>
    <w:rsid w:val="007B2614"/>
    <w:rsid w:val="007B2810"/>
    <w:rsid w:val="007B2DFB"/>
    <w:rsid w:val="007B356D"/>
    <w:rsid w:val="007B3B08"/>
    <w:rsid w:val="007B560A"/>
    <w:rsid w:val="007B72DF"/>
    <w:rsid w:val="007C04AF"/>
    <w:rsid w:val="007C083C"/>
    <w:rsid w:val="007C0A23"/>
    <w:rsid w:val="007C10CA"/>
    <w:rsid w:val="007C1430"/>
    <w:rsid w:val="007C4D90"/>
    <w:rsid w:val="007C5F2B"/>
    <w:rsid w:val="007C72D6"/>
    <w:rsid w:val="007C76CC"/>
    <w:rsid w:val="007C7814"/>
    <w:rsid w:val="007C7915"/>
    <w:rsid w:val="007C7D6E"/>
    <w:rsid w:val="007D015D"/>
    <w:rsid w:val="007D0EB2"/>
    <w:rsid w:val="007D32B7"/>
    <w:rsid w:val="007D3BFE"/>
    <w:rsid w:val="007D3FB5"/>
    <w:rsid w:val="007D431B"/>
    <w:rsid w:val="007D440C"/>
    <w:rsid w:val="007D441D"/>
    <w:rsid w:val="007D57AB"/>
    <w:rsid w:val="007D5EFC"/>
    <w:rsid w:val="007D7748"/>
    <w:rsid w:val="007D7882"/>
    <w:rsid w:val="007D791D"/>
    <w:rsid w:val="007E04E7"/>
    <w:rsid w:val="007E10C0"/>
    <w:rsid w:val="007E14DC"/>
    <w:rsid w:val="007E3EE1"/>
    <w:rsid w:val="007E4352"/>
    <w:rsid w:val="007E47F4"/>
    <w:rsid w:val="007E4A4B"/>
    <w:rsid w:val="007E4F5F"/>
    <w:rsid w:val="007E5D55"/>
    <w:rsid w:val="007E5D5E"/>
    <w:rsid w:val="007E5DEA"/>
    <w:rsid w:val="007E6C20"/>
    <w:rsid w:val="007E75E4"/>
    <w:rsid w:val="007F0BA4"/>
    <w:rsid w:val="007F0E44"/>
    <w:rsid w:val="007F2622"/>
    <w:rsid w:val="007F2A09"/>
    <w:rsid w:val="007F2CD0"/>
    <w:rsid w:val="007F3A58"/>
    <w:rsid w:val="007F4C74"/>
    <w:rsid w:val="007F502B"/>
    <w:rsid w:val="007F52CC"/>
    <w:rsid w:val="007F7477"/>
    <w:rsid w:val="008003E9"/>
    <w:rsid w:val="00800C1B"/>
    <w:rsid w:val="00801A41"/>
    <w:rsid w:val="00802BA9"/>
    <w:rsid w:val="00802C92"/>
    <w:rsid w:val="00803506"/>
    <w:rsid w:val="00804156"/>
    <w:rsid w:val="00805E0A"/>
    <w:rsid w:val="0080663D"/>
    <w:rsid w:val="00806B43"/>
    <w:rsid w:val="00810ACE"/>
    <w:rsid w:val="00810CDF"/>
    <w:rsid w:val="00811011"/>
    <w:rsid w:val="008111E6"/>
    <w:rsid w:val="008121A6"/>
    <w:rsid w:val="008138DC"/>
    <w:rsid w:val="008138E1"/>
    <w:rsid w:val="00813E25"/>
    <w:rsid w:val="00814999"/>
    <w:rsid w:val="0081587D"/>
    <w:rsid w:val="00816800"/>
    <w:rsid w:val="0081755C"/>
    <w:rsid w:val="008178AA"/>
    <w:rsid w:val="00817CD5"/>
    <w:rsid w:val="008208E9"/>
    <w:rsid w:val="0082120B"/>
    <w:rsid w:val="008212B2"/>
    <w:rsid w:val="00821F82"/>
    <w:rsid w:val="00822A2C"/>
    <w:rsid w:val="00822BD2"/>
    <w:rsid w:val="00823C7A"/>
    <w:rsid w:val="00823E97"/>
    <w:rsid w:val="008263DC"/>
    <w:rsid w:val="008271C0"/>
    <w:rsid w:val="00827BB2"/>
    <w:rsid w:val="00830186"/>
    <w:rsid w:val="0083172F"/>
    <w:rsid w:val="00831E7B"/>
    <w:rsid w:val="00832694"/>
    <w:rsid w:val="0083278C"/>
    <w:rsid w:val="00833593"/>
    <w:rsid w:val="00833752"/>
    <w:rsid w:val="00834254"/>
    <w:rsid w:val="008344C4"/>
    <w:rsid w:val="008347DD"/>
    <w:rsid w:val="00834C80"/>
    <w:rsid w:val="00835DE6"/>
    <w:rsid w:val="00836E0C"/>
    <w:rsid w:val="0083712C"/>
    <w:rsid w:val="00840D61"/>
    <w:rsid w:val="008418A6"/>
    <w:rsid w:val="00841E80"/>
    <w:rsid w:val="00843BF8"/>
    <w:rsid w:val="00844ADD"/>
    <w:rsid w:val="00844BF0"/>
    <w:rsid w:val="008450BA"/>
    <w:rsid w:val="008459A3"/>
    <w:rsid w:val="008473CC"/>
    <w:rsid w:val="0084743D"/>
    <w:rsid w:val="008502FB"/>
    <w:rsid w:val="00850375"/>
    <w:rsid w:val="00850557"/>
    <w:rsid w:val="008506D7"/>
    <w:rsid w:val="00851A7F"/>
    <w:rsid w:val="00852917"/>
    <w:rsid w:val="008536E4"/>
    <w:rsid w:val="008542D2"/>
    <w:rsid w:val="00854FED"/>
    <w:rsid w:val="00855254"/>
    <w:rsid w:val="00856ABB"/>
    <w:rsid w:val="00857510"/>
    <w:rsid w:val="00857FCE"/>
    <w:rsid w:val="00861D2F"/>
    <w:rsid w:val="00862D8F"/>
    <w:rsid w:val="00863230"/>
    <w:rsid w:val="00865CCB"/>
    <w:rsid w:val="00865CE3"/>
    <w:rsid w:val="00865FE3"/>
    <w:rsid w:val="0086697F"/>
    <w:rsid w:val="00866C8A"/>
    <w:rsid w:val="008674EE"/>
    <w:rsid w:val="008679EA"/>
    <w:rsid w:val="00867B33"/>
    <w:rsid w:val="00867C15"/>
    <w:rsid w:val="008701EC"/>
    <w:rsid w:val="00870503"/>
    <w:rsid w:val="00870A20"/>
    <w:rsid w:val="00871A80"/>
    <w:rsid w:val="0087270D"/>
    <w:rsid w:val="008736DD"/>
    <w:rsid w:val="008764B3"/>
    <w:rsid w:val="00876A74"/>
    <w:rsid w:val="00876AAE"/>
    <w:rsid w:val="00876D9C"/>
    <w:rsid w:val="008814D9"/>
    <w:rsid w:val="00881E72"/>
    <w:rsid w:val="0088203C"/>
    <w:rsid w:val="00882529"/>
    <w:rsid w:val="00882A19"/>
    <w:rsid w:val="00882B68"/>
    <w:rsid w:val="008830B4"/>
    <w:rsid w:val="00883224"/>
    <w:rsid w:val="00883D5D"/>
    <w:rsid w:val="0088409C"/>
    <w:rsid w:val="0088434E"/>
    <w:rsid w:val="0088439C"/>
    <w:rsid w:val="00885629"/>
    <w:rsid w:val="008862DD"/>
    <w:rsid w:val="00886683"/>
    <w:rsid w:val="008874B8"/>
    <w:rsid w:val="0088762B"/>
    <w:rsid w:val="00887B0C"/>
    <w:rsid w:val="0089078F"/>
    <w:rsid w:val="00890B97"/>
    <w:rsid w:val="00891676"/>
    <w:rsid w:val="00892191"/>
    <w:rsid w:val="00892E84"/>
    <w:rsid w:val="00892EB5"/>
    <w:rsid w:val="00893BDA"/>
    <w:rsid w:val="00894F7C"/>
    <w:rsid w:val="008951A3"/>
    <w:rsid w:val="008962D8"/>
    <w:rsid w:val="008962E6"/>
    <w:rsid w:val="008965DA"/>
    <w:rsid w:val="0089772C"/>
    <w:rsid w:val="008A0815"/>
    <w:rsid w:val="008A207E"/>
    <w:rsid w:val="008A2145"/>
    <w:rsid w:val="008A224C"/>
    <w:rsid w:val="008A2ACC"/>
    <w:rsid w:val="008A32F6"/>
    <w:rsid w:val="008A429A"/>
    <w:rsid w:val="008A4B0C"/>
    <w:rsid w:val="008A4CF3"/>
    <w:rsid w:val="008A5199"/>
    <w:rsid w:val="008A5CEB"/>
    <w:rsid w:val="008A617B"/>
    <w:rsid w:val="008A619A"/>
    <w:rsid w:val="008A764D"/>
    <w:rsid w:val="008A7801"/>
    <w:rsid w:val="008A7B23"/>
    <w:rsid w:val="008A7C83"/>
    <w:rsid w:val="008A7D5A"/>
    <w:rsid w:val="008B0811"/>
    <w:rsid w:val="008B0E97"/>
    <w:rsid w:val="008B174A"/>
    <w:rsid w:val="008B201C"/>
    <w:rsid w:val="008B2159"/>
    <w:rsid w:val="008B2B8B"/>
    <w:rsid w:val="008B41F4"/>
    <w:rsid w:val="008B4239"/>
    <w:rsid w:val="008B5419"/>
    <w:rsid w:val="008B57DF"/>
    <w:rsid w:val="008B6E29"/>
    <w:rsid w:val="008B73E3"/>
    <w:rsid w:val="008B7801"/>
    <w:rsid w:val="008C127B"/>
    <w:rsid w:val="008C2BD6"/>
    <w:rsid w:val="008C3173"/>
    <w:rsid w:val="008C3454"/>
    <w:rsid w:val="008C41F3"/>
    <w:rsid w:val="008C6592"/>
    <w:rsid w:val="008C66EC"/>
    <w:rsid w:val="008C670B"/>
    <w:rsid w:val="008C6807"/>
    <w:rsid w:val="008C6E91"/>
    <w:rsid w:val="008C707C"/>
    <w:rsid w:val="008C70EA"/>
    <w:rsid w:val="008C73DC"/>
    <w:rsid w:val="008D3138"/>
    <w:rsid w:val="008D35ED"/>
    <w:rsid w:val="008D3B77"/>
    <w:rsid w:val="008D3C41"/>
    <w:rsid w:val="008D3FFC"/>
    <w:rsid w:val="008D4394"/>
    <w:rsid w:val="008D56D9"/>
    <w:rsid w:val="008D6A08"/>
    <w:rsid w:val="008D7226"/>
    <w:rsid w:val="008E0431"/>
    <w:rsid w:val="008E06F9"/>
    <w:rsid w:val="008E0F55"/>
    <w:rsid w:val="008E1449"/>
    <w:rsid w:val="008E1B84"/>
    <w:rsid w:val="008E2748"/>
    <w:rsid w:val="008E2DAF"/>
    <w:rsid w:val="008E3A58"/>
    <w:rsid w:val="008E4055"/>
    <w:rsid w:val="008E40EF"/>
    <w:rsid w:val="008E45EA"/>
    <w:rsid w:val="008E4F2C"/>
    <w:rsid w:val="008E5090"/>
    <w:rsid w:val="008E6198"/>
    <w:rsid w:val="008E6B9C"/>
    <w:rsid w:val="008E7E0D"/>
    <w:rsid w:val="008E7F14"/>
    <w:rsid w:val="008F11A4"/>
    <w:rsid w:val="008F2253"/>
    <w:rsid w:val="008F22AC"/>
    <w:rsid w:val="008F27C9"/>
    <w:rsid w:val="008F2944"/>
    <w:rsid w:val="008F398A"/>
    <w:rsid w:val="008F3F46"/>
    <w:rsid w:val="008F49B5"/>
    <w:rsid w:val="008F4FBB"/>
    <w:rsid w:val="008F5F6F"/>
    <w:rsid w:val="008F6C37"/>
    <w:rsid w:val="008F6EA7"/>
    <w:rsid w:val="009000E1"/>
    <w:rsid w:val="00900C64"/>
    <w:rsid w:val="00901168"/>
    <w:rsid w:val="00901173"/>
    <w:rsid w:val="0090146A"/>
    <w:rsid w:val="00901622"/>
    <w:rsid w:val="00901D49"/>
    <w:rsid w:val="00902C84"/>
    <w:rsid w:val="00902E4A"/>
    <w:rsid w:val="009031A6"/>
    <w:rsid w:val="0090321E"/>
    <w:rsid w:val="009032FC"/>
    <w:rsid w:val="00903A09"/>
    <w:rsid w:val="00903E80"/>
    <w:rsid w:val="00904168"/>
    <w:rsid w:val="00904284"/>
    <w:rsid w:val="0090473B"/>
    <w:rsid w:val="00904F18"/>
    <w:rsid w:val="00904F5B"/>
    <w:rsid w:val="00905EE1"/>
    <w:rsid w:val="00907BFB"/>
    <w:rsid w:val="00910159"/>
    <w:rsid w:val="0091022B"/>
    <w:rsid w:val="0091106B"/>
    <w:rsid w:val="009112FA"/>
    <w:rsid w:val="00911703"/>
    <w:rsid w:val="009120C5"/>
    <w:rsid w:val="00913A0C"/>
    <w:rsid w:val="00913A95"/>
    <w:rsid w:val="00914614"/>
    <w:rsid w:val="0091465E"/>
    <w:rsid w:val="00914D5F"/>
    <w:rsid w:val="009151C6"/>
    <w:rsid w:val="00915608"/>
    <w:rsid w:val="00915717"/>
    <w:rsid w:val="00915A2A"/>
    <w:rsid w:val="00916E62"/>
    <w:rsid w:val="009172C3"/>
    <w:rsid w:val="009176E1"/>
    <w:rsid w:val="00917B1F"/>
    <w:rsid w:val="00920964"/>
    <w:rsid w:val="00922F60"/>
    <w:rsid w:val="00924434"/>
    <w:rsid w:val="009248A8"/>
    <w:rsid w:val="00925F9B"/>
    <w:rsid w:val="00926166"/>
    <w:rsid w:val="00927D73"/>
    <w:rsid w:val="00930166"/>
    <w:rsid w:val="009313F3"/>
    <w:rsid w:val="00931F32"/>
    <w:rsid w:val="00934352"/>
    <w:rsid w:val="00934F19"/>
    <w:rsid w:val="009354C8"/>
    <w:rsid w:val="009354E1"/>
    <w:rsid w:val="009355FB"/>
    <w:rsid w:val="00935FCD"/>
    <w:rsid w:val="00936877"/>
    <w:rsid w:val="00936D88"/>
    <w:rsid w:val="009377C7"/>
    <w:rsid w:val="009401EC"/>
    <w:rsid w:val="00940548"/>
    <w:rsid w:val="00940729"/>
    <w:rsid w:val="009419C4"/>
    <w:rsid w:val="00941B15"/>
    <w:rsid w:val="00944684"/>
    <w:rsid w:val="009452BC"/>
    <w:rsid w:val="009454AA"/>
    <w:rsid w:val="009457CE"/>
    <w:rsid w:val="00945E3D"/>
    <w:rsid w:val="0094619B"/>
    <w:rsid w:val="0094651D"/>
    <w:rsid w:val="00946A34"/>
    <w:rsid w:val="00950E49"/>
    <w:rsid w:val="00951001"/>
    <w:rsid w:val="009510E7"/>
    <w:rsid w:val="00951A24"/>
    <w:rsid w:val="009525D4"/>
    <w:rsid w:val="0095297E"/>
    <w:rsid w:val="009530D7"/>
    <w:rsid w:val="009542A8"/>
    <w:rsid w:val="009554B4"/>
    <w:rsid w:val="00955987"/>
    <w:rsid w:val="0095603E"/>
    <w:rsid w:val="00956403"/>
    <w:rsid w:val="00956680"/>
    <w:rsid w:val="00957EB2"/>
    <w:rsid w:val="00957FF3"/>
    <w:rsid w:val="00960C47"/>
    <w:rsid w:val="00960FA5"/>
    <w:rsid w:val="0096130F"/>
    <w:rsid w:val="00961740"/>
    <w:rsid w:val="00961FFC"/>
    <w:rsid w:val="00962130"/>
    <w:rsid w:val="00962390"/>
    <w:rsid w:val="0096253A"/>
    <w:rsid w:val="0096486D"/>
    <w:rsid w:val="00964CCA"/>
    <w:rsid w:val="00966403"/>
    <w:rsid w:val="00967FAB"/>
    <w:rsid w:val="00970227"/>
    <w:rsid w:val="0097042E"/>
    <w:rsid w:val="0097078A"/>
    <w:rsid w:val="00970E2B"/>
    <w:rsid w:val="00970FA8"/>
    <w:rsid w:val="0097116B"/>
    <w:rsid w:val="0097131C"/>
    <w:rsid w:val="0097165F"/>
    <w:rsid w:val="00971AC8"/>
    <w:rsid w:val="00971C89"/>
    <w:rsid w:val="009728C9"/>
    <w:rsid w:val="00972AB5"/>
    <w:rsid w:val="009744CB"/>
    <w:rsid w:val="0097556F"/>
    <w:rsid w:val="00975994"/>
    <w:rsid w:val="0097753E"/>
    <w:rsid w:val="00977CB5"/>
    <w:rsid w:val="0098027A"/>
    <w:rsid w:val="009808AE"/>
    <w:rsid w:val="0098217E"/>
    <w:rsid w:val="0098327C"/>
    <w:rsid w:val="00983627"/>
    <w:rsid w:val="00983A2A"/>
    <w:rsid w:val="00983E84"/>
    <w:rsid w:val="00983FFA"/>
    <w:rsid w:val="009844CE"/>
    <w:rsid w:val="00984886"/>
    <w:rsid w:val="0098591C"/>
    <w:rsid w:val="009872FB"/>
    <w:rsid w:val="009904CA"/>
    <w:rsid w:val="00990AE4"/>
    <w:rsid w:val="00991024"/>
    <w:rsid w:val="0099190D"/>
    <w:rsid w:val="00991F5C"/>
    <w:rsid w:val="00991FE1"/>
    <w:rsid w:val="00992B0F"/>
    <w:rsid w:val="00992C3A"/>
    <w:rsid w:val="009930BF"/>
    <w:rsid w:val="00993258"/>
    <w:rsid w:val="0099331C"/>
    <w:rsid w:val="0099343E"/>
    <w:rsid w:val="009939BC"/>
    <w:rsid w:val="00993DEC"/>
    <w:rsid w:val="00994BC3"/>
    <w:rsid w:val="00995983"/>
    <w:rsid w:val="00995A21"/>
    <w:rsid w:val="00995C7E"/>
    <w:rsid w:val="009962BE"/>
    <w:rsid w:val="00996397"/>
    <w:rsid w:val="00996E1C"/>
    <w:rsid w:val="009A0012"/>
    <w:rsid w:val="009A0970"/>
    <w:rsid w:val="009A1281"/>
    <w:rsid w:val="009A1EBC"/>
    <w:rsid w:val="009A21AC"/>
    <w:rsid w:val="009A3BD0"/>
    <w:rsid w:val="009A3E38"/>
    <w:rsid w:val="009A3FCC"/>
    <w:rsid w:val="009A44F9"/>
    <w:rsid w:val="009A4B5E"/>
    <w:rsid w:val="009A5DBF"/>
    <w:rsid w:val="009A6AC8"/>
    <w:rsid w:val="009A6F94"/>
    <w:rsid w:val="009A7DBE"/>
    <w:rsid w:val="009B02B3"/>
    <w:rsid w:val="009B0D67"/>
    <w:rsid w:val="009B1083"/>
    <w:rsid w:val="009B25D1"/>
    <w:rsid w:val="009B26AD"/>
    <w:rsid w:val="009B29CA"/>
    <w:rsid w:val="009B350E"/>
    <w:rsid w:val="009B38DD"/>
    <w:rsid w:val="009B3AA9"/>
    <w:rsid w:val="009B3BAD"/>
    <w:rsid w:val="009B3FCD"/>
    <w:rsid w:val="009B454E"/>
    <w:rsid w:val="009B4A49"/>
    <w:rsid w:val="009B4C48"/>
    <w:rsid w:val="009B549B"/>
    <w:rsid w:val="009B6F68"/>
    <w:rsid w:val="009B7C22"/>
    <w:rsid w:val="009C1F33"/>
    <w:rsid w:val="009C22D6"/>
    <w:rsid w:val="009C2FEA"/>
    <w:rsid w:val="009C31A2"/>
    <w:rsid w:val="009C4286"/>
    <w:rsid w:val="009C5797"/>
    <w:rsid w:val="009C57AD"/>
    <w:rsid w:val="009C5BED"/>
    <w:rsid w:val="009C78F6"/>
    <w:rsid w:val="009D033D"/>
    <w:rsid w:val="009D0CA1"/>
    <w:rsid w:val="009D1166"/>
    <w:rsid w:val="009D1FFA"/>
    <w:rsid w:val="009D2B57"/>
    <w:rsid w:val="009D447A"/>
    <w:rsid w:val="009D5F96"/>
    <w:rsid w:val="009D74A5"/>
    <w:rsid w:val="009D7B67"/>
    <w:rsid w:val="009E118B"/>
    <w:rsid w:val="009E24CF"/>
    <w:rsid w:val="009E2B73"/>
    <w:rsid w:val="009E335C"/>
    <w:rsid w:val="009E3926"/>
    <w:rsid w:val="009E4EF5"/>
    <w:rsid w:val="009E6D30"/>
    <w:rsid w:val="009E6E56"/>
    <w:rsid w:val="009E7091"/>
    <w:rsid w:val="009E70E6"/>
    <w:rsid w:val="009F1948"/>
    <w:rsid w:val="009F1A6E"/>
    <w:rsid w:val="009F2329"/>
    <w:rsid w:val="009F242A"/>
    <w:rsid w:val="009F26AD"/>
    <w:rsid w:val="009F2CBB"/>
    <w:rsid w:val="009F3868"/>
    <w:rsid w:val="009F3F80"/>
    <w:rsid w:val="009F402F"/>
    <w:rsid w:val="009F4E83"/>
    <w:rsid w:val="009F503F"/>
    <w:rsid w:val="009F5194"/>
    <w:rsid w:val="009F6863"/>
    <w:rsid w:val="009F6C41"/>
    <w:rsid w:val="00A0116B"/>
    <w:rsid w:val="00A02048"/>
    <w:rsid w:val="00A02387"/>
    <w:rsid w:val="00A024AC"/>
    <w:rsid w:val="00A0324C"/>
    <w:rsid w:val="00A033C2"/>
    <w:rsid w:val="00A03511"/>
    <w:rsid w:val="00A03835"/>
    <w:rsid w:val="00A040B8"/>
    <w:rsid w:val="00A046AF"/>
    <w:rsid w:val="00A04A85"/>
    <w:rsid w:val="00A060B4"/>
    <w:rsid w:val="00A10E9A"/>
    <w:rsid w:val="00A10EB8"/>
    <w:rsid w:val="00A1142D"/>
    <w:rsid w:val="00A12150"/>
    <w:rsid w:val="00A1243B"/>
    <w:rsid w:val="00A12616"/>
    <w:rsid w:val="00A12690"/>
    <w:rsid w:val="00A12908"/>
    <w:rsid w:val="00A12AEA"/>
    <w:rsid w:val="00A1354A"/>
    <w:rsid w:val="00A13FA6"/>
    <w:rsid w:val="00A1464F"/>
    <w:rsid w:val="00A152A2"/>
    <w:rsid w:val="00A15C36"/>
    <w:rsid w:val="00A17AA9"/>
    <w:rsid w:val="00A17BE2"/>
    <w:rsid w:val="00A203DB"/>
    <w:rsid w:val="00A224C3"/>
    <w:rsid w:val="00A23146"/>
    <w:rsid w:val="00A23F32"/>
    <w:rsid w:val="00A24845"/>
    <w:rsid w:val="00A249C5"/>
    <w:rsid w:val="00A254DE"/>
    <w:rsid w:val="00A25A95"/>
    <w:rsid w:val="00A27A2F"/>
    <w:rsid w:val="00A30B77"/>
    <w:rsid w:val="00A31224"/>
    <w:rsid w:val="00A31726"/>
    <w:rsid w:val="00A31894"/>
    <w:rsid w:val="00A31BB1"/>
    <w:rsid w:val="00A31FA0"/>
    <w:rsid w:val="00A321F0"/>
    <w:rsid w:val="00A33DFF"/>
    <w:rsid w:val="00A34415"/>
    <w:rsid w:val="00A34F73"/>
    <w:rsid w:val="00A354D0"/>
    <w:rsid w:val="00A3575B"/>
    <w:rsid w:val="00A35C11"/>
    <w:rsid w:val="00A3627C"/>
    <w:rsid w:val="00A372FF"/>
    <w:rsid w:val="00A37F8C"/>
    <w:rsid w:val="00A41807"/>
    <w:rsid w:val="00A437BA"/>
    <w:rsid w:val="00A45975"/>
    <w:rsid w:val="00A46C15"/>
    <w:rsid w:val="00A46C43"/>
    <w:rsid w:val="00A47E9B"/>
    <w:rsid w:val="00A50427"/>
    <w:rsid w:val="00A5044F"/>
    <w:rsid w:val="00A50E0B"/>
    <w:rsid w:val="00A5245A"/>
    <w:rsid w:val="00A52C7D"/>
    <w:rsid w:val="00A55DBF"/>
    <w:rsid w:val="00A56F48"/>
    <w:rsid w:val="00A61463"/>
    <w:rsid w:val="00A62996"/>
    <w:rsid w:val="00A62CC2"/>
    <w:rsid w:val="00A631BD"/>
    <w:rsid w:val="00A63BD7"/>
    <w:rsid w:val="00A65E72"/>
    <w:rsid w:val="00A6693E"/>
    <w:rsid w:val="00A70080"/>
    <w:rsid w:val="00A7025B"/>
    <w:rsid w:val="00A718FD"/>
    <w:rsid w:val="00A72A07"/>
    <w:rsid w:val="00A72F75"/>
    <w:rsid w:val="00A73163"/>
    <w:rsid w:val="00A73401"/>
    <w:rsid w:val="00A73FCE"/>
    <w:rsid w:val="00A74378"/>
    <w:rsid w:val="00A74540"/>
    <w:rsid w:val="00A748BB"/>
    <w:rsid w:val="00A74BEE"/>
    <w:rsid w:val="00A75B29"/>
    <w:rsid w:val="00A7685D"/>
    <w:rsid w:val="00A80E6E"/>
    <w:rsid w:val="00A82CE2"/>
    <w:rsid w:val="00A84811"/>
    <w:rsid w:val="00A851F8"/>
    <w:rsid w:val="00A86179"/>
    <w:rsid w:val="00A87299"/>
    <w:rsid w:val="00A904C6"/>
    <w:rsid w:val="00A90656"/>
    <w:rsid w:val="00A90753"/>
    <w:rsid w:val="00A91213"/>
    <w:rsid w:val="00A92A4F"/>
    <w:rsid w:val="00A92AEF"/>
    <w:rsid w:val="00A92B72"/>
    <w:rsid w:val="00A933B3"/>
    <w:rsid w:val="00A94B6E"/>
    <w:rsid w:val="00A94DB2"/>
    <w:rsid w:val="00A952CC"/>
    <w:rsid w:val="00A9641E"/>
    <w:rsid w:val="00A97221"/>
    <w:rsid w:val="00AA02E0"/>
    <w:rsid w:val="00AA0443"/>
    <w:rsid w:val="00AA07D9"/>
    <w:rsid w:val="00AA16BD"/>
    <w:rsid w:val="00AA2696"/>
    <w:rsid w:val="00AA4964"/>
    <w:rsid w:val="00AA4B99"/>
    <w:rsid w:val="00AA5A5F"/>
    <w:rsid w:val="00AA5E14"/>
    <w:rsid w:val="00AA5E68"/>
    <w:rsid w:val="00AA5FBD"/>
    <w:rsid w:val="00AA689F"/>
    <w:rsid w:val="00AA68DA"/>
    <w:rsid w:val="00AB0B0F"/>
    <w:rsid w:val="00AB121C"/>
    <w:rsid w:val="00AB1BFC"/>
    <w:rsid w:val="00AB1DF7"/>
    <w:rsid w:val="00AB31B7"/>
    <w:rsid w:val="00AB3AF0"/>
    <w:rsid w:val="00AB3DEC"/>
    <w:rsid w:val="00AB4259"/>
    <w:rsid w:val="00AB4BAC"/>
    <w:rsid w:val="00AB4CFA"/>
    <w:rsid w:val="00AB5EF2"/>
    <w:rsid w:val="00AB60D6"/>
    <w:rsid w:val="00AB6286"/>
    <w:rsid w:val="00AB63DF"/>
    <w:rsid w:val="00AB65F9"/>
    <w:rsid w:val="00AC3136"/>
    <w:rsid w:val="00AC31EF"/>
    <w:rsid w:val="00AC4A4A"/>
    <w:rsid w:val="00AC4C31"/>
    <w:rsid w:val="00AC5AC8"/>
    <w:rsid w:val="00AC68DC"/>
    <w:rsid w:val="00AC7C3A"/>
    <w:rsid w:val="00AD0C28"/>
    <w:rsid w:val="00AD0FBB"/>
    <w:rsid w:val="00AD1464"/>
    <w:rsid w:val="00AD2353"/>
    <w:rsid w:val="00AD23B7"/>
    <w:rsid w:val="00AD2A14"/>
    <w:rsid w:val="00AD316C"/>
    <w:rsid w:val="00AD3A27"/>
    <w:rsid w:val="00AD4CDB"/>
    <w:rsid w:val="00AD6E74"/>
    <w:rsid w:val="00AD7240"/>
    <w:rsid w:val="00AD74A5"/>
    <w:rsid w:val="00AD7A42"/>
    <w:rsid w:val="00AD7C4B"/>
    <w:rsid w:val="00AE03F6"/>
    <w:rsid w:val="00AE0C26"/>
    <w:rsid w:val="00AE0FB1"/>
    <w:rsid w:val="00AE1032"/>
    <w:rsid w:val="00AE123A"/>
    <w:rsid w:val="00AE13C1"/>
    <w:rsid w:val="00AE25CB"/>
    <w:rsid w:val="00AE2E28"/>
    <w:rsid w:val="00AE4708"/>
    <w:rsid w:val="00AE60C9"/>
    <w:rsid w:val="00AE6ADE"/>
    <w:rsid w:val="00AE74E4"/>
    <w:rsid w:val="00AE7BDE"/>
    <w:rsid w:val="00AE7C19"/>
    <w:rsid w:val="00AE7E00"/>
    <w:rsid w:val="00AF1447"/>
    <w:rsid w:val="00AF1E04"/>
    <w:rsid w:val="00AF1FE1"/>
    <w:rsid w:val="00AF3D0D"/>
    <w:rsid w:val="00AF50E7"/>
    <w:rsid w:val="00AF514B"/>
    <w:rsid w:val="00AF55CA"/>
    <w:rsid w:val="00AF5997"/>
    <w:rsid w:val="00AF6565"/>
    <w:rsid w:val="00AF6723"/>
    <w:rsid w:val="00AF67EA"/>
    <w:rsid w:val="00AF6983"/>
    <w:rsid w:val="00AF7D5E"/>
    <w:rsid w:val="00B00080"/>
    <w:rsid w:val="00B00C7F"/>
    <w:rsid w:val="00B0113F"/>
    <w:rsid w:val="00B01A8D"/>
    <w:rsid w:val="00B01F5A"/>
    <w:rsid w:val="00B02190"/>
    <w:rsid w:val="00B0659D"/>
    <w:rsid w:val="00B06FA5"/>
    <w:rsid w:val="00B07116"/>
    <w:rsid w:val="00B07604"/>
    <w:rsid w:val="00B101C9"/>
    <w:rsid w:val="00B114A4"/>
    <w:rsid w:val="00B11917"/>
    <w:rsid w:val="00B13D46"/>
    <w:rsid w:val="00B13F90"/>
    <w:rsid w:val="00B140E2"/>
    <w:rsid w:val="00B15B40"/>
    <w:rsid w:val="00B15BF3"/>
    <w:rsid w:val="00B167D3"/>
    <w:rsid w:val="00B2122F"/>
    <w:rsid w:val="00B212C5"/>
    <w:rsid w:val="00B21599"/>
    <w:rsid w:val="00B22DE5"/>
    <w:rsid w:val="00B24E8E"/>
    <w:rsid w:val="00B2579C"/>
    <w:rsid w:val="00B267B5"/>
    <w:rsid w:val="00B27CA8"/>
    <w:rsid w:val="00B3006B"/>
    <w:rsid w:val="00B30842"/>
    <w:rsid w:val="00B315FD"/>
    <w:rsid w:val="00B32100"/>
    <w:rsid w:val="00B32BD6"/>
    <w:rsid w:val="00B3452C"/>
    <w:rsid w:val="00B350E3"/>
    <w:rsid w:val="00B351CB"/>
    <w:rsid w:val="00B36404"/>
    <w:rsid w:val="00B36E89"/>
    <w:rsid w:val="00B375F9"/>
    <w:rsid w:val="00B40C14"/>
    <w:rsid w:val="00B4135F"/>
    <w:rsid w:val="00B42F38"/>
    <w:rsid w:val="00B43447"/>
    <w:rsid w:val="00B4438C"/>
    <w:rsid w:val="00B444CB"/>
    <w:rsid w:val="00B44522"/>
    <w:rsid w:val="00B44F05"/>
    <w:rsid w:val="00B462B0"/>
    <w:rsid w:val="00B466E6"/>
    <w:rsid w:val="00B46F1E"/>
    <w:rsid w:val="00B478C4"/>
    <w:rsid w:val="00B50235"/>
    <w:rsid w:val="00B50E50"/>
    <w:rsid w:val="00B517F1"/>
    <w:rsid w:val="00B51921"/>
    <w:rsid w:val="00B5291E"/>
    <w:rsid w:val="00B52ECD"/>
    <w:rsid w:val="00B52F94"/>
    <w:rsid w:val="00B53B0F"/>
    <w:rsid w:val="00B53D8C"/>
    <w:rsid w:val="00B54E10"/>
    <w:rsid w:val="00B550B3"/>
    <w:rsid w:val="00B5532C"/>
    <w:rsid w:val="00B563B1"/>
    <w:rsid w:val="00B56A4D"/>
    <w:rsid w:val="00B570C8"/>
    <w:rsid w:val="00B6056C"/>
    <w:rsid w:val="00B6065A"/>
    <w:rsid w:val="00B6287A"/>
    <w:rsid w:val="00B628E3"/>
    <w:rsid w:val="00B63726"/>
    <w:rsid w:val="00B64560"/>
    <w:rsid w:val="00B653D4"/>
    <w:rsid w:val="00B65AE6"/>
    <w:rsid w:val="00B65E5B"/>
    <w:rsid w:val="00B66318"/>
    <w:rsid w:val="00B66F0D"/>
    <w:rsid w:val="00B672A7"/>
    <w:rsid w:val="00B67439"/>
    <w:rsid w:val="00B675FB"/>
    <w:rsid w:val="00B706C7"/>
    <w:rsid w:val="00B708EE"/>
    <w:rsid w:val="00B70D71"/>
    <w:rsid w:val="00B71F36"/>
    <w:rsid w:val="00B7222E"/>
    <w:rsid w:val="00B72947"/>
    <w:rsid w:val="00B72A95"/>
    <w:rsid w:val="00B72B24"/>
    <w:rsid w:val="00B74008"/>
    <w:rsid w:val="00B7401D"/>
    <w:rsid w:val="00B74A8D"/>
    <w:rsid w:val="00B76BB3"/>
    <w:rsid w:val="00B778FC"/>
    <w:rsid w:val="00B779F4"/>
    <w:rsid w:val="00B80BA7"/>
    <w:rsid w:val="00B80F30"/>
    <w:rsid w:val="00B8159C"/>
    <w:rsid w:val="00B81875"/>
    <w:rsid w:val="00B822D8"/>
    <w:rsid w:val="00B84254"/>
    <w:rsid w:val="00B84735"/>
    <w:rsid w:val="00B85406"/>
    <w:rsid w:val="00B85992"/>
    <w:rsid w:val="00B85F52"/>
    <w:rsid w:val="00B86309"/>
    <w:rsid w:val="00B87C54"/>
    <w:rsid w:val="00B91AD0"/>
    <w:rsid w:val="00B93360"/>
    <w:rsid w:val="00B945F1"/>
    <w:rsid w:val="00B95141"/>
    <w:rsid w:val="00B966AB"/>
    <w:rsid w:val="00B97EB0"/>
    <w:rsid w:val="00BA019D"/>
    <w:rsid w:val="00BA09A6"/>
    <w:rsid w:val="00BA128C"/>
    <w:rsid w:val="00BA1953"/>
    <w:rsid w:val="00BA1CEF"/>
    <w:rsid w:val="00BA2536"/>
    <w:rsid w:val="00BA314C"/>
    <w:rsid w:val="00BA3625"/>
    <w:rsid w:val="00BA38FF"/>
    <w:rsid w:val="00BA3A59"/>
    <w:rsid w:val="00BA3FE0"/>
    <w:rsid w:val="00BA4F0A"/>
    <w:rsid w:val="00BA5428"/>
    <w:rsid w:val="00BA5C25"/>
    <w:rsid w:val="00BA62E5"/>
    <w:rsid w:val="00BA69B3"/>
    <w:rsid w:val="00BA6AC0"/>
    <w:rsid w:val="00BA6FF3"/>
    <w:rsid w:val="00BA7FF6"/>
    <w:rsid w:val="00BB1450"/>
    <w:rsid w:val="00BB1D74"/>
    <w:rsid w:val="00BB230F"/>
    <w:rsid w:val="00BB27B4"/>
    <w:rsid w:val="00BB33AF"/>
    <w:rsid w:val="00BB4B8E"/>
    <w:rsid w:val="00BB536B"/>
    <w:rsid w:val="00BB55D5"/>
    <w:rsid w:val="00BB5FAC"/>
    <w:rsid w:val="00BB60B2"/>
    <w:rsid w:val="00BB6B16"/>
    <w:rsid w:val="00BB6F8D"/>
    <w:rsid w:val="00BB7B7B"/>
    <w:rsid w:val="00BC035B"/>
    <w:rsid w:val="00BC3DE9"/>
    <w:rsid w:val="00BC428C"/>
    <w:rsid w:val="00BC4536"/>
    <w:rsid w:val="00BC78F2"/>
    <w:rsid w:val="00BD015F"/>
    <w:rsid w:val="00BD0575"/>
    <w:rsid w:val="00BD0A6C"/>
    <w:rsid w:val="00BD1905"/>
    <w:rsid w:val="00BD1A1E"/>
    <w:rsid w:val="00BD48EE"/>
    <w:rsid w:val="00BD651F"/>
    <w:rsid w:val="00BD66A3"/>
    <w:rsid w:val="00BD78AB"/>
    <w:rsid w:val="00BD7A9C"/>
    <w:rsid w:val="00BE020A"/>
    <w:rsid w:val="00BE56E2"/>
    <w:rsid w:val="00BE5865"/>
    <w:rsid w:val="00BE5D5F"/>
    <w:rsid w:val="00BE6A46"/>
    <w:rsid w:val="00BF075B"/>
    <w:rsid w:val="00BF1602"/>
    <w:rsid w:val="00BF1B5B"/>
    <w:rsid w:val="00BF2327"/>
    <w:rsid w:val="00BF4F9D"/>
    <w:rsid w:val="00BF52F6"/>
    <w:rsid w:val="00BF668E"/>
    <w:rsid w:val="00C005AE"/>
    <w:rsid w:val="00C03190"/>
    <w:rsid w:val="00C03306"/>
    <w:rsid w:val="00C03717"/>
    <w:rsid w:val="00C03C17"/>
    <w:rsid w:val="00C03C71"/>
    <w:rsid w:val="00C0529A"/>
    <w:rsid w:val="00C05AEE"/>
    <w:rsid w:val="00C06245"/>
    <w:rsid w:val="00C06B34"/>
    <w:rsid w:val="00C07FDE"/>
    <w:rsid w:val="00C116AE"/>
    <w:rsid w:val="00C11F7E"/>
    <w:rsid w:val="00C12281"/>
    <w:rsid w:val="00C1235A"/>
    <w:rsid w:val="00C12FD6"/>
    <w:rsid w:val="00C132A9"/>
    <w:rsid w:val="00C136C1"/>
    <w:rsid w:val="00C1484E"/>
    <w:rsid w:val="00C15120"/>
    <w:rsid w:val="00C153EB"/>
    <w:rsid w:val="00C15B8B"/>
    <w:rsid w:val="00C1635A"/>
    <w:rsid w:val="00C1770A"/>
    <w:rsid w:val="00C179D9"/>
    <w:rsid w:val="00C2004C"/>
    <w:rsid w:val="00C201FA"/>
    <w:rsid w:val="00C219C4"/>
    <w:rsid w:val="00C220DC"/>
    <w:rsid w:val="00C22516"/>
    <w:rsid w:val="00C22815"/>
    <w:rsid w:val="00C22FCC"/>
    <w:rsid w:val="00C23D9B"/>
    <w:rsid w:val="00C248BD"/>
    <w:rsid w:val="00C25FF8"/>
    <w:rsid w:val="00C27682"/>
    <w:rsid w:val="00C310D3"/>
    <w:rsid w:val="00C3185A"/>
    <w:rsid w:val="00C319C1"/>
    <w:rsid w:val="00C31D19"/>
    <w:rsid w:val="00C31F8E"/>
    <w:rsid w:val="00C332CB"/>
    <w:rsid w:val="00C33683"/>
    <w:rsid w:val="00C33C76"/>
    <w:rsid w:val="00C34455"/>
    <w:rsid w:val="00C34E4B"/>
    <w:rsid w:val="00C34F1E"/>
    <w:rsid w:val="00C35186"/>
    <w:rsid w:val="00C365A7"/>
    <w:rsid w:val="00C36D15"/>
    <w:rsid w:val="00C37276"/>
    <w:rsid w:val="00C40538"/>
    <w:rsid w:val="00C4073B"/>
    <w:rsid w:val="00C40B8A"/>
    <w:rsid w:val="00C40C53"/>
    <w:rsid w:val="00C40EC0"/>
    <w:rsid w:val="00C43799"/>
    <w:rsid w:val="00C44005"/>
    <w:rsid w:val="00C4628F"/>
    <w:rsid w:val="00C47FAD"/>
    <w:rsid w:val="00C5032B"/>
    <w:rsid w:val="00C50614"/>
    <w:rsid w:val="00C51351"/>
    <w:rsid w:val="00C515E1"/>
    <w:rsid w:val="00C51662"/>
    <w:rsid w:val="00C518A4"/>
    <w:rsid w:val="00C518C1"/>
    <w:rsid w:val="00C51D61"/>
    <w:rsid w:val="00C5243F"/>
    <w:rsid w:val="00C52797"/>
    <w:rsid w:val="00C53F3C"/>
    <w:rsid w:val="00C54531"/>
    <w:rsid w:val="00C54765"/>
    <w:rsid w:val="00C54792"/>
    <w:rsid w:val="00C54895"/>
    <w:rsid w:val="00C54A26"/>
    <w:rsid w:val="00C55BC3"/>
    <w:rsid w:val="00C56880"/>
    <w:rsid w:val="00C57080"/>
    <w:rsid w:val="00C6135D"/>
    <w:rsid w:val="00C62012"/>
    <w:rsid w:val="00C62EAC"/>
    <w:rsid w:val="00C638E6"/>
    <w:rsid w:val="00C6436A"/>
    <w:rsid w:val="00C6476E"/>
    <w:rsid w:val="00C64E75"/>
    <w:rsid w:val="00C65201"/>
    <w:rsid w:val="00C660DE"/>
    <w:rsid w:val="00C662B8"/>
    <w:rsid w:val="00C66887"/>
    <w:rsid w:val="00C6698D"/>
    <w:rsid w:val="00C67D0D"/>
    <w:rsid w:val="00C67F14"/>
    <w:rsid w:val="00C70BE0"/>
    <w:rsid w:val="00C721AF"/>
    <w:rsid w:val="00C73519"/>
    <w:rsid w:val="00C7544B"/>
    <w:rsid w:val="00C755BA"/>
    <w:rsid w:val="00C759A7"/>
    <w:rsid w:val="00C779FC"/>
    <w:rsid w:val="00C77B6F"/>
    <w:rsid w:val="00C77F06"/>
    <w:rsid w:val="00C77FA9"/>
    <w:rsid w:val="00C77FF6"/>
    <w:rsid w:val="00C80A26"/>
    <w:rsid w:val="00C83806"/>
    <w:rsid w:val="00C83B3A"/>
    <w:rsid w:val="00C83BBF"/>
    <w:rsid w:val="00C83DB5"/>
    <w:rsid w:val="00C847E3"/>
    <w:rsid w:val="00C84C12"/>
    <w:rsid w:val="00C85005"/>
    <w:rsid w:val="00C85210"/>
    <w:rsid w:val="00C8665D"/>
    <w:rsid w:val="00C87417"/>
    <w:rsid w:val="00C87BC7"/>
    <w:rsid w:val="00C9003F"/>
    <w:rsid w:val="00C9032D"/>
    <w:rsid w:val="00C90B64"/>
    <w:rsid w:val="00C91E1C"/>
    <w:rsid w:val="00C92EEC"/>
    <w:rsid w:val="00C92EFE"/>
    <w:rsid w:val="00C94126"/>
    <w:rsid w:val="00C9533A"/>
    <w:rsid w:val="00C966A2"/>
    <w:rsid w:val="00C97090"/>
    <w:rsid w:val="00C9742D"/>
    <w:rsid w:val="00C97C1E"/>
    <w:rsid w:val="00CA0194"/>
    <w:rsid w:val="00CA1025"/>
    <w:rsid w:val="00CA11DC"/>
    <w:rsid w:val="00CA1488"/>
    <w:rsid w:val="00CA1C87"/>
    <w:rsid w:val="00CA3028"/>
    <w:rsid w:val="00CA307D"/>
    <w:rsid w:val="00CA3F77"/>
    <w:rsid w:val="00CA5A80"/>
    <w:rsid w:val="00CA62E0"/>
    <w:rsid w:val="00CA71F7"/>
    <w:rsid w:val="00CA7328"/>
    <w:rsid w:val="00CA7594"/>
    <w:rsid w:val="00CB1BC1"/>
    <w:rsid w:val="00CB1CB4"/>
    <w:rsid w:val="00CB2C56"/>
    <w:rsid w:val="00CB2E3A"/>
    <w:rsid w:val="00CB4434"/>
    <w:rsid w:val="00CB45C9"/>
    <w:rsid w:val="00CB4B25"/>
    <w:rsid w:val="00CB7A8E"/>
    <w:rsid w:val="00CC0323"/>
    <w:rsid w:val="00CC099E"/>
    <w:rsid w:val="00CC0C83"/>
    <w:rsid w:val="00CC12E7"/>
    <w:rsid w:val="00CC1787"/>
    <w:rsid w:val="00CC1808"/>
    <w:rsid w:val="00CC1E01"/>
    <w:rsid w:val="00CC33A1"/>
    <w:rsid w:val="00CC3712"/>
    <w:rsid w:val="00CC3C7B"/>
    <w:rsid w:val="00CC5C84"/>
    <w:rsid w:val="00CC5C9B"/>
    <w:rsid w:val="00CC6AAA"/>
    <w:rsid w:val="00CC7ADC"/>
    <w:rsid w:val="00CD0676"/>
    <w:rsid w:val="00CD186B"/>
    <w:rsid w:val="00CD200A"/>
    <w:rsid w:val="00CD320C"/>
    <w:rsid w:val="00CD35DC"/>
    <w:rsid w:val="00CD4666"/>
    <w:rsid w:val="00CD4A63"/>
    <w:rsid w:val="00CD52FD"/>
    <w:rsid w:val="00CD5BA3"/>
    <w:rsid w:val="00CD73E1"/>
    <w:rsid w:val="00CE00A1"/>
    <w:rsid w:val="00CE03E2"/>
    <w:rsid w:val="00CE07E7"/>
    <w:rsid w:val="00CE15EB"/>
    <w:rsid w:val="00CE1622"/>
    <w:rsid w:val="00CE1BC3"/>
    <w:rsid w:val="00CE273B"/>
    <w:rsid w:val="00CE3FBE"/>
    <w:rsid w:val="00CE50A9"/>
    <w:rsid w:val="00CE56BD"/>
    <w:rsid w:val="00CE61B0"/>
    <w:rsid w:val="00CE6672"/>
    <w:rsid w:val="00CE76B5"/>
    <w:rsid w:val="00CE7C5A"/>
    <w:rsid w:val="00CE7E95"/>
    <w:rsid w:val="00CF01E4"/>
    <w:rsid w:val="00CF1027"/>
    <w:rsid w:val="00CF133A"/>
    <w:rsid w:val="00CF162D"/>
    <w:rsid w:val="00CF174B"/>
    <w:rsid w:val="00CF1AD2"/>
    <w:rsid w:val="00CF3226"/>
    <w:rsid w:val="00CF3A51"/>
    <w:rsid w:val="00CF47F8"/>
    <w:rsid w:val="00CF4CB1"/>
    <w:rsid w:val="00CF4D6C"/>
    <w:rsid w:val="00CF509E"/>
    <w:rsid w:val="00CF5281"/>
    <w:rsid w:val="00CF7485"/>
    <w:rsid w:val="00D0022B"/>
    <w:rsid w:val="00D012E7"/>
    <w:rsid w:val="00D0215E"/>
    <w:rsid w:val="00D02240"/>
    <w:rsid w:val="00D03543"/>
    <w:rsid w:val="00D03ED0"/>
    <w:rsid w:val="00D0531D"/>
    <w:rsid w:val="00D054E2"/>
    <w:rsid w:val="00D063B4"/>
    <w:rsid w:val="00D102E9"/>
    <w:rsid w:val="00D1078D"/>
    <w:rsid w:val="00D11654"/>
    <w:rsid w:val="00D1245A"/>
    <w:rsid w:val="00D12B6B"/>
    <w:rsid w:val="00D12F3C"/>
    <w:rsid w:val="00D12F57"/>
    <w:rsid w:val="00D132F2"/>
    <w:rsid w:val="00D1400D"/>
    <w:rsid w:val="00D159F5"/>
    <w:rsid w:val="00D15E16"/>
    <w:rsid w:val="00D15FA9"/>
    <w:rsid w:val="00D16AC8"/>
    <w:rsid w:val="00D16FA5"/>
    <w:rsid w:val="00D1703E"/>
    <w:rsid w:val="00D176CA"/>
    <w:rsid w:val="00D20597"/>
    <w:rsid w:val="00D21058"/>
    <w:rsid w:val="00D21874"/>
    <w:rsid w:val="00D22176"/>
    <w:rsid w:val="00D22C4F"/>
    <w:rsid w:val="00D23800"/>
    <w:rsid w:val="00D257F7"/>
    <w:rsid w:val="00D2730B"/>
    <w:rsid w:val="00D2746F"/>
    <w:rsid w:val="00D27A8A"/>
    <w:rsid w:val="00D3048A"/>
    <w:rsid w:val="00D313FD"/>
    <w:rsid w:val="00D31446"/>
    <w:rsid w:val="00D31533"/>
    <w:rsid w:val="00D316EF"/>
    <w:rsid w:val="00D31C7B"/>
    <w:rsid w:val="00D32244"/>
    <w:rsid w:val="00D3253E"/>
    <w:rsid w:val="00D32C19"/>
    <w:rsid w:val="00D32D27"/>
    <w:rsid w:val="00D33BBF"/>
    <w:rsid w:val="00D3440F"/>
    <w:rsid w:val="00D36658"/>
    <w:rsid w:val="00D36B9A"/>
    <w:rsid w:val="00D36F92"/>
    <w:rsid w:val="00D3743C"/>
    <w:rsid w:val="00D37EAA"/>
    <w:rsid w:val="00D40791"/>
    <w:rsid w:val="00D40C6A"/>
    <w:rsid w:val="00D40D5E"/>
    <w:rsid w:val="00D41BAC"/>
    <w:rsid w:val="00D42D1C"/>
    <w:rsid w:val="00D43B8D"/>
    <w:rsid w:val="00D4440D"/>
    <w:rsid w:val="00D45210"/>
    <w:rsid w:val="00D45233"/>
    <w:rsid w:val="00D46083"/>
    <w:rsid w:val="00D46554"/>
    <w:rsid w:val="00D472B7"/>
    <w:rsid w:val="00D475FA"/>
    <w:rsid w:val="00D47671"/>
    <w:rsid w:val="00D47BC0"/>
    <w:rsid w:val="00D47D64"/>
    <w:rsid w:val="00D47D72"/>
    <w:rsid w:val="00D51970"/>
    <w:rsid w:val="00D5210D"/>
    <w:rsid w:val="00D52441"/>
    <w:rsid w:val="00D52E50"/>
    <w:rsid w:val="00D54C53"/>
    <w:rsid w:val="00D56747"/>
    <w:rsid w:val="00D57BFE"/>
    <w:rsid w:val="00D57E30"/>
    <w:rsid w:val="00D6061F"/>
    <w:rsid w:val="00D615A3"/>
    <w:rsid w:val="00D62E56"/>
    <w:rsid w:val="00D62F57"/>
    <w:rsid w:val="00D63150"/>
    <w:rsid w:val="00D63829"/>
    <w:rsid w:val="00D64FE8"/>
    <w:rsid w:val="00D65061"/>
    <w:rsid w:val="00D65E1F"/>
    <w:rsid w:val="00D65ED8"/>
    <w:rsid w:val="00D6642D"/>
    <w:rsid w:val="00D670A9"/>
    <w:rsid w:val="00D675BE"/>
    <w:rsid w:val="00D7082C"/>
    <w:rsid w:val="00D7136B"/>
    <w:rsid w:val="00D7258A"/>
    <w:rsid w:val="00D72E29"/>
    <w:rsid w:val="00D73BD6"/>
    <w:rsid w:val="00D73F2D"/>
    <w:rsid w:val="00D744BD"/>
    <w:rsid w:val="00D74536"/>
    <w:rsid w:val="00D74592"/>
    <w:rsid w:val="00D749E2"/>
    <w:rsid w:val="00D753C0"/>
    <w:rsid w:val="00D77371"/>
    <w:rsid w:val="00D801BC"/>
    <w:rsid w:val="00D804D9"/>
    <w:rsid w:val="00D808F7"/>
    <w:rsid w:val="00D80C58"/>
    <w:rsid w:val="00D811B8"/>
    <w:rsid w:val="00D821FA"/>
    <w:rsid w:val="00D8287E"/>
    <w:rsid w:val="00D82C38"/>
    <w:rsid w:val="00D82D9E"/>
    <w:rsid w:val="00D83315"/>
    <w:rsid w:val="00D8366C"/>
    <w:rsid w:val="00D85310"/>
    <w:rsid w:val="00D85946"/>
    <w:rsid w:val="00D86653"/>
    <w:rsid w:val="00D871E3"/>
    <w:rsid w:val="00D90285"/>
    <w:rsid w:val="00D90B67"/>
    <w:rsid w:val="00D91506"/>
    <w:rsid w:val="00D93545"/>
    <w:rsid w:val="00D93D3C"/>
    <w:rsid w:val="00D94FCA"/>
    <w:rsid w:val="00D96766"/>
    <w:rsid w:val="00DA034A"/>
    <w:rsid w:val="00DA09BC"/>
    <w:rsid w:val="00DA0D20"/>
    <w:rsid w:val="00DA0E7F"/>
    <w:rsid w:val="00DA119A"/>
    <w:rsid w:val="00DA1272"/>
    <w:rsid w:val="00DA1EB9"/>
    <w:rsid w:val="00DA23E1"/>
    <w:rsid w:val="00DA24D1"/>
    <w:rsid w:val="00DA25DC"/>
    <w:rsid w:val="00DA3368"/>
    <w:rsid w:val="00DA4479"/>
    <w:rsid w:val="00DA4B2A"/>
    <w:rsid w:val="00DA4E4D"/>
    <w:rsid w:val="00DA5EDF"/>
    <w:rsid w:val="00DA662C"/>
    <w:rsid w:val="00DA7BB6"/>
    <w:rsid w:val="00DB02C5"/>
    <w:rsid w:val="00DB0490"/>
    <w:rsid w:val="00DB1289"/>
    <w:rsid w:val="00DB16C8"/>
    <w:rsid w:val="00DB20EB"/>
    <w:rsid w:val="00DB3A27"/>
    <w:rsid w:val="00DB5A2B"/>
    <w:rsid w:val="00DB6662"/>
    <w:rsid w:val="00DC06D3"/>
    <w:rsid w:val="00DC0AA5"/>
    <w:rsid w:val="00DC1505"/>
    <w:rsid w:val="00DC19A4"/>
    <w:rsid w:val="00DC2FD7"/>
    <w:rsid w:val="00DC5034"/>
    <w:rsid w:val="00DC54AB"/>
    <w:rsid w:val="00DC6074"/>
    <w:rsid w:val="00DC60DC"/>
    <w:rsid w:val="00DC6F23"/>
    <w:rsid w:val="00DC7ED5"/>
    <w:rsid w:val="00DD031A"/>
    <w:rsid w:val="00DD0B9A"/>
    <w:rsid w:val="00DD0DD3"/>
    <w:rsid w:val="00DD2348"/>
    <w:rsid w:val="00DD2B1C"/>
    <w:rsid w:val="00DD2D59"/>
    <w:rsid w:val="00DD3955"/>
    <w:rsid w:val="00DD4536"/>
    <w:rsid w:val="00DD45F9"/>
    <w:rsid w:val="00DD46EB"/>
    <w:rsid w:val="00DD4C8C"/>
    <w:rsid w:val="00DD5064"/>
    <w:rsid w:val="00DD5614"/>
    <w:rsid w:val="00DD6926"/>
    <w:rsid w:val="00DD6C79"/>
    <w:rsid w:val="00DD778E"/>
    <w:rsid w:val="00DD7B08"/>
    <w:rsid w:val="00DE0737"/>
    <w:rsid w:val="00DE181A"/>
    <w:rsid w:val="00DE18B4"/>
    <w:rsid w:val="00DE2406"/>
    <w:rsid w:val="00DE412B"/>
    <w:rsid w:val="00DE4C5D"/>
    <w:rsid w:val="00DE4ED0"/>
    <w:rsid w:val="00DE5ADD"/>
    <w:rsid w:val="00DE5C03"/>
    <w:rsid w:val="00DE6CF9"/>
    <w:rsid w:val="00DE6DE2"/>
    <w:rsid w:val="00DE7156"/>
    <w:rsid w:val="00DF02F2"/>
    <w:rsid w:val="00DF074D"/>
    <w:rsid w:val="00DF3856"/>
    <w:rsid w:val="00DF55B8"/>
    <w:rsid w:val="00DF6524"/>
    <w:rsid w:val="00DF6913"/>
    <w:rsid w:val="00E0000F"/>
    <w:rsid w:val="00E002E0"/>
    <w:rsid w:val="00E00A52"/>
    <w:rsid w:val="00E01A1F"/>
    <w:rsid w:val="00E01BF9"/>
    <w:rsid w:val="00E0220E"/>
    <w:rsid w:val="00E0227B"/>
    <w:rsid w:val="00E02770"/>
    <w:rsid w:val="00E030D9"/>
    <w:rsid w:val="00E04584"/>
    <w:rsid w:val="00E0487B"/>
    <w:rsid w:val="00E04E92"/>
    <w:rsid w:val="00E05028"/>
    <w:rsid w:val="00E052A9"/>
    <w:rsid w:val="00E071FA"/>
    <w:rsid w:val="00E07739"/>
    <w:rsid w:val="00E10104"/>
    <w:rsid w:val="00E10221"/>
    <w:rsid w:val="00E10860"/>
    <w:rsid w:val="00E10D83"/>
    <w:rsid w:val="00E125C8"/>
    <w:rsid w:val="00E13DDF"/>
    <w:rsid w:val="00E14206"/>
    <w:rsid w:val="00E15C15"/>
    <w:rsid w:val="00E15F40"/>
    <w:rsid w:val="00E1628B"/>
    <w:rsid w:val="00E162DB"/>
    <w:rsid w:val="00E16E9B"/>
    <w:rsid w:val="00E16EDC"/>
    <w:rsid w:val="00E17555"/>
    <w:rsid w:val="00E17597"/>
    <w:rsid w:val="00E17844"/>
    <w:rsid w:val="00E179AD"/>
    <w:rsid w:val="00E2057B"/>
    <w:rsid w:val="00E2120D"/>
    <w:rsid w:val="00E2147F"/>
    <w:rsid w:val="00E22A37"/>
    <w:rsid w:val="00E22D79"/>
    <w:rsid w:val="00E23456"/>
    <w:rsid w:val="00E23AD1"/>
    <w:rsid w:val="00E24990"/>
    <w:rsid w:val="00E24D3A"/>
    <w:rsid w:val="00E24DF0"/>
    <w:rsid w:val="00E2553C"/>
    <w:rsid w:val="00E25ECA"/>
    <w:rsid w:val="00E26A22"/>
    <w:rsid w:val="00E27B87"/>
    <w:rsid w:val="00E31212"/>
    <w:rsid w:val="00E3217A"/>
    <w:rsid w:val="00E32507"/>
    <w:rsid w:val="00E334FF"/>
    <w:rsid w:val="00E34E33"/>
    <w:rsid w:val="00E362B9"/>
    <w:rsid w:val="00E37688"/>
    <w:rsid w:val="00E3796D"/>
    <w:rsid w:val="00E37CCD"/>
    <w:rsid w:val="00E40614"/>
    <w:rsid w:val="00E40B56"/>
    <w:rsid w:val="00E41382"/>
    <w:rsid w:val="00E42B65"/>
    <w:rsid w:val="00E4335F"/>
    <w:rsid w:val="00E44379"/>
    <w:rsid w:val="00E444E6"/>
    <w:rsid w:val="00E44E26"/>
    <w:rsid w:val="00E44F24"/>
    <w:rsid w:val="00E45575"/>
    <w:rsid w:val="00E506E4"/>
    <w:rsid w:val="00E50718"/>
    <w:rsid w:val="00E50BA9"/>
    <w:rsid w:val="00E5357D"/>
    <w:rsid w:val="00E53991"/>
    <w:rsid w:val="00E53F71"/>
    <w:rsid w:val="00E545EC"/>
    <w:rsid w:val="00E5468C"/>
    <w:rsid w:val="00E55783"/>
    <w:rsid w:val="00E5610D"/>
    <w:rsid w:val="00E56F6A"/>
    <w:rsid w:val="00E57021"/>
    <w:rsid w:val="00E61D96"/>
    <w:rsid w:val="00E634D7"/>
    <w:rsid w:val="00E635FA"/>
    <w:rsid w:val="00E643AA"/>
    <w:rsid w:val="00E65023"/>
    <w:rsid w:val="00E65A94"/>
    <w:rsid w:val="00E66053"/>
    <w:rsid w:val="00E66462"/>
    <w:rsid w:val="00E667EF"/>
    <w:rsid w:val="00E6726B"/>
    <w:rsid w:val="00E67618"/>
    <w:rsid w:val="00E70C80"/>
    <w:rsid w:val="00E7203B"/>
    <w:rsid w:val="00E72933"/>
    <w:rsid w:val="00E72A87"/>
    <w:rsid w:val="00E72F23"/>
    <w:rsid w:val="00E73CE6"/>
    <w:rsid w:val="00E73CF5"/>
    <w:rsid w:val="00E7583B"/>
    <w:rsid w:val="00E7655E"/>
    <w:rsid w:val="00E76A71"/>
    <w:rsid w:val="00E805EB"/>
    <w:rsid w:val="00E80A66"/>
    <w:rsid w:val="00E80BC3"/>
    <w:rsid w:val="00E8121F"/>
    <w:rsid w:val="00E8151D"/>
    <w:rsid w:val="00E8193A"/>
    <w:rsid w:val="00E83215"/>
    <w:rsid w:val="00E86397"/>
    <w:rsid w:val="00E864EE"/>
    <w:rsid w:val="00E87756"/>
    <w:rsid w:val="00E8796E"/>
    <w:rsid w:val="00E87B53"/>
    <w:rsid w:val="00E9035E"/>
    <w:rsid w:val="00E9124A"/>
    <w:rsid w:val="00E916E9"/>
    <w:rsid w:val="00E923D1"/>
    <w:rsid w:val="00E92AFE"/>
    <w:rsid w:val="00E92EF7"/>
    <w:rsid w:val="00E9332B"/>
    <w:rsid w:val="00E940C0"/>
    <w:rsid w:val="00E94AED"/>
    <w:rsid w:val="00E94F15"/>
    <w:rsid w:val="00E95A09"/>
    <w:rsid w:val="00E95CA1"/>
    <w:rsid w:val="00E96496"/>
    <w:rsid w:val="00E97208"/>
    <w:rsid w:val="00E97CBB"/>
    <w:rsid w:val="00EA26F7"/>
    <w:rsid w:val="00EA2813"/>
    <w:rsid w:val="00EA2CFE"/>
    <w:rsid w:val="00EA2F0C"/>
    <w:rsid w:val="00EA33A8"/>
    <w:rsid w:val="00EA364E"/>
    <w:rsid w:val="00EA4FBB"/>
    <w:rsid w:val="00EA5E4D"/>
    <w:rsid w:val="00EA5EB4"/>
    <w:rsid w:val="00EA5F0E"/>
    <w:rsid w:val="00EA65DA"/>
    <w:rsid w:val="00EA6F5C"/>
    <w:rsid w:val="00EA7D72"/>
    <w:rsid w:val="00EB164B"/>
    <w:rsid w:val="00EB230D"/>
    <w:rsid w:val="00EB2DFF"/>
    <w:rsid w:val="00EB3CBF"/>
    <w:rsid w:val="00EB43E1"/>
    <w:rsid w:val="00EB484F"/>
    <w:rsid w:val="00EB53D9"/>
    <w:rsid w:val="00EB6E28"/>
    <w:rsid w:val="00EB6F8F"/>
    <w:rsid w:val="00EB706F"/>
    <w:rsid w:val="00EC1C1A"/>
    <w:rsid w:val="00EC1E5C"/>
    <w:rsid w:val="00EC32FA"/>
    <w:rsid w:val="00EC3658"/>
    <w:rsid w:val="00EC36A5"/>
    <w:rsid w:val="00EC3BEC"/>
    <w:rsid w:val="00EC3E85"/>
    <w:rsid w:val="00EC5254"/>
    <w:rsid w:val="00EC5883"/>
    <w:rsid w:val="00EC73D9"/>
    <w:rsid w:val="00ED0363"/>
    <w:rsid w:val="00ED07AD"/>
    <w:rsid w:val="00ED124E"/>
    <w:rsid w:val="00ED2139"/>
    <w:rsid w:val="00ED228E"/>
    <w:rsid w:val="00ED2C75"/>
    <w:rsid w:val="00ED31B2"/>
    <w:rsid w:val="00ED41B1"/>
    <w:rsid w:val="00ED461D"/>
    <w:rsid w:val="00ED5B97"/>
    <w:rsid w:val="00ED5C88"/>
    <w:rsid w:val="00ED6EEC"/>
    <w:rsid w:val="00ED758E"/>
    <w:rsid w:val="00EE085F"/>
    <w:rsid w:val="00EE3461"/>
    <w:rsid w:val="00EE406C"/>
    <w:rsid w:val="00EE46CF"/>
    <w:rsid w:val="00EE4EEA"/>
    <w:rsid w:val="00EE5E03"/>
    <w:rsid w:val="00EE7D7A"/>
    <w:rsid w:val="00EF006D"/>
    <w:rsid w:val="00EF1F66"/>
    <w:rsid w:val="00EF290E"/>
    <w:rsid w:val="00EF3801"/>
    <w:rsid w:val="00EF4091"/>
    <w:rsid w:val="00EF637F"/>
    <w:rsid w:val="00EF6977"/>
    <w:rsid w:val="00EF70F5"/>
    <w:rsid w:val="00EF7C00"/>
    <w:rsid w:val="00F00813"/>
    <w:rsid w:val="00F00B97"/>
    <w:rsid w:val="00F00D21"/>
    <w:rsid w:val="00F00EFF"/>
    <w:rsid w:val="00F01DFC"/>
    <w:rsid w:val="00F02AFB"/>
    <w:rsid w:val="00F03D3C"/>
    <w:rsid w:val="00F05A21"/>
    <w:rsid w:val="00F0675D"/>
    <w:rsid w:val="00F07112"/>
    <w:rsid w:val="00F119E5"/>
    <w:rsid w:val="00F12349"/>
    <w:rsid w:val="00F12C7A"/>
    <w:rsid w:val="00F13F08"/>
    <w:rsid w:val="00F14B8C"/>
    <w:rsid w:val="00F14E67"/>
    <w:rsid w:val="00F158E9"/>
    <w:rsid w:val="00F15A62"/>
    <w:rsid w:val="00F163E6"/>
    <w:rsid w:val="00F16FBA"/>
    <w:rsid w:val="00F202D4"/>
    <w:rsid w:val="00F21E87"/>
    <w:rsid w:val="00F2294C"/>
    <w:rsid w:val="00F231E5"/>
    <w:rsid w:val="00F243EB"/>
    <w:rsid w:val="00F24DC1"/>
    <w:rsid w:val="00F251BF"/>
    <w:rsid w:val="00F26DE9"/>
    <w:rsid w:val="00F27245"/>
    <w:rsid w:val="00F31637"/>
    <w:rsid w:val="00F31B4A"/>
    <w:rsid w:val="00F324AD"/>
    <w:rsid w:val="00F33377"/>
    <w:rsid w:val="00F334BD"/>
    <w:rsid w:val="00F340A7"/>
    <w:rsid w:val="00F34ECD"/>
    <w:rsid w:val="00F34F88"/>
    <w:rsid w:val="00F35E75"/>
    <w:rsid w:val="00F377F7"/>
    <w:rsid w:val="00F37853"/>
    <w:rsid w:val="00F40214"/>
    <w:rsid w:val="00F4053E"/>
    <w:rsid w:val="00F41E22"/>
    <w:rsid w:val="00F42177"/>
    <w:rsid w:val="00F423CD"/>
    <w:rsid w:val="00F4430A"/>
    <w:rsid w:val="00F447F1"/>
    <w:rsid w:val="00F44F7A"/>
    <w:rsid w:val="00F4764A"/>
    <w:rsid w:val="00F51037"/>
    <w:rsid w:val="00F512F4"/>
    <w:rsid w:val="00F51311"/>
    <w:rsid w:val="00F517CE"/>
    <w:rsid w:val="00F51A4D"/>
    <w:rsid w:val="00F51BCB"/>
    <w:rsid w:val="00F52440"/>
    <w:rsid w:val="00F52F0D"/>
    <w:rsid w:val="00F53396"/>
    <w:rsid w:val="00F533D4"/>
    <w:rsid w:val="00F53CA4"/>
    <w:rsid w:val="00F53EB5"/>
    <w:rsid w:val="00F560D5"/>
    <w:rsid w:val="00F56C11"/>
    <w:rsid w:val="00F57019"/>
    <w:rsid w:val="00F573C0"/>
    <w:rsid w:val="00F615E2"/>
    <w:rsid w:val="00F6174C"/>
    <w:rsid w:val="00F64189"/>
    <w:rsid w:val="00F6481E"/>
    <w:rsid w:val="00F64A7D"/>
    <w:rsid w:val="00F64E44"/>
    <w:rsid w:val="00F65DAB"/>
    <w:rsid w:val="00F66EF2"/>
    <w:rsid w:val="00F70D20"/>
    <w:rsid w:val="00F71D29"/>
    <w:rsid w:val="00F71D4D"/>
    <w:rsid w:val="00F74946"/>
    <w:rsid w:val="00F75952"/>
    <w:rsid w:val="00F75EBC"/>
    <w:rsid w:val="00F760D6"/>
    <w:rsid w:val="00F77364"/>
    <w:rsid w:val="00F775A2"/>
    <w:rsid w:val="00F8036A"/>
    <w:rsid w:val="00F814EA"/>
    <w:rsid w:val="00F8235F"/>
    <w:rsid w:val="00F842CE"/>
    <w:rsid w:val="00F84764"/>
    <w:rsid w:val="00F84A35"/>
    <w:rsid w:val="00F87424"/>
    <w:rsid w:val="00F87CD3"/>
    <w:rsid w:val="00F905D1"/>
    <w:rsid w:val="00F9069D"/>
    <w:rsid w:val="00F90EBF"/>
    <w:rsid w:val="00F9154B"/>
    <w:rsid w:val="00F915A4"/>
    <w:rsid w:val="00F92503"/>
    <w:rsid w:val="00F9270E"/>
    <w:rsid w:val="00F92A78"/>
    <w:rsid w:val="00F92D84"/>
    <w:rsid w:val="00F94764"/>
    <w:rsid w:val="00F957CB"/>
    <w:rsid w:val="00F95AF4"/>
    <w:rsid w:val="00F96AA3"/>
    <w:rsid w:val="00FA02CC"/>
    <w:rsid w:val="00FA06BF"/>
    <w:rsid w:val="00FA0C9A"/>
    <w:rsid w:val="00FA1DBF"/>
    <w:rsid w:val="00FA2830"/>
    <w:rsid w:val="00FA2ED7"/>
    <w:rsid w:val="00FA30CD"/>
    <w:rsid w:val="00FA3254"/>
    <w:rsid w:val="00FA3918"/>
    <w:rsid w:val="00FA52F0"/>
    <w:rsid w:val="00FA5EED"/>
    <w:rsid w:val="00FA6151"/>
    <w:rsid w:val="00FA6475"/>
    <w:rsid w:val="00FA69CE"/>
    <w:rsid w:val="00FB14B2"/>
    <w:rsid w:val="00FB2578"/>
    <w:rsid w:val="00FB2C89"/>
    <w:rsid w:val="00FB2F41"/>
    <w:rsid w:val="00FB3149"/>
    <w:rsid w:val="00FB35B6"/>
    <w:rsid w:val="00FB4389"/>
    <w:rsid w:val="00FB456D"/>
    <w:rsid w:val="00FB481D"/>
    <w:rsid w:val="00FB5947"/>
    <w:rsid w:val="00FB6BEC"/>
    <w:rsid w:val="00FC09CF"/>
    <w:rsid w:val="00FC24F2"/>
    <w:rsid w:val="00FC2660"/>
    <w:rsid w:val="00FC2B25"/>
    <w:rsid w:val="00FC2CDC"/>
    <w:rsid w:val="00FC2D47"/>
    <w:rsid w:val="00FC40C4"/>
    <w:rsid w:val="00FC43C9"/>
    <w:rsid w:val="00FC4F55"/>
    <w:rsid w:val="00FC5525"/>
    <w:rsid w:val="00FC580A"/>
    <w:rsid w:val="00FC5B03"/>
    <w:rsid w:val="00FC6029"/>
    <w:rsid w:val="00FC64F0"/>
    <w:rsid w:val="00FC66AE"/>
    <w:rsid w:val="00FC694D"/>
    <w:rsid w:val="00FC6F2E"/>
    <w:rsid w:val="00FC70C7"/>
    <w:rsid w:val="00FC712C"/>
    <w:rsid w:val="00FC72EF"/>
    <w:rsid w:val="00FC748A"/>
    <w:rsid w:val="00FD00FE"/>
    <w:rsid w:val="00FD010F"/>
    <w:rsid w:val="00FD0BD0"/>
    <w:rsid w:val="00FD256C"/>
    <w:rsid w:val="00FD2A4D"/>
    <w:rsid w:val="00FD4323"/>
    <w:rsid w:val="00FD43D6"/>
    <w:rsid w:val="00FD5319"/>
    <w:rsid w:val="00FD5365"/>
    <w:rsid w:val="00FD5EC8"/>
    <w:rsid w:val="00FD7F45"/>
    <w:rsid w:val="00FE01C1"/>
    <w:rsid w:val="00FE0BF4"/>
    <w:rsid w:val="00FE0E58"/>
    <w:rsid w:val="00FE169F"/>
    <w:rsid w:val="00FE1949"/>
    <w:rsid w:val="00FE21DF"/>
    <w:rsid w:val="00FE25BB"/>
    <w:rsid w:val="00FE3DC8"/>
    <w:rsid w:val="00FE473F"/>
    <w:rsid w:val="00FE5540"/>
    <w:rsid w:val="00FE5C1C"/>
    <w:rsid w:val="00FE5E4E"/>
    <w:rsid w:val="00FE66DD"/>
    <w:rsid w:val="00FE7D9C"/>
    <w:rsid w:val="00FF11F9"/>
    <w:rsid w:val="00FF13B0"/>
    <w:rsid w:val="00FF172A"/>
    <w:rsid w:val="00FF1B20"/>
    <w:rsid w:val="00FF23BF"/>
    <w:rsid w:val="00FF2E38"/>
    <w:rsid w:val="00FF3183"/>
    <w:rsid w:val="00FF3CC2"/>
    <w:rsid w:val="00FF66D2"/>
    <w:rsid w:val="00FF6FE1"/>
    <w:rsid w:val="00FF75F6"/>
    <w:rsid w:val="00FF7CEE"/>
  </w:rsids>
  <m:mathPr>
    <m:mathFont m:val="Cambria Math"/>
    <m:brkBin m:val="before"/>
    <m:brkBinSub m:val="--"/>
    <m:smallFrac m:val="0"/>
    <m:dispDef/>
    <m:lMargin m:val="0"/>
    <m:rMargin m:val="0"/>
    <m:defJc m:val="centerGroup"/>
    <m:wrapIndent m:val="1440"/>
    <m:intLim m:val="subSup"/>
    <m:naryLim m:val="undOvr"/>
  </m:mathPr>
  <w:themeFontLang w:val="fr-FR" w:eastAsia="x-none" w:bidi="x-non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CA3F325"/>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fr-BE" w:eastAsia="en-US" w:bidi="ar-SA"/>
      </w:rPr>
    </w:rPrDefault>
    <w:pPrDefault>
      <w:pPr>
        <w:spacing w:after="200" w:line="276" w:lineRule="auto"/>
      </w:pPr>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901D49"/>
    <w:pPr>
      <w:spacing w:after="100" w:line="264" w:lineRule="auto"/>
      <w:jc w:val="both"/>
    </w:pPr>
    <w:rPr>
      <w:rFonts w:ascii="Arial Narrow" w:hAnsi="Arial Narrow"/>
      <w:sz w:val="24"/>
    </w:rPr>
  </w:style>
  <w:style w:type="paragraph" w:styleId="Titre1">
    <w:name w:val="heading 1"/>
    <w:basedOn w:val="Normal"/>
    <w:next w:val="Normal"/>
    <w:link w:val="Titre1Car"/>
    <w:autoRedefine/>
    <w:uiPriority w:val="9"/>
    <w:qFormat/>
    <w:rsid w:val="00500D2D"/>
    <w:pPr>
      <w:keepNext/>
      <w:keepLines/>
      <w:spacing w:before="480" w:after="0" w:line="276" w:lineRule="auto"/>
      <w:outlineLvl w:val="0"/>
    </w:pPr>
    <w:rPr>
      <w:rFonts w:ascii="Arial" w:eastAsia="Calibri" w:hAnsi="Arial" w:cstheme="majorBidi"/>
      <w:b/>
      <w:bCs/>
      <w:caps/>
      <w:color w:val="948A54" w:themeColor="background2" w:themeShade="80"/>
      <w:sz w:val="28"/>
      <w:szCs w:val="28"/>
      <w:lang w:val="fr-FR"/>
    </w:rPr>
  </w:style>
  <w:style w:type="paragraph" w:styleId="Titre2">
    <w:name w:val="heading 2"/>
    <w:basedOn w:val="Normal"/>
    <w:next w:val="Normal"/>
    <w:link w:val="Titre2Car"/>
    <w:autoRedefine/>
    <w:unhideWhenUsed/>
    <w:qFormat/>
    <w:rsid w:val="00913A0C"/>
    <w:pPr>
      <w:keepNext/>
      <w:keepLines/>
      <w:spacing w:after="0" w:line="240" w:lineRule="auto"/>
      <w:outlineLvl w:val="1"/>
    </w:pPr>
    <w:rPr>
      <w:rFonts w:ascii="Arial" w:eastAsia="Calibri" w:hAnsi="Arial" w:cs="Arial"/>
      <w:b/>
      <w:bCs/>
      <w:caps/>
      <w:color w:val="948A54" w:themeColor="background2" w:themeShade="80"/>
      <w:lang w:val="fr-FR"/>
    </w:rPr>
  </w:style>
  <w:style w:type="paragraph" w:styleId="Titre3">
    <w:name w:val="heading 3"/>
    <w:basedOn w:val="Normal"/>
    <w:next w:val="Normal"/>
    <w:link w:val="Titre3Car"/>
    <w:autoRedefine/>
    <w:unhideWhenUsed/>
    <w:qFormat/>
    <w:rsid w:val="00525222"/>
    <w:pPr>
      <w:keepNext/>
      <w:keepLines/>
      <w:spacing w:after="0" w:line="240" w:lineRule="auto"/>
      <w:outlineLvl w:val="2"/>
    </w:pPr>
    <w:rPr>
      <w:rFonts w:eastAsia="Calibri" w:cs="Arial"/>
      <w:b/>
      <w:bCs/>
      <w:color w:val="948A54" w:themeColor="background2" w:themeShade="80"/>
      <w:lang w:val="fr-FR" w:eastAsia="fr-FR"/>
    </w:rPr>
  </w:style>
  <w:style w:type="paragraph" w:styleId="Titre4">
    <w:name w:val="heading 4"/>
    <w:basedOn w:val="Normal"/>
    <w:next w:val="Normal"/>
    <w:link w:val="Titre4Car"/>
    <w:autoRedefine/>
    <w:unhideWhenUsed/>
    <w:qFormat/>
    <w:rsid w:val="0037682D"/>
    <w:pPr>
      <w:keepNext/>
      <w:keepLines/>
      <w:spacing w:after="0" w:line="240" w:lineRule="auto"/>
      <w:outlineLvl w:val="3"/>
    </w:pPr>
    <w:rPr>
      <w:rFonts w:eastAsia="Calibri" w:cs="Arial"/>
      <w:b/>
      <w:bCs/>
      <w:iCs/>
      <w:lang w:val="fr-FR" w:eastAsia="fr-FR"/>
    </w:rPr>
  </w:style>
  <w:style w:type="paragraph" w:styleId="Titre5">
    <w:name w:val="heading 5"/>
    <w:basedOn w:val="Normal"/>
    <w:next w:val="Normal"/>
    <w:link w:val="Titre5Car"/>
    <w:qFormat/>
    <w:rsid w:val="00431E0D"/>
    <w:pPr>
      <w:tabs>
        <w:tab w:val="num" w:pos="0"/>
      </w:tabs>
      <w:spacing w:before="240" w:after="60" w:line="240" w:lineRule="auto"/>
      <w:outlineLvl w:val="4"/>
    </w:pPr>
    <w:rPr>
      <w:rFonts w:ascii="Times New Roman" w:eastAsia="Calibri" w:hAnsi="Times New Roman" w:cs="Times New Roman"/>
      <w:b/>
      <w:bCs/>
      <w:i/>
      <w:iCs/>
      <w:sz w:val="26"/>
      <w:szCs w:val="26"/>
      <w:lang w:val="en-GB"/>
    </w:rPr>
  </w:style>
  <w:style w:type="paragraph" w:styleId="Titre6">
    <w:name w:val="heading 6"/>
    <w:basedOn w:val="Normal"/>
    <w:next w:val="Normal"/>
    <w:link w:val="Titre6Car"/>
    <w:qFormat/>
    <w:rsid w:val="00431E0D"/>
    <w:pPr>
      <w:tabs>
        <w:tab w:val="num" w:pos="0"/>
      </w:tabs>
      <w:spacing w:before="240" w:after="60" w:line="240" w:lineRule="auto"/>
      <w:outlineLvl w:val="5"/>
    </w:pPr>
    <w:rPr>
      <w:rFonts w:ascii="Times New Roman" w:eastAsia="Calibri" w:hAnsi="Times New Roman" w:cs="Times New Roman"/>
      <w:b/>
      <w:bCs/>
      <w:lang w:val="en-GB"/>
    </w:rPr>
  </w:style>
  <w:style w:type="paragraph" w:styleId="Titre7">
    <w:name w:val="heading 7"/>
    <w:basedOn w:val="Normal"/>
    <w:next w:val="Normal"/>
    <w:link w:val="Titre7Car"/>
    <w:qFormat/>
    <w:rsid w:val="00431E0D"/>
    <w:pPr>
      <w:tabs>
        <w:tab w:val="num" w:pos="0"/>
      </w:tabs>
      <w:spacing w:before="240" w:after="60" w:line="240" w:lineRule="auto"/>
      <w:outlineLvl w:val="6"/>
    </w:pPr>
    <w:rPr>
      <w:rFonts w:ascii="Times New Roman" w:eastAsia="Calibri" w:hAnsi="Times New Roman" w:cs="Times New Roman"/>
      <w:szCs w:val="24"/>
      <w:lang w:val="en-GB"/>
    </w:rPr>
  </w:style>
  <w:style w:type="paragraph" w:styleId="Titre8">
    <w:name w:val="heading 8"/>
    <w:basedOn w:val="Normal"/>
    <w:next w:val="Normal"/>
    <w:link w:val="Titre8Car"/>
    <w:qFormat/>
    <w:rsid w:val="00431E0D"/>
    <w:pPr>
      <w:tabs>
        <w:tab w:val="num" w:pos="0"/>
      </w:tabs>
      <w:spacing w:before="240" w:after="60" w:line="240" w:lineRule="auto"/>
      <w:outlineLvl w:val="7"/>
    </w:pPr>
    <w:rPr>
      <w:rFonts w:ascii="Times New Roman" w:eastAsia="Calibri" w:hAnsi="Times New Roman" w:cs="Times New Roman"/>
      <w:i/>
      <w:iCs/>
      <w:szCs w:val="24"/>
      <w:lang w:val="en-GB"/>
    </w:rPr>
  </w:style>
  <w:style w:type="paragraph" w:styleId="Titre9">
    <w:name w:val="heading 9"/>
    <w:basedOn w:val="Normal"/>
    <w:next w:val="Normal"/>
    <w:link w:val="Titre9Car"/>
    <w:qFormat/>
    <w:rsid w:val="00431E0D"/>
    <w:pPr>
      <w:tabs>
        <w:tab w:val="num" w:pos="0"/>
      </w:tabs>
      <w:spacing w:before="240" w:after="60" w:line="240" w:lineRule="auto"/>
      <w:outlineLvl w:val="8"/>
    </w:pPr>
    <w:rPr>
      <w:rFonts w:ascii="Arial" w:eastAsia="Calibri" w:hAnsi="Arial" w:cs="Times New Roman"/>
      <w:lang w:val="en-GB"/>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ieddepage">
    <w:name w:val="footer"/>
    <w:basedOn w:val="Normal"/>
    <w:link w:val="PieddepageCar"/>
    <w:uiPriority w:val="99"/>
    <w:unhideWhenUsed/>
    <w:rsid w:val="00282133"/>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82133"/>
  </w:style>
  <w:style w:type="paragraph" w:styleId="En-tte">
    <w:name w:val="header"/>
    <w:basedOn w:val="Normal"/>
    <w:link w:val="En-tteCar"/>
    <w:unhideWhenUsed/>
    <w:rsid w:val="00282133"/>
    <w:pPr>
      <w:tabs>
        <w:tab w:val="center" w:pos="4536"/>
        <w:tab w:val="right" w:pos="9072"/>
      </w:tabs>
      <w:spacing w:after="0" w:line="240" w:lineRule="auto"/>
    </w:pPr>
  </w:style>
  <w:style w:type="character" w:customStyle="1" w:styleId="En-tteCar">
    <w:name w:val="En-tête Car"/>
    <w:basedOn w:val="Policepardfaut"/>
    <w:link w:val="En-tte"/>
    <w:rsid w:val="00282133"/>
  </w:style>
  <w:style w:type="paragraph" w:styleId="Pardeliste">
    <w:name w:val="List Paragraph"/>
    <w:aliases w:val="Bullets,References,Tableau Adere,Premier,List Bullet Mary,Body,Medium Grid 1 - Accent 21,Numbered List Paragraph,Paragraphe de liste 1,RM1,Liste couleur - Accent 11,Paragraphe  revu"/>
    <w:basedOn w:val="Normal"/>
    <w:link w:val="PardelisteCar"/>
    <w:uiPriority w:val="34"/>
    <w:qFormat/>
    <w:rsid w:val="00DC54AB"/>
    <w:pPr>
      <w:ind w:left="720"/>
      <w:contextualSpacing/>
    </w:pPr>
  </w:style>
  <w:style w:type="paragraph" w:styleId="Explorateurdedocuments">
    <w:name w:val="Document Map"/>
    <w:basedOn w:val="Normal"/>
    <w:link w:val="ExplorateurdedocumentsCar"/>
    <w:uiPriority w:val="99"/>
    <w:unhideWhenUsed/>
    <w:rsid w:val="00B44F05"/>
    <w:pPr>
      <w:spacing w:after="0" w:line="240" w:lineRule="auto"/>
    </w:pPr>
    <w:rPr>
      <w:rFonts w:ascii="Tahoma" w:hAnsi="Tahoma" w:cs="Tahoma"/>
      <w:sz w:val="16"/>
      <w:szCs w:val="16"/>
    </w:rPr>
  </w:style>
  <w:style w:type="character" w:customStyle="1" w:styleId="ExplorateurdedocumentsCar">
    <w:name w:val="Explorateur de documents Car"/>
    <w:basedOn w:val="Policepardfaut"/>
    <w:link w:val="Explorateurdedocuments"/>
    <w:uiPriority w:val="99"/>
    <w:rsid w:val="00B44F05"/>
    <w:rPr>
      <w:rFonts w:ascii="Tahoma" w:hAnsi="Tahoma" w:cs="Tahoma"/>
      <w:sz w:val="16"/>
      <w:szCs w:val="16"/>
    </w:rPr>
  </w:style>
  <w:style w:type="paragraph" w:styleId="Normalweb">
    <w:name w:val="Normal (Web)"/>
    <w:basedOn w:val="Normal"/>
    <w:unhideWhenUsed/>
    <w:rsid w:val="00972AB5"/>
    <w:pPr>
      <w:spacing w:before="100" w:beforeAutospacing="1" w:afterAutospacing="1" w:line="240" w:lineRule="auto"/>
    </w:pPr>
    <w:rPr>
      <w:rFonts w:ascii="Times New Roman" w:eastAsia="Times New Roman" w:hAnsi="Times New Roman" w:cs="Times New Roman"/>
      <w:szCs w:val="24"/>
      <w:lang w:val="fr-FR" w:eastAsia="fr-FR"/>
    </w:rPr>
  </w:style>
  <w:style w:type="character" w:customStyle="1" w:styleId="apple-converted-space">
    <w:name w:val="apple-converted-space"/>
    <w:basedOn w:val="Policepardfaut"/>
    <w:rsid w:val="00972AB5"/>
  </w:style>
  <w:style w:type="character" w:styleId="lev">
    <w:name w:val="Strong"/>
    <w:basedOn w:val="Policepardfaut"/>
    <w:uiPriority w:val="22"/>
    <w:qFormat/>
    <w:rsid w:val="00972AB5"/>
    <w:rPr>
      <w:b/>
      <w:bCs/>
    </w:rPr>
  </w:style>
  <w:style w:type="paragraph" w:styleId="Corpsdetexte">
    <w:name w:val="Body Text"/>
    <w:basedOn w:val="Normal"/>
    <w:link w:val="CorpsdetexteCar"/>
    <w:unhideWhenUsed/>
    <w:rsid w:val="00972AB5"/>
    <w:pPr>
      <w:spacing w:before="100" w:beforeAutospacing="1" w:afterAutospacing="1" w:line="240" w:lineRule="auto"/>
    </w:pPr>
    <w:rPr>
      <w:rFonts w:ascii="Times New Roman" w:eastAsia="Times New Roman" w:hAnsi="Times New Roman" w:cs="Times New Roman"/>
      <w:szCs w:val="24"/>
      <w:lang w:val="fr-FR" w:eastAsia="fr-FR"/>
    </w:rPr>
  </w:style>
  <w:style w:type="character" w:customStyle="1" w:styleId="CorpsdetexteCar">
    <w:name w:val="Corps de texte Car"/>
    <w:basedOn w:val="Policepardfaut"/>
    <w:link w:val="Corpsdetexte"/>
    <w:rsid w:val="00972AB5"/>
    <w:rPr>
      <w:rFonts w:ascii="Times New Roman" w:eastAsia="Times New Roman" w:hAnsi="Times New Roman" w:cs="Times New Roman"/>
      <w:sz w:val="24"/>
      <w:szCs w:val="24"/>
      <w:lang w:val="fr-FR" w:eastAsia="fr-FR"/>
    </w:rPr>
  </w:style>
  <w:style w:type="character" w:customStyle="1" w:styleId="Titre2Car">
    <w:name w:val="Titre 2 Car"/>
    <w:basedOn w:val="Policepardfaut"/>
    <w:link w:val="Titre2"/>
    <w:rsid w:val="00913A0C"/>
    <w:rPr>
      <w:rFonts w:ascii="Arial" w:eastAsia="Calibri" w:hAnsi="Arial" w:cs="Arial"/>
      <w:b/>
      <w:bCs/>
      <w:caps/>
      <w:color w:val="948A54" w:themeColor="background2" w:themeShade="80"/>
      <w:sz w:val="24"/>
      <w:lang w:val="fr-FR"/>
    </w:rPr>
  </w:style>
  <w:style w:type="character" w:customStyle="1" w:styleId="Titre3Car">
    <w:name w:val="Titre 3 Car"/>
    <w:basedOn w:val="Policepardfaut"/>
    <w:link w:val="Titre3"/>
    <w:rsid w:val="00525222"/>
    <w:rPr>
      <w:rFonts w:ascii="Arial Narrow" w:eastAsia="Calibri" w:hAnsi="Arial Narrow" w:cs="Arial"/>
      <w:b/>
      <w:bCs/>
      <w:color w:val="948A54" w:themeColor="background2" w:themeShade="80"/>
      <w:sz w:val="24"/>
      <w:lang w:val="fr-FR" w:eastAsia="fr-FR"/>
    </w:rPr>
  </w:style>
  <w:style w:type="character" w:styleId="Lienhypertexte">
    <w:name w:val="Hyperlink"/>
    <w:basedOn w:val="Policepardfaut"/>
    <w:uiPriority w:val="99"/>
    <w:unhideWhenUsed/>
    <w:rsid w:val="00992C3A"/>
    <w:rPr>
      <w:color w:val="0000FF" w:themeColor="hyperlink"/>
      <w:u w:val="single"/>
    </w:rPr>
  </w:style>
  <w:style w:type="paragraph" w:styleId="Notedebasdepage">
    <w:name w:val="footnote text"/>
    <w:aliases w:val="FOOTNOTES,fn,single space,footnote text,ALTS FOOTNOTE,Geneva 9,Font: Geneva 9,Boston 10,f,Footnote,Footnote Text Char1 Char,Footnote Text Char Char Char,Footnote Text Char1 Char Char Char,Footnote Text Char Char Char Char Char,Char"/>
    <w:basedOn w:val="Normal"/>
    <w:link w:val="NotedebasdepageCar"/>
    <w:uiPriority w:val="99"/>
    <w:rsid w:val="004B40D7"/>
    <w:pPr>
      <w:widowControl w:val="0"/>
      <w:autoSpaceDE w:val="0"/>
      <w:autoSpaceDN w:val="0"/>
      <w:adjustRightInd w:val="0"/>
      <w:spacing w:after="160" w:line="240" w:lineRule="auto"/>
    </w:pPr>
    <w:rPr>
      <w:rFonts w:ascii="Times New Roman" w:eastAsia="Times New Roman" w:hAnsi="Times New Roman" w:cs="Times New Roman"/>
      <w:sz w:val="20"/>
      <w:szCs w:val="20"/>
      <w:lang w:val="en-US"/>
    </w:rPr>
  </w:style>
  <w:style w:type="character" w:customStyle="1" w:styleId="NotedebasdepageCar">
    <w:name w:val="Note de bas de page Car"/>
    <w:aliases w:val="FOOTNOTES Car,fn Car,single space Car,footnote text Car,ALTS FOOTNOTE Car,Geneva 9 Car,Font: Geneva 9 Car,Boston 10 Car,f Car,Footnote Car,Footnote Text Char1 Char Car,Footnote Text Char Char Char Car,Char Car"/>
    <w:basedOn w:val="Policepardfaut"/>
    <w:link w:val="Notedebasdepage"/>
    <w:uiPriority w:val="99"/>
    <w:rsid w:val="004B40D7"/>
    <w:rPr>
      <w:rFonts w:ascii="Times New Roman" w:eastAsia="Times New Roman" w:hAnsi="Times New Roman" w:cs="Times New Roman"/>
      <w:sz w:val="20"/>
      <w:szCs w:val="20"/>
      <w:lang w:val="en-US"/>
    </w:rPr>
  </w:style>
  <w:style w:type="character" w:styleId="Appelnotedebasdep">
    <w:name w:val="footnote reference"/>
    <w:aliases w:val="16 Point,Superscript 6 Point,ftref, Char Char Char Char,Char Char Char Char,Lista con viñetas Car,Car Char Char Char Char Char Char Char Char Car Char Car Char Char Char Char Char Car Car,Ref Char Car Char Car Char,fr"/>
    <w:link w:val="CharChar"/>
    <w:uiPriority w:val="99"/>
    <w:rsid w:val="004B40D7"/>
    <w:rPr>
      <w:vertAlign w:val="superscript"/>
    </w:rPr>
  </w:style>
  <w:style w:type="paragraph" w:styleId="Textedebulles">
    <w:name w:val="Balloon Text"/>
    <w:basedOn w:val="Normal"/>
    <w:link w:val="TextedebullesCar"/>
    <w:semiHidden/>
    <w:unhideWhenUsed/>
    <w:rsid w:val="007C4D90"/>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semiHidden/>
    <w:rsid w:val="007C4D90"/>
    <w:rPr>
      <w:rFonts w:ascii="Tahoma" w:hAnsi="Tahoma" w:cs="Tahoma"/>
      <w:sz w:val="16"/>
      <w:szCs w:val="16"/>
    </w:rPr>
  </w:style>
  <w:style w:type="paragraph" w:customStyle="1" w:styleId="BGP-Textecourant">
    <w:name w:val="BGP - Texte courant"/>
    <w:rsid w:val="00E24D3A"/>
    <w:pPr>
      <w:spacing w:before="120" w:after="0" w:line="240" w:lineRule="auto"/>
      <w:jc w:val="both"/>
    </w:pPr>
    <w:rPr>
      <w:rFonts w:ascii="Tahoma" w:eastAsia="Times New Roman" w:hAnsi="Tahoma" w:cs="Times New Roman"/>
      <w:sz w:val="20"/>
      <w:szCs w:val="20"/>
      <w:lang w:val="en-GB" w:eastAsia="fr-FR"/>
    </w:rPr>
  </w:style>
  <w:style w:type="paragraph" w:styleId="Lgende">
    <w:name w:val="caption"/>
    <w:basedOn w:val="BGP-Textecourant"/>
    <w:next w:val="BGP-Textecourant"/>
    <w:qFormat/>
    <w:rsid w:val="00E24D3A"/>
    <w:pPr>
      <w:spacing w:before="240" w:after="180"/>
      <w:jc w:val="center"/>
    </w:pPr>
    <w:rPr>
      <w:i/>
    </w:rPr>
  </w:style>
  <w:style w:type="character" w:customStyle="1" w:styleId="Titre4Car">
    <w:name w:val="Titre 4 Car"/>
    <w:basedOn w:val="Policepardfaut"/>
    <w:link w:val="Titre4"/>
    <w:rsid w:val="0037682D"/>
    <w:rPr>
      <w:rFonts w:ascii="Arial Narrow" w:eastAsia="Calibri" w:hAnsi="Arial Narrow" w:cs="Arial"/>
      <w:b/>
      <w:bCs/>
      <w:iCs/>
      <w:sz w:val="24"/>
      <w:lang w:val="fr-FR" w:eastAsia="fr-FR"/>
    </w:rPr>
  </w:style>
  <w:style w:type="character" w:customStyle="1" w:styleId="Titre1Car">
    <w:name w:val="Titre 1 Car"/>
    <w:basedOn w:val="Policepardfaut"/>
    <w:link w:val="Titre1"/>
    <w:uiPriority w:val="9"/>
    <w:rsid w:val="00500D2D"/>
    <w:rPr>
      <w:rFonts w:ascii="Arial" w:eastAsia="Calibri" w:hAnsi="Arial" w:cstheme="majorBidi"/>
      <w:b/>
      <w:bCs/>
      <w:caps/>
      <w:color w:val="948A54" w:themeColor="background2" w:themeShade="80"/>
      <w:sz w:val="28"/>
      <w:szCs w:val="28"/>
      <w:lang w:val="fr-FR"/>
    </w:rPr>
  </w:style>
  <w:style w:type="paragraph" w:customStyle="1" w:styleId="PucePt">
    <w:name w:val="PucePt"/>
    <w:basedOn w:val="Corpsdetexte"/>
    <w:autoRedefine/>
    <w:rsid w:val="00E2057B"/>
    <w:pPr>
      <w:numPr>
        <w:numId w:val="2"/>
      </w:numPr>
      <w:tabs>
        <w:tab w:val="left" w:pos="142"/>
      </w:tabs>
      <w:spacing w:before="0" w:beforeAutospacing="0" w:after="60" w:afterAutospacing="0"/>
    </w:pPr>
    <w:rPr>
      <w:bCs/>
      <w:noProof/>
      <w:spacing w:val="-3"/>
      <w:kern w:val="28"/>
      <w:szCs w:val="20"/>
    </w:rPr>
  </w:style>
  <w:style w:type="paragraph" w:customStyle="1" w:styleId="PucePt2">
    <w:name w:val="PucePt2"/>
    <w:basedOn w:val="PucePt"/>
    <w:autoRedefine/>
    <w:rsid w:val="00E2057B"/>
    <w:pPr>
      <w:numPr>
        <w:ilvl w:val="1"/>
      </w:numPr>
    </w:pPr>
    <w:rPr>
      <w:iCs/>
    </w:rPr>
  </w:style>
  <w:style w:type="paragraph" w:customStyle="1" w:styleId="Source">
    <w:name w:val="Source"/>
    <w:basedOn w:val="Corpsdetexte"/>
    <w:autoRedefine/>
    <w:rsid w:val="002E20C9"/>
    <w:pPr>
      <w:spacing w:before="0" w:beforeAutospacing="0" w:after="120" w:afterAutospacing="0"/>
    </w:pPr>
    <w:rPr>
      <w:bCs/>
      <w:i/>
      <w:color w:val="000000"/>
      <w:sz w:val="20"/>
      <w:lang w:val="fr-BE"/>
    </w:rPr>
  </w:style>
  <w:style w:type="character" w:styleId="Textedelespacerserv">
    <w:name w:val="Placeholder Text"/>
    <w:basedOn w:val="Policepardfaut"/>
    <w:uiPriority w:val="99"/>
    <w:semiHidden/>
    <w:rsid w:val="00600E08"/>
    <w:rPr>
      <w:color w:val="808080"/>
    </w:rPr>
  </w:style>
  <w:style w:type="paragraph" w:customStyle="1" w:styleId="Default">
    <w:name w:val="Default"/>
    <w:rsid w:val="001418BB"/>
    <w:pPr>
      <w:autoSpaceDE w:val="0"/>
      <w:autoSpaceDN w:val="0"/>
      <w:adjustRightInd w:val="0"/>
      <w:spacing w:after="0" w:line="240" w:lineRule="auto"/>
    </w:pPr>
    <w:rPr>
      <w:rFonts w:ascii="Times New Roman" w:hAnsi="Times New Roman" w:cs="Times New Roman"/>
      <w:color w:val="000000"/>
      <w:sz w:val="24"/>
      <w:szCs w:val="24"/>
      <w:lang w:val="fr-FR"/>
    </w:rPr>
  </w:style>
  <w:style w:type="paragraph" w:styleId="Corpsdetexte3">
    <w:name w:val="Body Text 3"/>
    <w:basedOn w:val="Normal"/>
    <w:link w:val="Corpsdetexte3Car"/>
    <w:unhideWhenUsed/>
    <w:rsid w:val="00F512F4"/>
    <w:pPr>
      <w:spacing w:after="120"/>
    </w:pPr>
    <w:rPr>
      <w:sz w:val="16"/>
      <w:szCs w:val="16"/>
    </w:rPr>
  </w:style>
  <w:style w:type="character" w:customStyle="1" w:styleId="Corpsdetexte3Car">
    <w:name w:val="Corps de texte 3 Car"/>
    <w:basedOn w:val="Policepardfaut"/>
    <w:link w:val="Corpsdetexte3"/>
    <w:rsid w:val="00F512F4"/>
    <w:rPr>
      <w:sz w:val="16"/>
      <w:szCs w:val="16"/>
    </w:rPr>
  </w:style>
  <w:style w:type="character" w:styleId="Emphaseintense">
    <w:name w:val="Intense Emphasis"/>
    <w:basedOn w:val="Policepardfaut"/>
    <w:qFormat/>
    <w:rsid w:val="00F512F4"/>
    <w:rPr>
      <w:rFonts w:cs="Times New Roman"/>
      <w:b/>
      <w:bCs/>
      <w:i/>
      <w:iCs/>
      <w:color w:val="4F81BD"/>
    </w:rPr>
  </w:style>
  <w:style w:type="character" w:customStyle="1" w:styleId="A3">
    <w:name w:val="A3"/>
    <w:uiPriority w:val="99"/>
    <w:rsid w:val="00006D54"/>
    <w:rPr>
      <w:rFonts w:cs="Myriad Pro Light"/>
      <w:color w:val="000000"/>
      <w:sz w:val="22"/>
      <w:szCs w:val="22"/>
    </w:rPr>
  </w:style>
  <w:style w:type="character" w:styleId="Numrodepage">
    <w:name w:val="page number"/>
    <w:basedOn w:val="Policepardfaut"/>
    <w:rsid w:val="00643D65"/>
  </w:style>
  <w:style w:type="paragraph" w:customStyle="1" w:styleId="CharChar">
    <w:name w:val="Char Char"/>
    <w:basedOn w:val="Normal"/>
    <w:next w:val="Normal"/>
    <w:link w:val="Appelnotedebasdep"/>
    <w:uiPriority w:val="99"/>
    <w:rsid w:val="00FD5EC8"/>
    <w:pPr>
      <w:spacing w:after="160" w:line="240" w:lineRule="exact"/>
    </w:pPr>
    <w:rPr>
      <w:vertAlign w:val="superscript"/>
    </w:rPr>
  </w:style>
  <w:style w:type="paragraph" w:customStyle="1" w:styleId="a">
    <w:name w:val=".."/>
    <w:basedOn w:val="Normal"/>
    <w:next w:val="Normal"/>
    <w:rsid w:val="00A23F32"/>
    <w:pPr>
      <w:autoSpaceDE w:val="0"/>
      <w:autoSpaceDN w:val="0"/>
      <w:adjustRightInd w:val="0"/>
      <w:spacing w:after="0" w:line="240" w:lineRule="auto"/>
    </w:pPr>
    <w:rPr>
      <w:rFonts w:ascii="Arial" w:eastAsia="Times New Roman" w:hAnsi="Arial" w:cs="Times New Roman"/>
      <w:szCs w:val="24"/>
      <w:lang w:val="fr-FR" w:eastAsia="fr-FR"/>
    </w:rPr>
  </w:style>
  <w:style w:type="paragraph" w:customStyle="1" w:styleId="spip">
    <w:name w:val="spip"/>
    <w:basedOn w:val="Normal"/>
    <w:rsid w:val="00163A4B"/>
    <w:pPr>
      <w:spacing w:before="100" w:beforeAutospacing="1" w:afterAutospacing="1" w:line="240" w:lineRule="auto"/>
    </w:pPr>
    <w:rPr>
      <w:rFonts w:ascii="Times New Roman" w:eastAsia="Times New Roman" w:hAnsi="Times New Roman" w:cs="Times New Roman"/>
      <w:szCs w:val="24"/>
      <w:lang w:val="fr-FR" w:eastAsia="fr-FR"/>
    </w:rPr>
  </w:style>
  <w:style w:type="character" w:customStyle="1" w:styleId="PardelisteCar">
    <w:name w:val="Par. de liste Car"/>
    <w:aliases w:val="Bullets Car,References Car,Tableau Adere Car,Premier Car,List Bullet Mary Car,Body Car,Medium Grid 1 - Accent 21 Car,Numbered List Paragraph Car,Paragraphe de liste 1 Car,RM1 Car,Liste couleur - Accent 11 Car,Paragraphe  revu Car"/>
    <w:link w:val="Pardeliste"/>
    <w:uiPriority w:val="34"/>
    <w:qFormat/>
    <w:locked/>
    <w:rsid w:val="000D3959"/>
  </w:style>
  <w:style w:type="paragraph" w:customStyle="1" w:styleId="Pa0">
    <w:name w:val="Pa0"/>
    <w:basedOn w:val="Default"/>
    <w:next w:val="Default"/>
    <w:uiPriority w:val="99"/>
    <w:rsid w:val="00530B09"/>
    <w:pPr>
      <w:spacing w:line="241" w:lineRule="atLeast"/>
    </w:pPr>
    <w:rPr>
      <w:rFonts w:ascii="Myriad Pro" w:hAnsi="Myriad Pro" w:cstheme="minorBidi"/>
      <w:color w:val="auto"/>
    </w:rPr>
  </w:style>
  <w:style w:type="character" w:customStyle="1" w:styleId="A0">
    <w:name w:val="A0"/>
    <w:uiPriority w:val="99"/>
    <w:rsid w:val="00530B09"/>
    <w:rPr>
      <w:rFonts w:cs="Myriad Pro"/>
      <w:b/>
      <w:bCs/>
      <w:color w:val="000000"/>
      <w:sz w:val="46"/>
      <w:szCs w:val="46"/>
    </w:rPr>
  </w:style>
  <w:style w:type="paragraph" w:styleId="Retraitcorpsdetexte2">
    <w:name w:val="Body Text Indent 2"/>
    <w:basedOn w:val="Normal"/>
    <w:link w:val="Retraitcorpsdetexte2Car"/>
    <w:uiPriority w:val="99"/>
    <w:semiHidden/>
    <w:unhideWhenUsed/>
    <w:rsid w:val="008418A6"/>
    <w:pPr>
      <w:spacing w:after="120" w:line="480" w:lineRule="auto"/>
      <w:ind w:left="283"/>
    </w:pPr>
  </w:style>
  <w:style w:type="character" w:customStyle="1" w:styleId="Retraitcorpsdetexte2Car">
    <w:name w:val="Retrait corps de texte 2 Car"/>
    <w:basedOn w:val="Policepardfaut"/>
    <w:link w:val="Retraitcorpsdetexte2"/>
    <w:uiPriority w:val="99"/>
    <w:semiHidden/>
    <w:rsid w:val="008418A6"/>
  </w:style>
  <w:style w:type="table" w:styleId="Grilledutableau">
    <w:name w:val="Table Grid"/>
    <w:basedOn w:val="TableauNormal"/>
    <w:rsid w:val="00983FF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uceBleue">
    <w:name w:val="Puce Bleue"/>
    <w:basedOn w:val="Normal"/>
    <w:rsid w:val="00FE01C1"/>
    <w:pPr>
      <w:numPr>
        <w:numId w:val="8"/>
      </w:numPr>
    </w:pPr>
  </w:style>
  <w:style w:type="paragraph" w:customStyle="1" w:styleId="Pa12">
    <w:name w:val="Pa12"/>
    <w:basedOn w:val="Default"/>
    <w:next w:val="Default"/>
    <w:uiPriority w:val="99"/>
    <w:rsid w:val="00396389"/>
    <w:pPr>
      <w:spacing w:line="241" w:lineRule="atLeast"/>
    </w:pPr>
    <w:rPr>
      <w:rFonts w:ascii="RotisSemiSans" w:hAnsi="RotisSemiSans" w:cstheme="minorBidi"/>
      <w:color w:val="auto"/>
    </w:rPr>
  </w:style>
  <w:style w:type="character" w:customStyle="1" w:styleId="A7">
    <w:name w:val="A7"/>
    <w:uiPriority w:val="99"/>
    <w:rsid w:val="00396389"/>
    <w:rPr>
      <w:rFonts w:cs="RotisSemiSans"/>
      <w:color w:val="000000"/>
    </w:rPr>
  </w:style>
  <w:style w:type="character" w:customStyle="1" w:styleId="glmot">
    <w:name w:val="gl_mot"/>
    <w:basedOn w:val="Policepardfaut"/>
    <w:rsid w:val="00A1142D"/>
  </w:style>
  <w:style w:type="table" w:customStyle="1" w:styleId="Tabellenraster1">
    <w:name w:val="Tabellenraster1"/>
    <w:basedOn w:val="TableauNormal"/>
    <w:next w:val="Grilledutableau"/>
    <w:rsid w:val="00266ECA"/>
    <w:pPr>
      <w:spacing w:after="0" w:line="240" w:lineRule="auto"/>
    </w:pPr>
    <w:rPr>
      <w:rFonts w:ascii="Times New Roman" w:eastAsia="SimSu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itre5Car">
    <w:name w:val="Titre 5 Car"/>
    <w:basedOn w:val="Policepardfaut"/>
    <w:link w:val="Titre5"/>
    <w:rsid w:val="00431E0D"/>
    <w:rPr>
      <w:rFonts w:ascii="Times New Roman" w:eastAsia="Calibri" w:hAnsi="Times New Roman" w:cs="Times New Roman"/>
      <w:b/>
      <w:bCs/>
      <w:i/>
      <w:iCs/>
      <w:sz w:val="26"/>
      <w:szCs w:val="26"/>
      <w:lang w:val="en-GB"/>
    </w:rPr>
  </w:style>
  <w:style w:type="character" w:customStyle="1" w:styleId="Titre6Car">
    <w:name w:val="Titre 6 Car"/>
    <w:basedOn w:val="Policepardfaut"/>
    <w:link w:val="Titre6"/>
    <w:rsid w:val="00431E0D"/>
    <w:rPr>
      <w:rFonts w:ascii="Times New Roman" w:eastAsia="Calibri" w:hAnsi="Times New Roman" w:cs="Times New Roman"/>
      <w:b/>
      <w:bCs/>
      <w:lang w:val="en-GB"/>
    </w:rPr>
  </w:style>
  <w:style w:type="character" w:customStyle="1" w:styleId="Titre7Car">
    <w:name w:val="Titre 7 Car"/>
    <w:basedOn w:val="Policepardfaut"/>
    <w:link w:val="Titre7"/>
    <w:rsid w:val="00431E0D"/>
    <w:rPr>
      <w:rFonts w:ascii="Times New Roman" w:eastAsia="Calibri" w:hAnsi="Times New Roman" w:cs="Times New Roman"/>
      <w:sz w:val="24"/>
      <w:szCs w:val="24"/>
      <w:lang w:val="en-GB"/>
    </w:rPr>
  </w:style>
  <w:style w:type="character" w:customStyle="1" w:styleId="Titre8Car">
    <w:name w:val="Titre 8 Car"/>
    <w:basedOn w:val="Policepardfaut"/>
    <w:link w:val="Titre8"/>
    <w:rsid w:val="00431E0D"/>
    <w:rPr>
      <w:rFonts w:ascii="Times New Roman" w:eastAsia="Calibri" w:hAnsi="Times New Roman" w:cs="Times New Roman"/>
      <w:i/>
      <w:iCs/>
      <w:sz w:val="24"/>
      <w:szCs w:val="24"/>
      <w:lang w:val="en-GB"/>
    </w:rPr>
  </w:style>
  <w:style w:type="character" w:customStyle="1" w:styleId="Titre9Car">
    <w:name w:val="Titre 9 Car"/>
    <w:basedOn w:val="Policepardfaut"/>
    <w:link w:val="Titre9"/>
    <w:rsid w:val="00431E0D"/>
    <w:rPr>
      <w:rFonts w:ascii="Arial" w:eastAsia="Calibri" w:hAnsi="Arial" w:cs="Times New Roman"/>
      <w:lang w:val="en-GB"/>
    </w:rPr>
  </w:style>
  <w:style w:type="paragraph" w:customStyle="1" w:styleId="HeadingGeneral">
    <w:name w:val="Heading General"/>
    <w:basedOn w:val="Normal"/>
    <w:next w:val="TOC"/>
    <w:rsid w:val="00431E0D"/>
    <w:pPr>
      <w:spacing w:after="520" w:line="240" w:lineRule="auto"/>
      <w:jc w:val="center"/>
    </w:pPr>
    <w:rPr>
      <w:rFonts w:ascii="Times New Roman" w:eastAsia="Calibri" w:hAnsi="Times New Roman" w:cs="Times New Roman"/>
      <w:b/>
      <w:sz w:val="36"/>
      <w:szCs w:val="36"/>
      <w:lang w:val="en-GB"/>
    </w:rPr>
  </w:style>
  <w:style w:type="paragraph" w:customStyle="1" w:styleId="TOC">
    <w:name w:val="TOC"/>
    <w:basedOn w:val="Normal"/>
    <w:autoRedefine/>
    <w:rsid w:val="00431E0D"/>
    <w:pPr>
      <w:spacing w:line="240" w:lineRule="auto"/>
      <w:jc w:val="center"/>
    </w:pPr>
    <w:rPr>
      <w:rFonts w:ascii="Arial" w:eastAsia="Calibri" w:hAnsi="Arial" w:cs="Times New Roman"/>
      <w:b/>
      <w:sz w:val="28"/>
      <w:szCs w:val="28"/>
      <w:lang w:val="en-GB"/>
    </w:rPr>
  </w:style>
  <w:style w:type="paragraph" w:customStyle="1" w:styleId="tocpage">
    <w:name w:val="toc page"/>
    <w:basedOn w:val="TOC"/>
    <w:next w:val="Normal"/>
    <w:rsid w:val="00431E0D"/>
    <w:pPr>
      <w:jc w:val="right"/>
    </w:pPr>
    <w:rPr>
      <w:b w:val="0"/>
      <w:sz w:val="20"/>
    </w:rPr>
  </w:style>
  <w:style w:type="paragraph" w:styleId="TM1">
    <w:name w:val="toc 1"/>
    <w:basedOn w:val="Normal"/>
    <w:next w:val="Normal"/>
    <w:autoRedefine/>
    <w:uiPriority w:val="39"/>
    <w:rsid w:val="00431E0D"/>
    <w:pPr>
      <w:spacing w:before="120" w:after="120"/>
    </w:pPr>
    <w:rPr>
      <w:b/>
      <w:bCs/>
      <w:caps/>
      <w:sz w:val="20"/>
      <w:szCs w:val="20"/>
    </w:rPr>
  </w:style>
  <w:style w:type="paragraph" w:styleId="TM2">
    <w:name w:val="toc 2"/>
    <w:basedOn w:val="Normal"/>
    <w:next w:val="Normal"/>
    <w:autoRedefine/>
    <w:uiPriority w:val="39"/>
    <w:rsid w:val="00431E0D"/>
    <w:pPr>
      <w:spacing w:after="0"/>
      <w:ind w:left="220"/>
    </w:pPr>
    <w:rPr>
      <w:smallCaps/>
      <w:sz w:val="20"/>
      <w:szCs w:val="20"/>
    </w:rPr>
  </w:style>
  <w:style w:type="paragraph" w:styleId="TM3">
    <w:name w:val="toc 3"/>
    <w:basedOn w:val="Normal"/>
    <w:next w:val="Normal"/>
    <w:uiPriority w:val="39"/>
    <w:rsid w:val="00431E0D"/>
    <w:pPr>
      <w:spacing w:after="0"/>
      <w:ind w:left="440"/>
    </w:pPr>
    <w:rPr>
      <w:i/>
      <w:iCs/>
      <w:sz w:val="20"/>
      <w:szCs w:val="20"/>
    </w:rPr>
  </w:style>
  <w:style w:type="paragraph" w:customStyle="1" w:styleId="Normal1">
    <w:name w:val="Normal 1"/>
    <w:basedOn w:val="Normal"/>
    <w:rsid w:val="00431E0D"/>
    <w:pPr>
      <w:spacing w:line="240" w:lineRule="auto"/>
      <w:ind w:left="1418"/>
    </w:pPr>
    <w:rPr>
      <w:rFonts w:ascii="Times New Roman" w:eastAsia="Calibri" w:hAnsi="Times New Roman" w:cs="Times New Roman"/>
      <w:szCs w:val="24"/>
      <w:lang w:val="en-GB"/>
    </w:rPr>
  </w:style>
  <w:style w:type="paragraph" w:customStyle="1" w:styleId="Normal2">
    <w:name w:val="Normal 2"/>
    <w:basedOn w:val="Normal"/>
    <w:rsid w:val="00431E0D"/>
    <w:pPr>
      <w:spacing w:line="240" w:lineRule="auto"/>
      <w:ind w:left="1701"/>
    </w:pPr>
    <w:rPr>
      <w:rFonts w:ascii="Times New Roman" w:eastAsia="Calibri" w:hAnsi="Times New Roman" w:cs="Times New Roman"/>
      <w:szCs w:val="24"/>
      <w:lang w:val="en-GB"/>
    </w:rPr>
  </w:style>
  <w:style w:type="paragraph" w:customStyle="1" w:styleId="Normal3">
    <w:name w:val="Normal 3"/>
    <w:basedOn w:val="Normal"/>
    <w:rsid w:val="00431E0D"/>
    <w:pPr>
      <w:spacing w:line="240" w:lineRule="auto"/>
      <w:ind w:left="1985"/>
    </w:pPr>
    <w:rPr>
      <w:rFonts w:ascii="Times New Roman" w:eastAsia="Calibri" w:hAnsi="Times New Roman" w:cs="Times New Roman"/>
      <w:szCs w:val="24"/>
      <w:lang w:val="en-GB"/>
    </w:rPr>
  </w:style>
  <w:style w:type="paragraph" w:customStyle="1" w:styleId="lista">
    <w:name w:val="list a)"/>
    <w:basedOn w:val="Normal"/>
    <w:rsid w:val="00431E0D"/>
    <w:pPr>
      <w:numPr>
        <w:numId w:val="14"/>
      </w:numPr>
      <w:spacing w:line="240" w:lineRule="auto"/>
    </w:pPr>
    <w:rPr>
      <w:rFonts w:ascii="Times New Roman" w:eastAsia="Calibri" w:hAnsi="Times New Roman" w:cs="Times New Roman"/>
      <w:szCs w:val="24"/>
      <w:lang w:val="en-GB"/>
    </w:rPr>
  </w:style>
  <w:style w:type="paragraph" w:customStyle="1" w:styleId="LegalMention">
    <w:name w:val="LegalMention"/>
    <w:basedOn w:val="Normal"/>
    <w:rsid w:val="00431E0D"/>
    <w:pPr>
      <w:keepLines/>
      <w:framePr w:wrap="around" w:vAnchor="text" w:hAnchor="page" w:x="262" w:y="-2794" w:anchorLock="1"/>
      <w:spacing w:line="240" w:lineRule="auto"/>
    </w:pPr>
    <w:rPr>
      <w:rFonts w:ascii="Times New Roman" w:eastAsia="Calibri" w:hAnsi="Times New Roman" w:cs="Times New Roman"/>
      <w:szCs w:val="20"/>
      <w:lang w:val="en-GB"/>
    </w:rPr>
  </w:style>
  <w:style w:type="paragraph" w:customStyle="1" w:styleId="NormalBold">
    <w:name w:val="Normal + Bold"/>
    <w:aliases w:val="Left:  0 cm"/>
    <w:basedOn w:val="Normal"/>
    <w:rsid w:val="00431E0D"/>
    <w:pPr>
      <w:spacing w:line="240" w:lineRule="auto"/>
    </w:pPr>
    <w:rPr>
      <w:rFonts w:ascii="Times New Roman" w:eastAsia="Calibri" w:hAnsi="Times New Roman" w:cs="Times New Roman"/>
      <w:b/>
      <w:szCs w:val="24"/>
    </w:rPr>
  </w:style>
  <w:style w:type="paragraph" w:customStyle="1" w:styleId="RestrictedUse">
    <w:name w:val="RestrictedUse"/>
    <w:basedOn w:val="Normal"/>
    <w:rsid w:val="00431E0D"/>
    <w:pPr>
      <w:keepLines/>
      <w:spacing w:line="240" w:lineRule="auto"/>
      <w:jc w:val="right"/>
    </w:pPr>
    <w:rPr>
      <w:rFonts w:ascii="Arial" w:eastAsia="Calibri" w:hAnsi="Arial" w:cs="Times New Roman"/>
      <w:i/>
      <w:color w:val="808080"/>
      <w:sz w:val="16"/>
      <w:szCs w:val="20"/>
      <w:lang w:val="en-GB"/>
    </w:rPr>
  </w:style>
  <w:style w:type="paragraph" w:customStyle="1" w:styleId="Normal4">
    <w:name w:val="Normal 4"/>
    <w:basedOn w:val="Normal3"/>
    <w:rsid w:val="00431E0D"/>
    <w:pPr>
      <w:ind w:left="2268"/>
    </w:pPr>
  </w:style>
  <w:style w:type="paragraph" w:customStyle="1" w:styleId="TableauNormal1">
    <w:name w:val="Tableau Normal1"/>
    <w:basedOn w:val="Normal"/>
    <w:rsid w:val="00431E0D"/>
    <w:pPr>
      <w:spacing w:before="100" w:line="240" w:lineRule="auto"/>
    </w:pPr>
    <w:rPr>
      <w:rFonts w:ascii="Times New Roman" w:eastAsia="Calibri" w:hAnsi="Times New Roman" w:cs="Times New Roman"/>
      <w:szCs w:val="24"/>
      <w:lang w:val="en-GB"/>
    </w:rPr>
  </w:style>
  <w:style w:type="paragraph" w:styleId="TM6">
    <w:name w:val="toc 6"/>
    <w:basedOn w:val="Normal"/>
    <w:next w:val="Normal"/>
    <w:autoRedefine/>
    <w:uiPriority w:val="39"/>
    <w:rsid w:val="00431E0D"/>
    <w:pPr>
      <w:spacing w:after="0"/>
      <w:ind w:left="1100"/>
    </w:pPr>
    <w:rPr>
      <w:sz w:val="18"/>
      <w:szCs w:val="18"/>
    </w:rPr>
  </w:style>
  <w:style w:type="paragraph" w:styleId="TM4">
    <w:name w:val="toc 4"/>
    <w:basedOn w:val="Normal"/>
    <w:next w:val="Normal"/>
    <w:autoRedefine/>
    <w:uiPriority w:val="39"/>
    <w:rsid w:val="00431E0D"/>
    <w:pPr>
      <w:spacing w:after="0"/>
      <w:ind w:left="660"/>
    </w:pPr>
    <w:rPr>
      <w:sz w:val="18"/>
      <w:szCs w:val="18"/>
    </w:rPr>
  </w:style>
  <w:style w:type="paragraph" w:styleId="TM5">
    <w:name w:val="toc 5"/>
    <w:basedOn w:val="Normal"/>
    <w:next w:val="Normal"/>
    <w:autoRedefine/>
    <w:uiPriority w:val="39"/>
    <w:rsid w:val="00431E0D"/>
    <w:pPr>
      <w:spacing w:after="0"/>
      <w:ind w:left="880"/>
    </w:pPr>
    <w:rPr>
      <w:sz w:val="18"/>
      <w:szCs w:val="18"/>
    </w:rPr>
  </w:style>
  <w:style w:type="paragraph" w:styleId="TM7">
    <w:name w:val="toc 7"/>
    <w:basedOn w:val="Normal"/>
    <w:next w:val="Normal"/>
    <w:autoRedefine/>
    <w:uiPriority w:val="39"/>
    <w:rsid w:val="00431E0D"/>
    <w:pPr>
      <w:spacing w:after="0"/>
      <w:ind w:left="1320"/>
    </w:pPr>
    <w:rPr>
      <w:sz w:val="18"/>
      <w:szCs w:val="18"/>
    </w:rPr>
  </w:style>
  <w:style w:type="paragraph" w:styleId="TM8">
    <w:name w:val="toc 8"/>
    <w:basedOn w:val="Normal"/>
    <w:next w:val="Normal"/>
    <w:autoRedefine/>
    <w:uiPriority w:val="39"/>
    <w:rsid w:val="00431E0D"/>
    <w:pPr>
      <w:spacing w:after="0"/>
      <w:ind w:left="1540"/>
    </w:pPr>
    <w:rPr>
      <w:sz w:val="18"/>
      <w:szCs w:val="18"/>
    </w:rPr>
  </w:style>
  <w:style w:type="paragraph" w:styleId="TM9">
    <w:name w:val="toc 9"/>
    <w:basedOn w:val="Normal"/>
    <w:next w:val="Normal"/>
    <w:autoRedefine/>
    <w:uiPriority w:val="39"/>
    <w:rsid w:val="00431E0D"/>
    <w:pPr>
      <w:spacing w:after="0"/>
      <w:ind w:left="1760"/>
    </w:pPr>
    <w:rPr>
      <w:sz w:val="18"/>
      <w:szCs w:val="18"/>
    </w:rPr>
  </w:style>
  <w:style w:type="paragraph" w:customStyle="1" w:styleId="CarCarCharChar">
    <w:name w:val="Car Car Char Char"/>
    <w:basedOn w:val="Normal"/>
    <w:next w:val="Normal"/>
    <w:rsid w:val="00431E0D"/>
    <w:pPr>
      <w:spacing w:after="160" w:line="240" w:lineRule="exact"/>
    </w:pPr>
    <w:rPr>
      <w:rFonts w:ascii="Tahoma" w:eastAsia="Calibri" w:hAnsi="Tahoma" w:cs="Times New Roman"/>
      <w:szCs w:val="20"/>
      <w:lang w:val="en-US"/>
    </w:rPr>
  </w:style>
  <w:style w:type="paragraph" w:customStyle="1" w:styleId="Text1">
    <w:name w:val="Text 1"/>
    <w:basedOn w:val="Normal"/>
    <w:rsid w:val="00431E0D"/>
    <w:pPr>
      <w:spacing w:after="240" w:line="240" w:lineRule="auto"/>
      <w:ind w:left="482"/>
    </w:pPr>
    <w:rPr>
      <w:rFonts w:ascii="Times New Roman" w:eastAsia="Calibri" w:hAnsi="Times New Roman" w:cs="Times New Roman"/>
      <w:szCs w:val="20"/>
      <w:lang w:val="en-GB" w:eastAsia="en-GB"/>
    </w:rPr>
  </w:style>
  <w:style w:type="paragraph" w:styleId="Listepuces">
    <w:name w:val="List Bullet"/>
    <w:basedOn w:val="Normal"/>
    <w:autoRedefine/>
    <w:rsid w:val="00431E0D"/>
    <w:pPr>
      <w:spacing w:after="0" w:line="240" w:lineRule="auto"/>
      <w:ind w:left="720"/>
    </w:pPr>
    <w:rPr>
      <w:rFonts w:ascii="Times New Roman" w:eastAsia="Calibri" w:hAnsi="Times New Roman" w:cs="Times New Roman"/>
      <w:szCs w:val="24"/>
      <w:u w:val="single"/>
      <w:lang w:val="en-GB" w:eastAsia="en-GB"/>
    </w:rPr>
  </w:style>
  <w:style w:type="paragraph" w:customStyle="1" w:styleId="TITRE">
    <w:name w:val="TITRE"/>
    <w:basedOn w:val="Titre1"/>
    <w:rsid w:val="00431E0D"/>
    <w:pPr>
      <w:keepLines w:val="0"/>
      <w:spacing w:before="240" w:after="240" w:line="240" w:lineRule="auto"/>
    </w:pPr>
    <w:rPr>
      <w:rFonts w:ascii="Times New Roman" w:hAnsi="Times New Roman" w:cs="Times New Roman"/>
      <w:bCs w:val="0"/>
      <w:smallCaps/>
      <w:color w:val="auto"/>
      <w:kern w:val="28"/>
      <w:sz w:val="24"/>
      <w:szCs w:val="20"/>
      <w:lang w:val="en-GB" w:eastAsia="en-GB"/>
    </w:rPr>
  </w:style>
  <w:style w:type="paragraph" w:styleId="Retraitcorpsdetexte">
    <w:name w:val="Body Text Indent"/>
    <w:basedOn w:val="Normal"/>
    <w:link w:val="RetraitcorpsdetexteCar"/>
    <w:rsid w:val="00431E0D"/>
    <w:pPr>
      <w:spacing w:after="120" w:line="240" w:lineRule="auto"/>
      <w:ind w:left="283"/>
    </w:pPr>
    <w:rPr>
      <w:rFonts w:ascii="Times New Roman" w:eastAsia="Calibri" w:hAnsi="Times New Roman" w:cs="Times New Roman"/>
      <w:szCs w:val="24"/>
      <w:lang w:val="fr-FR" w:eastAsia="fr-FR"/>
    </w:rPr>
  </w:style>
  <w:style w:type="character" w:customStyle="1" w:styleId="RetraitcorpsdetexteCar">
    <w:name w:val="Retrait corps de texte Car"/>
    <w:basedOn w:val="Policepardfaut"/>
    <w:link w:val="Retraitcorpsdetexte"/>
    <w:rsid w:val="00431E0D"/>
    <w:rPr>
      <w:rFonts w:ascii="Times New Roman" w:eastAsia="Calibri" w:hAnsi="Times New Roman" w:cs="Times New Roman"/>
      <w:sz w:val="24"/>
      <w:szCs w:val="24"/>
      <w:lang w:val="fr-FR" w:eastAsia="fr-FR"/>
    </w:rPr>
  </w:style>
  <w:style w:type="paragraph" w:customStyle="1" w:styleId="Paragraphedeliste1">
    <w:name w:val="Paragraphe de liste1"/>
    <w:basedOn w:val="Normal"/>
    <w:link w:val="ListParagraphChar"/>
    <w:rsid w:val="00431E0D"/>
    <w:pPr>
      <w:spacing w:after="0" w:line="240" w:lineRule="auto"/>
      <w:ind w:left="720"/>
      <w:contextualSpacing/>
    </w:pPr>
    <w:rPr>
      <w:rFonts w:ascii="Times New Roman" w:eastAsia="Calibri" w:hAnsi="Times New Roman" w:cs="Times New Roman"/>
      <w:szCs w:val="24"/>
      <w:lang w:val="fr-FR" w:eastAsia="fr-FR"/>
    </w:rPr>
  </w:style>
  <w:style w:type="paragraph" w:customStyle="1" w:styleId="Paragraphedeliste2">
    <w:name w:val="Paragraphe de liste2"/>
    <w:basedOn w:val="Normal"/>
    <w:rsid w:val="00431E0D"/>
    <w:pPr>
      <w:spacing w:after="0" w:line="240" w:lineRule="auto"/>
      <w:ind w:left="720"/>
      <w:contextualSpacing/>
    </w:pPr>
    <w:rPr>
      <w:rFonts w:ascii="Calibri" w:eastAsia="Calibri" w:hAnsi="Calibri" w:cs="Times New Roman"/>
      <w:sz w:val="20"/>
      <w:szCs w:val="20"/>
      <w:lang w:val="fr-FR" w:eastAsia="fr-FR"/>
    </w:rPr>
  </w:style>
  <w:style w:type="character" w:customStyle="1" w:styleId="ListParagraphChar">
    <w:name w:val="List Paragraph Char"/>
    <w:link w:val="Paragraphedeliste1"/>
    <w:locked/>
    <w:rsid w:val="00431E0D"/>
    <w:rPr>
      <w:rFonts w:ascii="Times New Roman" w:eastAsia="Calibri" w:hAnsi="Times New Roman" w:cs="Times New Roman"/>
      <w:sz w:val="24"/>
      <w:szCs w:val="24"/>
      <w:lang w:val="fr-FR" w:eastAsia="fr-FR"/>
    </w:rPr>
  </w:style>
  <w:style w:type="paragraph" w:customStyle="1" w:styleId="Text2">
    <w:name w:val="Text 2"/>
    <w:basedOn w:val="Normal"/>
    <w:rsid w:val="00431E0D"/>
    <w:pPr>
      <w:spacing w:before="120" w:after="120" w:line="240" w:lineRule="auto"/>
      <w:ind w:left="850"/>
    </w:pPr>
    <w:rPr>
      <w:rFonts w:ascii="Times New Roman" w:eastAsia="Calibri" w:hAnsi="Times New Roman" w:cs="Times New Roman"/>
      <w:szCs w:val="20"/>
      <w:lang w:val="en-GB" w:eastAsia="en-GB"/>
    </w:rPr>
  </w:style>
  <w:style w:type="character" w:styleId="Marquedecommentaire">
    <w:name w:val="annotation reference"/>
    <w:semiHidden/>
    <w:rsid w:val="00431E0D"/>
    <w:rPr>
      <w:rFonts w:cs="Times New Roman"/>
      <w:sz w:val="16"/>
      <w:szCs w:val="16"/>
    </w:rPr>
  </w:style>
  <w:style w:type="paragraph" w:styleId="Commentaire">
    <w:name w:val="annotation text"/>
    <w:basedOn w:val="Normal"/>
    <w:link w:val="CommentaireCar"/>
    <w:semiHidden/>
    <w:rsid w:val="00431E0D"/>
    <w:pPr>
      <w:spacing w:after="0" w:line="240" w:lineRule="auto"/>
    </w:pPr>
    <w:rPr>
      <w:rFonts w:ascii="Times New Roman" w:eastAsia="Calibri" w:hAnsi="Times New Roman" w:cs="Times New Roman"/>
      <w:sz w:val="20"/>
      <w:szCs w:val="20"/>
      <w:lang w:val="fr-FR" w:eastAsia="fr-FR"/>
    </w:rPr>
  </w:style>
  <w:style w:type="character" w:customStyle="1" w:styleId="CommentaireCar">
    <w:name w:val="Commentaire Car"/>
    <w:basedOn w:val="Policepardfaut"/>
    <w:link w:val="Commentaire"/>
    <w:semiHidden/>
    <w:rsid w:val="00431E0D"/>
    <w:rPr>
      <w:rFonts w:ascii="Times New Roman" w:eastAsia="Calibri" w:hAnsi="Times New Roman" w:cs="Times New Roman"/>
      <w:sz w:val="20"/>
      <w:szCs w:val="20"/>
      <w:lang w:val="fr-FR" w:eastAsia="fr-FR"/>
    </w:rPr>
  </w:style>
  <w:style w:type="paragraph" w:styleId="Objetducommentaire">
    <w:name w:val="annotation subject"/>
    <w:basedOn w:val="Commentaire"/>
    <w:next w:val="Commentaire"/>
    <w:link w:val="ObjetducommentaireCar"/>
    <w:semiHidden/>
    <w:rsid w:val="00431E0D"/>
    <w:rPr>
      <w:b/>
      <w:bCs/>
    </w:rPr>
  </w:style>
  <w:style w:type="character" w:customStyle="1" w:styleId="ObjetducommentaireCar">
    <w:name w:val="Objet du commentaire Car"/>
    <w:basedOn w:val="CommentaireCar"/>
    <w:link w:val="Objetducommentaire"/>
    <w:semiHidden/>
    <w:rsid w:val="00431E0D"/>
    <w:rPr>
      <w:rFonts w:ascii="Times New Roman" w:eastAsia="Calibri" w:hAnsi="Times New Roman" w:cs="Times New Roman"/>
      <w:b/>
      <w:bCs/>
      <w:sz w:val="20"/>
      <w:szCs w:val="20"/>
      <w:lang w:val="fr-FR" w:eastAsia="fr-FR"/>
    </w:rPr>
  </w:style>
  <w:style w:type="numbering" w:customStyle="1" w:styleId="Aufzhlungszeichen1">
    <w:name w:val="Aufzählungszeichen1"/>
    <w:rsid w:val="00431E0D"/>
    <w:pPr>
      <w:numPr>
        <w:numId w:val="15"/>
      </w:numPr>
    </w:pPr>
  </w:style>
  <w:style w:type="paragraph" w:styleId="Textebrut">
    <w:name w:val="Plain Text"/>
    <w:basedOn w:val="Normal"/>
    <w:link w:val="TextebrutCar"/>
    <w:rsid w:val="00431E0D"/>
    <w:pPr>
      <w:spacing w:after="0" w:line="240" w:lineRule="auto"/>
    </w:pPr>
    <w:rPr>
      <w:rFonts w:ascii="Courier New" w:eastAsia="Times New Roman" w:hAnsi="Courier New" w:cs="Times New Roman"/>
      <w:sz w:val="20"/>
      <w:szCs w:val="24"/>
      <w:lang w:val="fr-FR" w:eastAsia="fr-FR"/>
    </w:rPr>
  </w:style>
  <w:style w:type="character" w:customStyle="1" w:styleId="TextebrutCar">
    <w:name w:val="Texte brut Car"/>
    <w:basedOn w:val="Policepardfaut"/>
    <w:link w:val="Textebrut"/>
    <w:rsid w:val="00431E0D"/>
    <w:rPr>
      <w:rFonts w:ascii="Courier New" w:eastAsia="Times New Roman" w:hAnsi="Courier New" w:cs="Times New Roman"/>
      <w:sz w:val="20"/>
      <w:szCs w:val="24"/>
      <w:lang w:val="fr-FR" w:eastAsia="fr-FR"/>
    </w:rPr>
  </w:style>
  <w:style w:type="paragraph" w:styleId="Titre0">
    <w:name w:val="Title"/>
    <w:basedOn w:val="Normal"/>
    <w:link w:val="TitreCar"/>
    <w:qFormat/>
    <w:rsid w:val="00431E0D"/>
    <w:pPr>
      <w:tabs>
        <w:tab w:val="left" w:pos="719"/>
        <w:tab w:val="left" w:pos="1439"/>
        <w:tab w:val="left" w:pos="2159"/>
        <w:tab w:val="left" w:pos="2880"/>
        <w:tab w:val="left" w:pos="3600"/>
        <w:tab w:val="left" w:pos="4320"/>
        <w:tab w:val="left" w:pos="5040"/>
        <w:tab w:val="left" w:pos="5760"/>
        <w:tab w:val="left" w:pos="6480"/>
        <w:tab w:val="left" w:pos="7200"/>
        <w:tab w:val="left" w:pos="7920"/>
        <w:tab w:val="left" w:pos="8640"/>
        <w:tab w:val="left" w:pos="9360"/>
      </w:tabs>
      <w:spacing w:before="160" w:after="0" w:line="320" w:lineRule="atLeast"/>
    </w:pPr>
    <w:rPr>
      <w:rFonts w:ascii="Arial Black" w:eastAsia="Times New Roman" w:hAnsi="Arial Black" w:cs="Times New Roman"/>
      <w:noProof/>
      <w:color w:val="000000"/>
      <w:sz w:val="18"/>
      <w:szCs w:val="20"/>
      <w:lang w:val="en-GB"/>
    </w:rPr>
  </w:style>
  <w:style w:type="character" w:customStyle="1" w:styleId="TitreCar">
    <w:name w:val="Titre Car"/>
    <w:basedOn w:val="Policepardfaut"/>
    <w:link w:val="Titre0"/>
    <w:rsid w:val="00431E0D"/>
    <w:rPr>
      <w:rFonts w:ascii="Arial Black" w:eastAsia="Times New Roman" w:hAnsi="Arial Black" w:cs="Times New Roman"/>
      <w:noProof/>
      <w:color w:val="000000"/>
      <w:sz w:val="18"/>
      <w:szCs w:val="20"/>
      <w:lang w:val="en-GB"/>
    </w:rPr>
  </w:style>
  <w:style w:type="paragraph" w:customStyle="1" w:styleId="TMissue">
    <w:name w:val="TM issue"/>
    <w:basedOn w:val="Normal"/>
    <w:rsid w:val="00431E0D"/>
    <w:pPr>
      <w:tabs>
        <w:tab w:val="left" w:pos="719"/>
        <w:tab w:val="left" w:pos="1439"/>
        <w:tab w:val="left" w:pos="2159"/>
        <w:tab w:val="left" w:pos="2880"/>
        <w:tab w:val="left" w:pos="3600"/>
        <w:tab w:val="left" w:pos="4320"/>
        <w:tab w:val="left" w:pos="5040"/>
        <w:tab w:val="left" w:pos="5760"/>
        <w:tab w:val="left" w:pos="6480"/>
        <w:tab w:val="left" w:pos="7200"/>
        <w:tab w:val="left" w:pos="7920"/>
        <w:tab w:val="left" w:pos="8640"/>
        <w:tab w:val="left" w:pos="9360"/>
      </w:tabs>
      <w:spacing w:before="160" w:after="0" w:line="320" w:lineRule="atLeast"/>
    </w:pPr>
    <w:rPr>
      <w:rFonts w:ascii="Arial" w:eastAsia="Times New Roman" w:hAnsi="Arial" w:cs="Times New Roman"/>
      <w:noProof/>
      <w:color w:val="000000"/>
      <w:sz w:val="20"/>
      <w:szCs w:val="20"/>
      <w:lang w:val="en-GB"/>
    </w:rPr>
  </w:style>
  <w:style w:type="paragraph" w:styleId="Retraitcorpsdetexte3">
    <w:name w:val="Body Text Indent 3"/>
    <w:basedOn w:val="Normal"/>
    <w:link w:val="Retraitcorpsdetexte3Car"/>
    <w:rsid w:val="00431E0D"/>
    <w:pPr>
      <w:tabs>
        <w:tab w:val="left" w:pos="719"/>
        <w:tab w:val="left" w:pos="1439"/>
        <w:tab w:val="left" w:pos="2159"/>
        <w:tab w:val="left" w:pos="2880"/>
        <w:tab w:val="left" w:pos="3600"/>
        <w:tab w:val="left" w:pos="4320"/>
        <w:tab w:val="left" w:pos="5040"/>
        <w:tab w:val="left" w:pos="5760"/>
        <w:tab w:val="left" w:pos="6480"/>
        <w:tab w:val="left" w:pos="7200"/>
        <w:tab w:val="left" w:pos="7920"/>
        <w:tab w:val="left" w:pos="8640"/>
        <w:tab w:val="left" w:pos="9360"/>
      </w:tabs>
      <w:spacing w:before="160" w:after="0" w:line="320" w:lineRule="atLeast"/>
      <w:ind w:left="719" w:hanging="719"/>
    </w:pPr>
    <w:rPr>
      <w:rFonts w:ascii="Arial" w:eastAsia="Times New Roman" w:hAnsi="Arial" w:cs="Times New Roman"/>
      <w:b/>
      <w:noProof/>
      <w:color w:val="000000"/>
      <w:sz w:val="20"/>
      <w:szCs w:val="20"/>
      <w:lang w:val="en-GB"/>
    </w:rPr>
  </w:style>
  <w:style w:type="character" w:customStyle="1" w:styleId="Retraitcorpsdetexte3Car">
    <w:name w:val="Retrait corps de texte 3 Car"/>
    <w:basedOn w:val="Policepardfaut"/>
    <w:link w:val="Retraitcorpsdetexte3"/>
    <w:rsid w:val="00431E0D"/>
    <w:rPr>
      <w:rFonts w:ascii="Arial" w:eastAsia="Times New Roman" w:hAnsi="Arial" w:cs="Times New Roman"/>
      <w:b/>
      <w:noProof/>
      <w:color w:val="000000"/>
      <w:sz w:val="20"/>
      <w:szCs w:val="20"/>
      <w:lang w:val="en-GB"/>
    </w:rPr>
  </w:style>
  <w:style w:type="table" w:customStyle="1" w:styleId="Tabellenraster2">
    <w:name w:val="Tabellenraster2"/>
    <w:basedOn w:val="TableauNormal"/>
    <w:next w:val="Grilledutableau"/>
    <w:rsid w:val="00E5468C"/>
    <w:pPr>
      <w:spacing w:after="0" w:line="240" w:lineRule="auto"/>
    </w:pPr>
    <w:rPr>
      <w:rFonts w:ascii="Times New Roman" w:eastAsia="SimSu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KeineListe1">
    <w:name w:val="Keine Liste1"/>
    <w:next w:val="Aucuneliste"/>
    <w:uiPriority w:val="99"/>
    <w:semiHidden/>
    <w:unhideWhenUsed/>
    <w:rsid w:val="00745554"/>
  </w:style>
  <w:style w:type="paragraph" w:customStyle="1" w:styleId="Heading1Arial">
    <w:name w:val="Heading 1 + Arial"/>
    <w:aliases w:val="Before:  0 pt,After:  6 pt + Not All caps,Before:  4 pt,A..."/>
    <w:basedOn w:val="Titre1"/>
    <w:rsid w:val="00745554"/>
    <w:pPr>
      <w:keepNext w:val="0"/>
      <w:keepLines w:val="0"/>
      <w:spacing w:before="0" w:after="120" w:line="288" w:lineRule="auto"/>
    </w:pPr>
    <w:rPr>
      <w:rFonts w:eastAsia="Times New Roman" w:cs="Arial"/>
      <w:caps w:val="0"/>
      <w:color w:val="auto"/>
      <w:kern w:val="28"/>
      <w:sz w:val="30"/>
      <w:szCs w:val="30"/>
      <w:lang w:val="en-GB" w:eastAsia="zh-CN"/>
    </w:rPr>
  </w:style>
  <w:style w:type="table" w:customStyle="1" w:styleId="Tabellenraster3">
    <w:name w:val="Tabellenraster3"/>
    <w:basedOn w:val="TableauNormal"/>
    <w:next w:val="Grilledutableau"/>
    <w:rsid w:val="00745554"/>
    <w:pPr>
      <w:spacing w:after="0" w:line="240" w:lineRule="auto"/>
    </w:pPr>
    <w:rPr>
      <w:rFonts w:ascii="Times New Roman" w:eastAsia="SimSu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tedefin">
    <w:name w:val="endnote text"/>
    <w:basedOn w:val="Normal"/>
    <w:link w:val="NotedefinCar"/>
    <w:uiPriority w:val="99"/>
    <w:semiHidden/>
    <w:unhideWhenUsed/>
    <w:rsid w:val="0049564F"/>
    <w:pPr>
      <w:spacing w:after="0" w:line="240" w:lineRule="auto"/>
    </w:pPr>
    <w:rPr>
      <w:sz w:val="20"/>
      <w:szCs w:val="20"/>
    </w:rPr>
  </w:style>
  <w:style w:type="character" w:customStyle="1" w:styleId="NotedefinCar">
    <w:name w:val="Note de fin Car"/>
    <w:basedOn w:val="Policepardfaut"/>
    <w:link w:val="Notedefin"/>
    <w:uiPriority w:val="99"/>
    <w:semiHidden/>
    <w:rsid w:val="0049564F"/>
    <w:rPr>
      <w:rFonts w:ascii="Arial Narrow" w:hAnsi="Arial Narrow"/>
      <w:sz w:val="20"/>
      <w:szCs w:val="20"/>
    </w:rPr>
  </w:style>
  <w:style w:type="character" w:styleId="Appeldenotedefin">
    <w:name w:val="endnote reference"/>
    <w:basedOn w:val="Policepardfaut"/>
    <w:uiPriority w:val="99"/>
    <w:semiHidden/>
    <w:unhideWhenUsed/>
    <w:rsid w:val="0049564F"/>
    <w:rPr>
      <w:vertAlign w:val="superscript"/>
    </w:rPr>
  </w:style>
  <w:style w:type="character" w:customStyle="1" w:styleId="Mentionnonrsolue1">
    <w:name w:val="Mention non résolue1"/>
    <w:basedOn w:val="Policepardfaut"/>
    <w:uiPriority w:val="99"/>
    <w:semiHidden/>
    <w:unhideWhenUsed/>
    <w:rsid w:val="004A5052"/>
    <w:rPr>
      <w:color w:val="605E5C"/>
      <w:shd w:val="clear" w:color="auto" w:fill="E1DFDD"/>
    </w:rPr>
  </w:style>
  <w:style w:type="character" w:customStyle="1" w:styleId="Mentionnonrsolue2">
    <w:name w:val="Mention non résolue2"/>
    <w:basedOn w:val="Policepardfaut"/>
    <w:uiPriority w:val="99"/>
    <w:semiHidden/>
    <w:unhideWhenUsed/>
    <w:rsid w:val="007D57AB"/>
    <w:rPr>
      <w:color w:val="605E5C"/>
      <w:shd w:val="clear" w:color="auto" w:fill="E1DFDD"/>
    </w:rPr>
  </w:style>
  <w:style w:type="character" w:customStyle="1" w:styleId="Mentionnonrsolue3">
    <w:name w:val="Mention non résolue3"/>
    <w:basedOn w:val="Policepardfaut"/>
    <w:uiPriority w:val="99"/>
    <w:semiHidden/>
    <w:unhideWhenUsed/>
    <w:rsid w:val="00FA2ED7"/>
    <w:rPr>
      <w:color w:val="605E5C"/>
      <w:shd w:val="clear" w:color="auto" w:fill="E1DFDD"/>
    </w:rPr>
  </w:style>
  <w:style w:type="character" w:customStyle="1" w:styleId="st">
    <w:name w:val="st"/>
    <w:basedOn w:val="Policepardfaut"/>
    <w:rsid w:val="000F25C2"/>
  </w:style>
  <w:style w:type="character" w:styleId="Emphase">
    <w:name w:val="Emphasis"/>
    <w:basedOn w:val="Policepardfaut"/>
    <w:uiPriority w:val="20"/>
    <w:qFormat/>
    <w:rsid w:val="000F25C2"/>
    <w:rPr>
      <w:i/>
      <w:iCs/>
    </w:rPr>
  </w:style>
  <w:style w:type="character" w:customStyle="1" w:styleId="Mentionnonrsolue4">
    <w:name w:val="Mention non résolue4"/>
    <w:basedOn w:val="Policepardfaut"/>
    <w:uiPriority w:val="99"/>
    <w:semiHidden/>
    <w:unhideWhenUsed/>
    <w:rsid w:val="000F25C2"/>
    <w:rPr>
      <w:color w:val="605E5C"/>
      <w:shd w:val="clear" w:color="auto" w:fill="E1DFDD"/>
    </w:rPr>
  </w:style>
  <w:style w:type="numbering" w:customStyle="1" w:styleId="KeineListe2">
    <w:name w:val="Keine Liste2"/>
    <w:next w:val="Aucuneliste"/>
    <w:uiPriority w:val="99"/>
    <w:semiHidden/>
    <w:unhideWhenUsed/>
    <w:rsid w:val="00E8193A"/>
  </w:style>
  <w:style w:type="numbering" w:customStyle="1" w:styleId="KeineListe11">
    <w:name w:val="Keine Liste11"/>
    <w:next w:val="Aucuneliste"/>
    <w:uiPriority w:val="99"/>
    <w:semiHidden/>
    <w:unhideWhenUsed/>
    <w:rsid w:val="00E8193A"/>
  </w:style>
  <w:style w:type="numbering" w:customStyle="1" w:styleId="Aufzhlungszeichen11">
    <w:name w:val="Aufzählungszeichen11"/>
    <w:rsid w:val="00E8193A"/>
  </w:style>
  <w:style w:type="numbering" w:customStyle="1" w:styleId="KeineListe111">
    <w:name w:val="Keine Liste111"/>
    <w:next w:val="Aucuneliste"/>
    <w:uiPriority w:val="99"/>
    <w:semiHidden/>
    <w:unhideWhenUsed/>
    <w:rsid w:val="00E8193A"/>
  </w:style>
  <w:style w:type="numbering" w:customStyle="1" w:styleId="KeineListe3">
    <w:name w:val="Keine Liste3"/>
    <w:next w:val="Aucuneliste"/>
    <w:uiPriority w:val="99"/>
    <w:semiHidden/>
    <w:unhideWhenUsed/>
    <w:rsid w:val="001C59B7"/>
  </w:style>
  <w:style w:type="numbering" w:customStyle="1" w:styleId="KeineListe12">
    <w:name w:val="Keine Liste12"/>
    <w:next w:val="Aucuneliste"/>
    <w:uiPriority w:val="99"/>
    <w:semiHidden/>
    <w:unhideWhenUsed/>
    <w:rsid w:val="001C59B7"/>
  </w:style>
  <w:style w:type="numbering" w:customStyle="1" w:styleId="Aufzhlungszeichen12">
    <w:name w:val="Aufzählungszeichen12"/>
    <w:rsid w:val="001C59B7"/>
  </w:style>
  <w:style w:type="numbering" w:customStyle="1" w:styleId="KeineListe112">
    <w:name w:val="Keine Liste112"/>
    <w:next w:val="Aucuneliste"/>
    <w:uiPriority w:val="99"/>
    <w:semiHidden/>
    <w:unhideWhenUsed/>
    <w:rsid w:val="001C59B7"/>
  </w:style>
  <w:style w:type="character" w:customStyle="1" w:styleId="Mentionnonrsolue5">
    <w:name w:val="Mention non résolue5"/>
    <w:basedOn w:val="Policepardfaut"/>
    <w:uiPriority w:val="99"/>
    <w:semiHidden/>
    <w:unhideWhenUsed/>
    <w:rsid w:val="009744CB"/>
    <w:rPr>
      <w:color w:val="605E5C"/>
      <w:shd w:val="clear" w:color="auto" w:fill="E1DFDD"/>
    </w:rPr>
  </w:style>
  <w:style w:type="table" w:customStyle="1" w:styleId="Tabellenraster21">
    <w:name w:val="Tabellenraster21"/>
    <w:basedOn w:val="TableauNormal"/>
    <w:next w:val="Grilledutableau"/>
    <w:rsid w:val="00563E26"/>
    <w:pPr>
      <w:spacing w:after="0" w:line="240" w:lineRule="auto"/>
    </w:pPr>
    <w:rPr>
      <w:rFonts w:ascii="Times New Roman" w:eastAsia="SimSu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0099888">
      <w:bodyDiv w:val="1"/>
      <w:marLeft w:val="0"/>
      <w:marRight w:val="0"/>
      <w:marTop w:val="0"/>
      <w:marBottom w:val="0"/>
      <w:divBdr>
        <w:top w:val="none" w:sz="0" w:space="0" w:color="auto"/>
        <w:left w:val="none" w:sz="0" w:space="0" w:color="auto"/>
        <w:bottom w:val="none" w:sz="0" w:space="0" w:color="auto"/>
        <w:right w:val="none" w:sz="0" w:space="0" w:color="auto"/>
      </w:divBdr>
    </w:div>
    <w:div w:id="112290875">
      <w:bodyDiv w:val="1"/>
      <w:marLeft w:val="0"/>
      <w:marRight w:val="0"/>
      <w:marTop w:val="0"/>
      <w:marBottom w:val="0"/>
      <w:divBdr>
        <w:top w:val="none" w:sz="0" w:space="0" w:color="auto"/>
        <w:left w:val="none" w:sz="0" w:space="0" w:color="auto"/>
        <w:bottom w:val="none" w:sz="0" w:space="0" w:color="auto"/>
        <w:right w:val="none" w:sz="0" w:space="0" w:color="auto"/>
      </w:divBdr>
    </w:div>
    <w:div w:id="303779715">
      <w:bodyDiv w:val="1"/>
      <w:marLeft w:val="0"/>
      <w:marRight w:val="0"/>
      <w:marTop w:val="0"/>
      <w:marBottom w:val="0"/>
      <w:divBdr>
        <w:top w:val="none" w:sz="0" w:space="0" w:color="auto"/>
        <w:left w:val="none" w:sz="0" w:space="0" w:color="auto"/>
        <w:bottom w:val="none" w:sz="0" w:space="0" w:color="auto"/>
        <w:right w:val="none" w:sz="0" w:space="0" w:color="auto"/>
      </w:divBdr>
    </w:div>
    <w:div w:id="322857046">
      <w:bodyDiv w:val="1"/>
      <w:marLeft w:val="0"/>
      <w:marRight w:val="0"/>
      <w:marTop w:val="0"/>
      <w:marBottom w:val="0"/>
      <w:divBdr>
        <w:top w:val="none" w:sz="0" w:space="0" w:color="auto"/>
        <w:left w:val="none" w:sz="0" w:space="0" w:color="auto"/>
        <w:bottom w:val="none" w:sz="0" w:space="0" w:color="auto"/>
        <w:right w:val="none" w:sz="0" w:space="0" w:color="auto"/>
      </w:divBdr>
    </w:div>
    <w:div w:id="376123034">
      <w:bodyDiv w:val="1"/>
      <w:marLeft w:val="0"/>
      <w:marRight w:val="0"/>
      <w:marTop w:val="0"/>
      <w:marBottom w:val="0"/>
      <w:divBdr>
        <w:top w:val="none" w:sz="0" w:space="0" w:color="auto"/>
        <w:left w:val="none" w:sz="0" w:space="0" w:color="auto"/>
        <w:bottom w:val="none" w:sz="0" w:space="0" w:color="auto"/>
        <w:right w:val="none" w:sz="0" w:space="0" w:color="auto"/>
      </w:divBdr>
    </w:div>
    <w:div w:id="395321471">
      <w:bodyDiv w:val="1"/>
      <w:marLeft w:val="0"/>
      <w:marRight w:val="0"/>
      <w:marTop w:val="0"/>
      <w:marBottom w:val="0"/>
      <w:divBdr>
        <w:top w:val="none" w:sz="0" w:space="0" w:color="auto"/>
        <w:left w:val="none" w:sz="0" w:space="0" w:color="auto"/>
        <w:bottom w:val="none" w:sz="0" w:space="0" w:color="auto"/>
        <w:right w:val="none" w:sz="0" w:space="0" w:color="auto"/>
      </w:divBdr>
    </w:div>
    <w:div w:id="486169314">
      <w:bodyDiv w:val="1"/>
      <w:marLeft w:val="0"/>
      <w:marRight w:val="0"/>
      <w:marTop w:val="0"/>
      <w:marBottom w:val="0"/>
      <w:divBdr>
        <w:top w:val="none" w:sz="0" w:space="0" w:color="auto"/>
        <w:left w:val="none" w:sz="0" w:space="0" w:color="auto"/>
        <w:bottom w:val="none" w:sz="0" w:space="0" w:color="auto"/>
        <w:right w:val="none" w:sz="0" w:space="0" w:color="auto"/>
      </w:divBdr>
    </w:div>
    <w:div w:id="510684554">
      <w:bodyDiv w:val="1"/>
      <w:marLeft w:val="0"/>
      <w:marRight w:val="0"/>
      <w:marTop w:val="0"/>
      <w:marBottom w:val="0"/>
      <w:divBdr>
        <w:top w:val="none" w:sz="0" w:space="0" w:color="auto"/>
        <w:left w:val="none" w:sz="0" w:space="0" w:color="auto"/>
        <w:bottom w:val="none" w:sz="0" w:space="0" w:color="auto"/>
        <w:right w:val="none" w:sz="0" w:space="0" w:color="auto"/>
      </w:divBdr>
    </w:div>
    <w:div w:id="921067016">
      <w:bodyDiv w:val="1"/>
      <w:marLeft w:val="0"/>
      <w:marRight w:val="0"/>
      <w:marTop w:val="0"/>
      <w:marBottom w:val="0"/>
      <w:divBdr>
        <w:top w:val="none" w:sz="0" w:space="0" w:color="auto"/>
        <w:left w:val="none" w:sz="0" w:space="0" w:color="auto"/>
        <w:bottom w:val="none" w:sz="0" w:space="0" w:color="auto"/>
        <w:right w:val="none" w:sz="0" w:space="0" w:color="auto"/>
      </w:divBdr>
    </w:div>
    <w:div w:id="1021978344">
      <w:bodyDiv w:val="1"/>
      <w:marLeft w:val="0"/>
      <w:marRight w:val="0"/>
      <w:marTop w:val="0"/>
      <w:marBottom w:val="0"/>
      <w:divBdr>
        <w:top w:val="none" w:sz="0" w:space="0" w:color="auto"/>
        <w:left w:val="none" w:sz="0" w:space="0" w:color="auto"/>
        <w:bottom w:val="none" w:sz="0" w:space="0" w:color="auto"/>
        <w:right w:val="none" w:sz="0" w:space="0" w:color="auto"/>
      </w:divBdr>
    </w:div>
    <w:div w:id="1202522806">
      <w:bodyDiv w:val="1"/>
      <w:marLeft w:val="0"/>
      <w:marRight w:val="0"/>
      <w:marTop w:val="0"/>
      <w:marBottom w:val="0"/>
      <w:divBdr>
        <w:top w:val="none" w:sz="0" w:space="0" w:color="auto"/>
        <w:left w:val="none" w:sz="0" w:space="0" w:color="auto"/>
        <w:bottom w:val="none" w:sz="0" w:space="0" w:color="auto"/>
        <w:right w:val="none" w:sz="0" w:space="0" w:color="auto"/>
      </w:divBdr>
    </w:div>
    <w:div w:id="1234586855">
      <w:bodyDiv w:val="1"/>
      <w:marLeft w:val="0"/>
      <w:marRight w:val="0"/>
      <w:marTop w:val="0"/>
      <w:marBottom w:val="0"/>
      <w:divBdr>
        <w:top w:val="none" w:sz="0" w:space="0" w:color="auto"/>
        <w:left w:val="none" w:sz="0" w:space="0" w:color="auto"/>
        <w:bottom w:val="none" w:sz="0" w:space="0" w:color="auto"/>
        <w:right w:val="none" w:sz="0" w:space="0" w:color="auto"/>
      </w:divBdr>
    </w:div>
    <w:div w:id="1326011147">
      <w:bodyDiv w:val="1"/>
      <w:marLeft w:val="0"/>
      <w:marRight w:val="0"/>
      <w:marTop w:val="0"/>
      <w:marBottom w:val="0"/>
      <w:divBdr>
        <w:top w:val="none" w:sz="0" w:space="0" w:color="auto"/>
        <w:left w:val="none" w:sz="0" w:space="0" w:color="auto"/>
        <w:bottom w:val="none" w:sz="0" w:space="0" w:color="auto"/>
        <w:right w:val="none" w:sz="0" w:space="0" w:color="auto"/>
      </w:divBdr>
    </w:div>
    <w:div w:id="1496921920">
      <w:bodyDiv w:val="1"/>
      <w:marLeft w:val="0"/>
      <w:marRight w:val="0"/>
      <w:marTop w:val="0"/>
      <w:marBottom w:val="0"/>
      <w:divBdr>
        <w:top w:val="none" w:sz="0" w:space="0" w:color="auto"/>
        <w:left w:val="none" w:sz="0" w:space="0" w:color="auto"/>
        <w:bottom w:val="none" w:sz="0" w:space="0" w:color="auto"/>
        <w:right w:val="none" w:sz="0" w:space="0" w:color="auto"/>
      </w:divBdr>
    </w:div>
    <w:div w:id="1663392693">
      <w:bodyDiv w:val="1"/>
      <w:marLeft w:val="0"/>
      <w:marRight w:val="0"/>
      <w:marTop w:val="0"/>
      <w:marBottom w:val="0"/>
      <w:divBdr>
        <w:top w:val="none" w:sz="0" w:space="0" w:color="auto"/>
        <w:left w:val="none" w:sz="0" w:space="0" w:color="auto"/>
        <w:bottom w:val="none" w:sz="0" w:space="0" w:color="auto"/>
        <w:right w:val="none" w:sz="0" w:space="0" w:color="auto"/>
      </w:divBdr>
    </w:div>
    <w:div w:id="1667131159">
      <w:bodyDiv w:val="1"/>
      <w:marLeft w:val="0"/>
      <w:marRight w:val="0"/>
      <w:marTop w:val="0"/>
      <w:marBottom w:val="0"/>
      <w:divBdr>
        <w:top w:val="none" w:sz="0" w:space="0" w:color="auto"/>
        <w:left w:val="none" w:sz="0" w:space="0" w:color="auto"/>
        <w:bottom w:val="none" w:sz="0" w:space="0" w:color="auto"/>
        <w:right w:val="none" w:sz="0" w:space="0" w:color="auto"/>
      </w:divBdr>
    </w:div>
    <w:div w:id="1906181275">
      <w:bodyDiv w:val="1"/>
      <w:marLeft w:val="0"/>
      <w:marRight w:val="0"/>
      <w:marTop w:val="0"/>
      <w:marBottom w:val="0"/>
      <w:divBdr>
        <w:top w:val="none" w:sz="0" w:space="0" w:color="auto"/>
        <w:left w:val="none" w:sz="0" w:space="0" w:color="auto"/>
        <w:bottom w:val="none" w:sz="0" w:space="0" w:color="auto"/>
        <w:right w:val="none" w:sz="0" w:space="0" w:color="auto"/>
      </w:divBdr>
    </w:div>
    <w:div w:id="1955940578">
      <w:bodyDiv w:val="1"/>
      <w:marLeft w:val="0"/>
      <w:marRight w:val="0"/>
      <w:marTop w:val="0"/>
      <w:marBottom w:val="0"/>
      <w:divBdr>
        <w:top w:val="none" w:sz="0" w:space="0" w:color="auto"/>
        <w:left w:val="none" w:sz="0" w:space="0" w:color="auto"/>
        <w:bottom w:val="none" w:sz="0" w:space="0" w:color="auto"/>
        <w:right w:val="none" w:sz="0" w:space="0" w:color="auto"/>
      </w:divBdr>
    </w:div>
    <w:div w:id="2147043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01" Type="http://schemas.openxmlformats.org/officeDocument/2006/relationships/image" Target="media/image45.emf"/><Relationship Id="rId102" Type="http://schemas.openxmlformats.org/officeDocument/2006/relationships/image" Target="media/image46.emf"/><Relationship Id="rId103" Type="http://schemas.openxmlformats.org/officeDocument/2006/relationships/image" Target="media/image47.emf"/><Relationship Id="rId104" Type="http://schemas.openxmlformats.org/officeDocument/2006/relationships/image" Target="media/image48.emf"/><Relationship Id="rId105" Type="http://schemas.openxmlformats.org/officeDocument/2006/relationships/image" Target="media/image49.emf"/><Relationship Id="rId106" Type="http://schemas.openxmlformats.org/officeDocument/2006/relationships/image" Target="media/image50.emf"/><Relationship Id="rId107" Type="http://schemas.openxmlformats.org/officeDocument/2006/relationships/image" Target="media/image51.emf"/><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2.png"/><Relationship Id="rId9" Type="http://schemas.openxmlformats.org/officeDocument/2006/relationships/image" Target="media/image3.png"/><Relationship Id="rId108" Type="http://schemas.openxmlformats.org/officeDocument/2006/relationships/image" Target="media/image52.emf"/><Relationship Id="rId109" Type="http://schemas.openxmlformats.org/officeDocument/2006/relationships/image" Target="media/image53.emf"/><Relationship Id="rId10" Type="http://schemas.openxmlformats.org/officeDocument/2006/relationships/image" Target="media/image4.jpeg"/><Relationship Id="rId11" Type="http://schemas.openxmlformats.org/officeDocument/2006/relationships/image" Target="media/image5.jpeg"/><Relationship Id="rId12" Type="http://schemas.openxmlformats.org/officeDocument/2006/relationships/image" Target="media/image6.jpg"/><Relationship Id="rId13" Type="http://schemas.openxmlformats.org/officeDocument/2006/relationships/footer" Target="footer1.xml"/><Relationship Id="rId14" Type="http://schemas.openxmlformats.org/officeDocument/2006/relationships/footer" Target="footer2.xml"/><Relationship Id="rId15" Type="http://schemas.openxmlformats.org/officeDocument/2006/relationships/hyperlink" Target="http://www.apimali.gov.ml/mines" TargetMode="External"/><Relationship Id="rId16" Type="http://schemas.openxmlformats.org/officeDocument/2006/relationships/hyperlink" Target="http://perspective.usherbrooke.ca/" TargetMode="External"/><Relationship Id="rId17" Type="http://schemas.openxmlformats.org/officeDocument/2006/relationships/hyperlink" Target="https://fr.wikipedia.org/wiki/Pouvoir_calorifique_inf%C3%A9rieur" TargetMode="External"/><Relationship Id="rId18" Type="http://schemas.openxmlformats.org/officeDocument/2006/relationships/hyperlink" Target="https://fr.wikipedia.org/wiki/Agence_internationale_de_l%27%C3%A9nergie" TargetMode="External"/><Relationship Id="rId19" Type="http://schemas.openxmlformats.org/officeDocument/2006/relationships/hyperlink" Target="https://fr.wikipedia.org/wiki/Gaz_de_p%C3%A9trole_liqu%C3%A9fi%C3%A9" TargetMode="External"/><Relationship Id="rId30" Type="http://schemas.openxmlformats.org/officeDocument/2006/relationships/hyperlink" Target="https://journals.openedition.org/cybergeo/docannexe/image/25977/img-1-small580.jpg" TargetMode="External"/><Relationship Id="rId31" Type="http://schemas.openxmlformats.org/officeDocument/2006/relationships/image" Target="media/image14.jpeg"/><Relationship Id="rId32" Type="http://schemas.openxmlformats.org/officeDocument/2006/relationships/image" Target="media/image15.png"/><Relationship Id="rId33" Type="http://schemas.openxmlformats.org/officeDocument/2006/relationships/image" Target="media/image16.emf"/><Relationship Id="rId34" Type="http://schemas.openxmlformats.org/officeDocument/2006/relationships/image" Target="media/image17.png"/><Relationship Id="rId35" Type="http://schemas.openxmlformats.org/officeDocument/2006/relationships/image" Target="media/image18.emf"/><Relationship Id="rId36" Type="http://schemas.openxmlformats.org/officeDocument/2006/relationships/image" Target="media/image19.emf"/><Relationship Id="rId37" Type="http://schemas.openxmlformats.org/officeDocument/2006/relationships/image" Target="media/image20.png"/><Relationship Id="rId38" Type="http://schemas.openxmlformats.org/officeDocument/2006/relationships/image" Target="media/image21.emf"/><Relationship Id="rId39" Type="http://schemas.openxmlformats.org/officeDocument/2006/relationships/image" Target="media/image22.emf"/><Relationship Id="rId50" Type="http://schemas.openxmlformats.org/officeDocument/2006/relationships/image" Target="media/image33.emf"/><Relationship Id="rId51" Type="http://schemas.openxmlformats.org/officeDocument/2006/relationships/image" Target="media/image34.emf"/><Relationship Id="rId52" Type="http://schemas.openxmlformats.org/officeDocument/2006/relationships/image" Target="media/image35.emf"/><Relationship Id="rId53" Type="http://schemas.openxmlformats.org/officeDocument/2006/relationships/image" Target="media/image36.emf"/><Relationship Id="rId54" Type="http://schemas.openxmlformats.org/officeDocument/2006/relationships/image" Target="media/image37.emf"/><Relationship Id="rId55" Type="http://schemas.openxmlformats.org/officeDocument/2006/relationships/image" Target="media/image38.emf"/><Relationship Id="rId56" Type="http://schemas.openxmlformats.org/officeDocument/2006/relationships/image" Target="media/image39.emf"/><Relationship Id="rId57" Type="http://schemas.openxmlformats.org/officeDocument/2006/relationships/image" Target="media/image40.emf"/><Relationship Id="rId58" Type="http://schemas.openxmlformats.org/officeDocument/2006/relationships/hyperlink" Target="http://www.thegef.org/projects" TargetMode="External"/><Relationship Id="rId59" Type="http://schemas.openxmlformats.org/officeDocument/2006/relationships/image" Target="media/image41.png"/><Relationship Id="rId70" Type="http://schemas.openxmlformats.org/officeDocument/2006/relationships/hyperlink" Target="mailto:diallo55amadou@gmail.com" TargetMode="External"/><Relationship Id="rId71" Type="http://schemas.openxmlformats.org/officeDocument/2006/relationships/hyperlink" Target="mailto:elhadjis73@gmail.com" TargetMode="External"/><Relationship Id="rId72" Type="http://schemas.openxmlformats.org/officeDocument/2006/relationships/hyperlink" Target="mailto:sarrohousse@gmail.com" TargetMode="External"/><Relationship Id="rId73" Type="http://schemas.openxmlformats.org/officeDocument/2006/relationships/hyperlink" Target="mailto:i.tempelaar@gmail.com" TargetMode="External"/><Relationship Id="rId74" Type="http://schemas.openxmlformats.org/officeDocument/2006/relationships/hyperlink" Target="mailto:cheickmagass2000@yahoo.fr" TargetMode="External"/><Relationship Id="rId75" Type="http://schemas.openxmlformats.org/officeDocument/2006/relationships/hyperlink" Target="mailto:baroutam@yahoo.fr" TargetMode="External"/><Relationship Id="rId76" Type="http://schemas.openxmlformats.org/officeDocument/2006/relationships/hyperlink" Target="mailto:traoremd@yahoo.fr" TargetMode="External"/><Relationship Id="rId77" Type="http://schemas.openxmlformats.org/officeDocument/2006/relationships/hyperlink" Target="mailto:lassinadiallo2009@yahoo.fr" TargetMode="External"/><Relationship Id="rId78" Type="http://schemas.openxmlformats.org/officeDocument/2006/relationships/hyperlink" Target="mailto:otogolo_kone@yahoo.fr" TargetMode="External"/><Relationship Id="rId79" Type="http://schemas.openxmlformats.org/officeDocument/2006/relationships/hyperlink" Target="mailto:niagay@yahoo.fr" TargetMode="External"/><Relationship Id="rId110" Type="http://schemas.openxmlformats.org/officeDocument/2006/relationships/image" Target="media/image54.emf"/><Relationship Id="rId90" Type="http://schemas.openxmlformats.org/officeDocument/2006/relationships/hyperlink" Target="mailto:Nadine.dulac@enabel.be" TargetMode="External"/><Relationship Id="rId91" Type="http://schemas.openxmlformats.org/officeDocument/2006/relationships/hyperlink" Target="mailto:bsacko@snv.org" TargetMode="External"/><Relationship Id="rId92" Type="http://schemas.openxmlformats.org/officeDocument/2006/relationships/hyperlink" Target="mailto:kkone@snv.org" TargetMode="External"/><Relationship Id="rId93" Type="http://schemas.openxmlformats.org/officeDocument/2006/relationships/hyperlink" Target="mailto:oumar.tamboura@undp.org" TargetMode="External"/><Relationship Id="rId94" Type="http://schemas.openxmlformats.org/officeDocument/2006/relationships/hyperlink" Target="mailto:keita56@yahoo.fr" TargetMode="External"/><Relationship Id="rId95" Type="http://schemas.openxmlformats.org/officeDocument/2006/relationships/hyperlink" Target="mailto:savadogo72@yahoo.fr" TargetMode="External"/><Relationship Id="rId96" Type="http://schemas.openxmlformats.org/officeDocument/2006/relationships/hyperlink" Target="mailto:zoumkan2007@yahoo.fr" TargetMode="External"/><Relationship Id="rId97" Type="http://schemas.openxmlformats.org/officeDocument/2006/relationships/hyperlink" Target="mailto:absamake09@gmail.com" TargetMode="External"/><Relationship Id="rId98" Type="http://schemas.openxmlformats.org/officeDocument/2006/relationships/hyperlink" Target="mailto:maigamo58@yahoo.fr" TargetMode="External"/><Relationship Id="rId99" Type="http://schemas.openxmlformats.org/officeDocument/2006/relationships/hyperlink" Target="https://ich.unesco.org/fr/etat/mali-ML?info=elements-sur-les-listes" TargetMode="External"/><Relationship Id="rId111" Type="http://schemas.openxmlformats.org/officeDocument/2006/relationships/image" Target="media/image55.emf"/><Relationship Id="rId112" Type="http://schemas.openxmlformats.org/officeDocument/2006/relationships/image" Target="media/image56.emf"/><Relationship Id="rId113" Type="http://schemas.openxmlformats.org/officeDocument/2006/relationships/image" Target="media/image57.emf"/><Relationship Id="rId114" Type="http://schemas.openxmlformats.org/officeDocument/2006/relationships/image" Target="media/image58.emf"/><Relationship Id="rId115" Type="http://schemas.openxmlformats.org/officeDocument/2006/relationships/footer" Target="footer3.xml"/><Relationship Id="rId116" Type="http://schemas.openxmlformats.org/officeDocument/2006/relationships/footer" Target="footer4.xml"/><Relationship Id="rId117" Type="http://schemas.openxmlformats.org/officeDocument/2006/relationships/fontTable" Target="fontTable.xml"/><Relationship Id="rId118" Type="http://schemas.openxmlformats.org/officeDocument/2006/relationships/theme" Target="theme/theme1.xml"/><Relationship Id="rId20" Type="http://schemas.openxmlformats.org/officeDocument/2006/relationships/hyperlink" Target="https://fr.wikipedia.org/wiki/Essence_(hydrocarbure)" TargetMode="External"/><Relationship Id="rId21" Type="http://schemas.openxmlformats.org/officeDocument/2006/relationships/hyperlink" Target="https://fr.wikipedia.org/wiki/St%C3%A8re" TargetMode="External"/><Relationship Id="rId22" Type="http://schemas.openxmlformats.org/officeDocument/2006/relationships/hyperlink" Target="http://www.actu-environnement.com/ae/dictionnaire_environnement/definition/eco-conception.php4" TargetMode="External"/><Relationship Id="rId23" Type="http://schemas.openxmlformats.org/officeDocument/2006/relationships/image" Target="media/image7.emf"/><Relationship Id="rId24" Type="http://schemas.openxmlformats.org/officeDocument/2006/relationships/image" Target="media/image8.png"/><Relationship Id="rId25" Type="http://schemas.openxmlformats.org/officeDocument/2006/relationships/image" Target="media/image9.png"/><Relationship Id="rId26" Type="http://schemas.openxmlformats.org/officeDocument/2006/relationships/image" Target="media/image10.emf"/><Relationship Id="rId27" Type="http://schemas.openxmlformats.org/officeDocument/2006/relationships/image" Target="media/image11.png"/><Relationship Id="rId28" Type="http://schemas.openxmlformats.org/officeDocument/2006/relationships/image" Target="media/image12.png"/><Relationship Id="rId29" Type="http://schemas.openxmlformats.org/officeDocument/2006/relationships/image" Target="media/image13.png"/><Relationship Id="rId40" Type="http://schemas.openxmlformats.org/officeDocument/2006/relationships/image" Target="media/image23.emf"/><Relationship Id="rId41" Type="http://schemas.openxmlformats.org/officeDocument/2006/relationships/image" Target="media/image24.png"/><Relationship Id="rId42" Type="http://schemas.openxmlformats.org/officeDocument/2006/relationships/image" Target="media/image25.emf"/><Relationship Id="rId43" Type="http://schemas.openxmlformats.org/officeDocument/2006/relationships/image" Target="media/image26.png"/><Relationship Id="rId44" Type="http://schemas.openxmlformats.org/officeDocument/2006/relationships/image" Target="media/image27.emf"/><Relationship Id="rId45" Type="http://schemas.openxmlformats.org/officeDocument/2006/relationships/image" Target="media/image28.emf"/><Relationship Id="rId46" Type="http://schemas.openxmlformats.org/officeDocument/2006/relationships/image" Target="media/image29.emf"/><Relationship Id="rId47" Type="http://schemas.openxmlformats.org/officeDocument/2006/relationships/image" Target="media/image30.emf"/><Relationship Id="rId48" Type="http://schemas.openxmlformats.org/officeDocument/2006/relationships/image" Target="media/image31.emf"/><Relationship Id="rId49" Type="http://schemas.openxmlformats.org/officeDocument/2006/relationships/image" Target="media/image32.emf"/><Relationship Id="rId60" Type="http://schemas.openxmlformats.org/officeDocument/2006/relationships/image" Target="media/image42.png"/><Relationship Id="rId61" Type="http://schemas.openxmlformats.org/officeDocument/2006/relationships/image" Target="media/image43.png"/><Relationship Id="rId62" Type="http://schemas.openxmlformats.org/officeDocument/2006/relationships/image" Target="media/image44.png"/><Relationship Id="rId63" Type="http://schemas.openxmlformats.org/officeDocument/2006/relationships/hyperlink" Target="mailto:amaury.hoste@eeas.europa.eu" TargetMode="External"/><Relationship Id="rId64" Type="http://schemas.openxmlformats.org/officeDocument/2006/relationships/hyperlink" Target="mailto:paulino.isidoro-ramirez@eeas.europa.eu" TargetMode="External"/><Relationship Id="rId65" Type="http://schemas.openxmlformats.org/officeDocument/2006/relationships/hyperlink" Target="mailto:Sylvie.Fontaine@eeas.europa.eu" TargetMode="External"/><Relationship Id="rId66" Type="http://schemas.openxmlformats.org/officeDocument/2006/relationships/hyperlink" Target="mailto:idrissasow@hotmail.com" TargetMode="External"/><Relationship Id="rId67" Type="http://schemas.openxmlformats.org/officeDocument/2006/relationships/hyperlink" Target="mailto:hadjofomba@yahoo.fr" TargetMode="External"/><Relationship Id="rId68" Type="http://schemas.openxmlformats.org/officeDocument/2006/relationships/hyperlink" Target="mailto:drissd2@gmail.com" TargetMode="External"/><Relationship Id="rId69" Type="http://schemas.openxmlformats.org/officeDocument/2006/relationships/hyperlink" Target="mailto:moussadiar2006@yahoo.fr" TargetMode="External"/><Relationship Id="rId100" Type="http://schemas.openxmlformats.org/officeDocument/2006/relationships/hyperlink" Target="http://sirs.agrocampus-ouest.fr/atlas_uemoa" TargetMode="External"/><Relationship Id="rId80" Type="http://schemas.openxmlformats.org/officeDocument/2006/relationships/hyperlink" Target="mailto:nidiagouraga@anict.com" TargetMode="External"/><Relationship Id="rId81" Type="http://schemas.openxmlformats.org/officeDocument/2006/relationships/hyperlink" Target="mailto:azenbou@hotmail.com" TargetMode="External"/><Relationship Id="rId82" Type="http://schemas.openxmlformats.org/officeDocument/2006/relationships/hyperlink" Target="mailto:berthebouba@yahoo.fr" TargetMode="External"/><Relationship Id="rId83" Type="http://schemas.openxmlformats.org/officeDocument/2006/relationships/hyperlink" Target="mailto:djibril_a_sidibe@yahoo.fr" TargetMode="External"/><Relationship Id="rId84" Type="http://schemas.openxmlformats.org/officeDocument/2006/relationships/hyperlink" Target="mailto:modibozerbo@yahoo.fr" TargetMode="External"/><Relationship Id="rId85" Type="http://schemas.openxmlformats.org/officeDocument/2006/relationships/hyperlink" Target="mailto:adioratou.keita@yahoo.fr" TargetMode="External"/><Relationship Id="rId86" Type="http://schemas.openxmlformats.org/officeDocument/2006/relationships/hyperlink" Target="mailto:oumarkonat@yahoo.fr" TargetMode="External"/><Relationship Id="rId87" Type="http://schemas.openxmlformats.org/officeDocument/2006/relationships/hyperlink" Target="mailto:ousmane.ouattara@malifolkecenter.org" TargetMode="External"/><Relationship Id="rId88" Type="http://schemas.openxmlformats.org/officeDocument/2006/relationships/hyperlink" Target="mailto:harmut.behrend@giz.de" TargetMode="External"/><Relationship Id="rId89" Type="http://schemas.openxmlformats.org/officeDocument/2006/relationships/hyperlink" Target="mailto:traoreo@afd.fr"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hdr.undp.org/en/countries/profiles/MLI"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file>

<file path=customXml/itemProps1.xml><?xml version="1.0" encoding="utf-8"?>
<ds:datastoreItem xmlns:ds="http://schemas.openxmlformats.org/officeDocument/2006/customXml" ds:itemID="{737FFCFB-63C4-A545-A286-D8640FF1CC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160</Pages>
  <Words>73608</Words>
  <Characters>404845</Characters>
  <Application>Microsoft Macintosh Word</Application>
  <DocSecurity>0</DocSecurity>
  <Lines>3373</Lines>
  <Paragraphs>954</Paragraphs>
  <ScaleCrop>false</ScaleCrop>
  <HeadingPairs>
    <vt:vector size="4" baseType="variant">
      <vt:variant>
        <vt:lpstr>Titel</vt:lpstr>
      </vt:variant>
      <vt:variant>
        <vt:i4>1</vt:i4>
      </vt:variant>
      <vt:variant>
        <vt:lpstr>Titre</vt:lpstr>
      </vt:variant>
      <vt:variant>
        <vt:i4>1</vt:i4>
      </vt:variant>
    </vt:vector>
  </HeadingPairs>
  <TitlesOfParts>
    <vt:vector size="2" baseType="lpstr">
      <vt:lpstr/>
      <vt:lpstr/>
    </vt:vector>
  </TitlesOfParts>
  <Company>Hewlett-Packard Company</Company>
  <LinksUpToDate>false</LinksUpToDate>
  <CharactersWithSpaces>477499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Birgit Halle</dc:creator>
  <cp:lastModifiedBy>Julien Monnery</cp:lastModifiedBy>
  <cp:revision>10</cp:revision>
  <cp:lastPrinted>2014-10-07T16:15:00Z</cp:lastPrinted>
  <dcterms:created xsi:type="dcterms:W3CDTF">2019-09-28T10:33:00Z</dcterms:created>
  <dcterms:modified xsi:type="dcterms:W3CDTF">2019-10-29T13:58:00Z</dcterms:modified>
</cp:coreProperties>
</file>